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381" w:rsidP="00DD1381">
      <w:pPr>
        <w:pStyle w:val="Title"/>
      </w:pPr>
      <w:r>
        <w:fldChar w:fldCharType="begin"/>
      </w:r>
      <w:r>
        <w:instrText xml:space="preserve"> TITLE   \* MERGEFORMAT </w:instrText>
      </w:r>
      <w:r>
        <w:fldChar w:fldCharType="separate"/>
      </w:r>
      <w:r>
        <w:t>UETTDRCJ29A Install gas and oil filled specialised underground cables</w:t>
      </w:r>
      <w:r>
        <w:fldChar w:fldCharType="end"/>
      </w:r>
    </w:p>
    <w:p w:rsidR="00DD1381" w:rsidP="00DD1381">
      <w:pPr>
        <w:pStyle w:val="Version"/>
        <w:sectPr w:rsidSect="00A57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2F4" w:rsidP="00A572F4">
      <w:pPr>
        <w:pStyle w:val="SuperHeading"/>
      </w:pPr>
      <w:r w:rsidRPr="00A572F4">
        <w:t>UETTDRCJ29A Install gas and oil filled specialised underground cables</w:t>
      </w:r>
    </w:p>
    <w:p w:rsidR="00000000" w:rsidRPr="00A572F4" w:rsidP="00A572F4">
      <w:pPr>
        <w:pStyle w:val="Heading1"/>
      </w:pPr>
      <w:bookmarkStart w:id="1" w:name="O_461835"/>
      <w:bookmarkEnd w:id="1"/>
      <w:r w:rsidRPr="00A572F4">
        <w:t>Modification History</w:t>
      </w:r>
    </w:p>
    <w:p w:rsidR="00000000" w:rsidRPr="00A572F4" w:rsidP="00A572F4">
      <w:pPr>
        <w:pStyle w:val="BodyText"/>
      </w:pPr>
      <w:r w:rsidRPr="00A572F4">
        <w:t>Not applicable.</w:t>
      </w:r>
    </w:p>
    <w:p w:rsidR="00000000" w:rsidRPr="00A572F4" w:rsidP="00A572F4">
      <w:pPr>
        <w:pStyle w:val="AllowPageBreak"/>
      </w:pPr>
    </w:p>
    <w:p w:rsidR="00000000" w:rsidRPr="00A572F4" w:rsidP="00A572F4">
      <w:pPr>
        <w:pStyle w:val="Heading1"/>
      </w:pPr>
      <w:bookmarkStart w:id="2" w:name="O_461833"/>
      <w:bookmarkEnd w:id="2"/>
      <w:r w:rsidRPr="00A572F4">
        <w:t>Unit Descriptor</w:t>
      </w:r>
    </w:p>
    <w:tbl>
      <w:tblPr>
        <w:tblW w:w="0" w:type="auto"/>
        <w:tblLayout w:type="fixed"/>
        <w:tblCellMar>
          <w:left w:w="62" w:type="dxa"/>
          <w:right w:w="62" w:type="dxa"/>
        </w:tblCellMar>
        <w:tblLook w:val="0000"/>
      </w:tblPr>
      <w:tblGrid>
        <w:gridCol w:w="2700"/>
        <w:gridCol w:w="5760"/>
      </w:tblGrid>
      <w:tr w:rsidTr="00DD13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1)</w:t>
            </w:r>
            <w:r w:rsidRPr="00A572F4">
              <w:t xml:space="preserve"> </w:t>
            </w:r>
            <w:r w:rsidRPr="00A572F4">
              <w:rPr>
                <w:rStyle w:val="SpecialBold"/>
              </w:rPr>
              <w:t>Scope:</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572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1.1) Descriptor</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This Competency Standard Unit covers the installation, jointing and termination of oil and gas filled specialised underground cables from 33kV and higher. It includes the laying of the specialised underground ground cable, the preparation of the cables and</w:t>
            </w:r>
            <w:r w:rsidRPr="00A572F4">
              <w:t xml:space="preserve"> phasing out jointing and terminating and the preparation of the cable jointing bay. It also encompasses the relevant safety procedures to ensure installation of the specialised cable is undertaken according to established enterprise requirements.</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3" w:name="O_461822"/>
      <w:bookmarkEnd w:id="3"/>
      <w:r w:rsidRPr="00A572F4">
        <w:t>Application of the Unit</w:t>
      </w:r>
    </w:p>
    <w:tbl>
      <w:tblPr>
        <w:tblW w:w="0" w:type="auto"/>
        <w:tblLayout w:type="fixed"/>
        <w:tblCellMar>
          <w:left w:w="62" w:type="dxa"/>
          <w:right w:w="62" w:type="dxa"/>
        </w:tblCellMar>
        <w:tblLook w:val="0000"/>
      </w:tblPr>
      <w:tblGrid>
        <w:gridCol w:w="2672"/>
        <w:gridCol w:w="5699"/>
      </w:tblGrid>
      <w:tr w:rsidTr="00DD138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2)</w:t>
            </w:r>
          </w:p>
        </w:tc>
      </w:tr>
      <w:tr w:rsidTr="00DD138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This Competency Standard Unit is intended to augment formally acquired competencies. It is suitable for employment-based programs under an approved contract of training.</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4" w:name="O_461829"/>
      <w:bookmarkEnd w:id="4"/>
      <w:r w:rsidRPr="00A572F4">
        <w:t>Licensing/Regulatory Information</w:t>
      </w:r>
    </w:p>
    <w:tbl>
      <w:tblPr>
        <w:tblW w:w="0" w:type="auto"/>
        <w:tblLayout w:type="fixed"/>
        <w:tblCellMar>
          <w:left w:w="62" w:type="dxa"/>
          <w:right w:w="62" w:type="dxa"/>
        </w:tblCellMar>
        <w:tblLook w:val="0000"/>
      </w:tblPr>
      <w:tblGrid>
        <w:gridCol w:w="2700"/>
        <w:gridCol w:w="5760"/>
      </w:tblGrid>
      <w:tr w:rsidTr="00DD13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 xml:space="preserve">3) </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The skills and knowledge described in this unit may require a licence/registration to practice in the work place subject to regulations for undertaking of electrical work. Practice in workplace and</w:t>
            </w:r>
            <w:r w:rsidRPr="00A572F4">
              <w:t xml:space="preserve"> during training is also subject to regulations directly related to Occupational Health and Safety, electricity/telecommunications/gas/water industry </w:t>
            </w:r>
            <w:r w:rsidRPr="00A572F4">
              <w:t>safety and compliance, industrial relations, environmental protection, anti discrimination and training. C</w:t>
            </w:r>
            <w:r w:rsidRPr="00A572F4">
              <w:t>ommonwealth, State/Territory or Local Government legislation and regulations may exist that limits the age of operating certain equipment.</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5" w:name="O_461830"/>
      <w:bookmarkEnd w:id="5"/>
      <w:r w:rsidRPr="00A572F4">
        <w:t>Pre-Requisites</w:t>
      </w:r>
    </w:p>
    <w:tbl>
      <w:tblPr>
        <w:tblW w:w="0" w:type="auto"/>
        <w:tblLayout w:type="fixed"/>
        <w:tblCellMar>
          <w:left w:w="62" w:type="dxa"/>
          <w:right w:w="62" w:type="dxa"/>
        </w:tblCellMar>
        <w:tblLook w:val="0000"/>
      </w:tblPr>
      <w:tblGrid>
        <w:gridCol w:w="2686"/>
        <w:gridCol w:w="14"/>
        <w:gridCol w:w="1890"/>
        <w:gridCol w:w="3870"/>
      </w:tblGrid>
      <w:tr w:rsidTr="00DD13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 xml:space="preserve">4)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4.1)</w:t>
            </w:r>
          </w:p>
        </w:tc>
      </w:tr>
      <w:tr w:rsidTr="00DD1381">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Granting of competency in this unit shall be made only after competency in the following unit(s) has/have been confirmed.</w:t>
            </w:r>
          </w:p>
          <w:p w:rsidR="00000000" w:rsidRPr="00A572F4" w:rsidP="00A572F4">
            <w:pPr>
              <w:pStyle w:val="BodyText"/>
            </w:pPr>
            <w:r w:rsidRPr="00A572F4">
              <w:t xml:space="preserve">Where pre-requisite pathways have been identified. All competencies in the Common Unit Group must be have been completed plus all the </w:t>
            </w:r>
            <w:r w:rsidRPr="00A572F4">
              <w:t>competencies in one (1) of the identified Pathway Unit Group(s):</w:t>
            </w:r>
          </w:p>
          <w:p w:rsidR="00000000" w:rsidP="00A572F4">
            <w:pPr>
              <w:pStyle w:val="BodyText"/>
              <w:rPr>
                <w:lang w:val="en-NZ"/>
              </w:rPr>
            </w:pPr>
            <w:r w:rsidRPr="00A572F4">
              <w:t>Common Unit Group</w:t>
            </w:r>
          </w:p>
        </w:tc>
      </w:tr>
      <w:tr w:rsidTr="00DD1381">
        <w:tblPrEx>
          <w:tblW w:w="0" w:type="auto"/>
          <w:tblLayout w:type="fixed"/>
          <w:tblCellMar>
            <w:left w:w="62" w:type="dxa"/>
            <w:right w:w="62" w:type="dxa"/>
          </w:tblCellMar>
          <w:tblLook w:val="0000"/>
        </w:tblPrEx>
        <w:trPr>
          <w:trHeight w:val="363"/>
        </w:trPr>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Unit Code</w:t>
            </w:r>
            <w:r w:rsidRPr="00A572F4">
              <w:tab/>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Unit Title</w:t>
            </w:r>
          </w:p>
        </w:tc>
      </w:tr>
      <w:tr w:rsidTr="00DD1381">
        <w:tblPrEx>
          <w:tblW w:w="0" w:type="auto"/>
          <w:tblLayout w:type="fixed"/>
          <w:tblCellMar>
            <w:left w:w="62" w:type="dxa"/>
            <w:right w:w="62" w:type="dxa"/>
          </w:tblCellMar>
          <w:tblLook w:val="0000"/>
        </w:tblPrEx>
        <w:trPr>
          <w:trHeight w:val="843"/>
        </w:trPr>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UEENEEE101A</w:t>
            </w:r>
            <w:r w:rsidRPr="00A572F4">
              <w:tab/>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Apply Occupational Health and Safety regulations, codes and practices in the workplace</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Fabricate, assemble and dismantle utilities industry components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Solve problems in d.c. Circuits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Fix and secure electrotechnology equipment</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Use drawings, diagrams, schedules, standards, codes and specifications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Solve problems in electromagnetic devices and related circuits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Solve problems in low voltage a.c. Circuits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UETTDRCJ21A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Lay ESI electrical cables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UETTDRCJ23A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In</w:t>
            </w:r>
            <w:r w:rsidRPr="00A572F4">
              <w:t>stall and maintain de-energised high voltage underground paper insulated cables.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UETTDRCJ26A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Install and maintain de-energised low voltage underground polymeric cables.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UETTDRCJ27A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Install and maintain de-energised high voltage underground polymeric c</w:t>
            </w:r>
            <w:r w:rsidRPr="00A572F4">
              <w:t xml:space="preserve">ables.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UETTDRCJ99A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Test and verify distribution cable jointing installations</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Apply sustainable energy and environmental procedures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Operate plant and equipment near live electrical conductors and apparatus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Working safely near live electrical apparatus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UETTDRIS41A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Install network infrastructure electrical equipment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UETTDRIS42A</w:t>
            </w:r>
          </w:p>
        </w:tc>
        <w:tc>
          <w:tcPr>
            <w:tcW w:w="3870" w:type="dxa"/>
            <w:tcBorders>
              <w:top w:val="nil"/>
              <w:left w:val="nil"/>
              <w:bottom w:val="nil"/>
              <w:right w:val="nil"/>
            </w:tcBorders>
            <w:tcMar>
              <w:top w:w="0" w:type="dxa"/>
              <w:left w:w="62" w:type="dxa"/>
              <w:bottom w:w="0" w:type="dxa"/>
              <w:right w:w="62" w:type="dxa"/>
            </w:tcMar>
            <w:vAlign w:val="bottom"/>
          </w:tcPr>
          <w:p w:rsidR="00000000" w:rsidP="00A572F4">
            <w:pPr>
              <w:pStyle w:val="BodyText"/>
              <w:rPr>
                <w:lang w:val="en-NZ"/>
              </w:rPr>
            </w:pPr>
            <w:r w:rsidRPr="00A572F4">
              <w:t xml:space="preserve">Maintain network infrastructure electrical equipment </w:t>
            </w:r>
          </w:p>
        </w:tc>
      </w:tr>
      <w:tr w:rsidTr="00DD138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UETTDRIS55A</w:t>
            </w:r>
          </w:p>
        </w:tc>
        <w:tc>
          <w:tcPr>
            <w:tcW w:w="3870" w:type="dxa"/>
            <w:tcBorders>
              <w:top w:val="nil"/>
              <w:left w:val="nil"/>
              <w:bottom w:val="nil"/>
              <w:right w:val="nil"/>
            </w:tcBorders>
            <w:tcMar>
              <w:top w:w="0" w:type="dxa"/>
              <w:left w:w="62" w:type="dxa"/>
              <w:bottom w:w="0" w:type="dxa"/>
              <w:right w:w="62" w:type="dxa"/>
            </w:tcMar>
            <w:vAlign w:val="bottom"/>
          </w:tcPr>
          <w:p w:rsidR="00000000" w:rsidRPr="00A572F4" w:rsidP="00A572F4">
            <w:pPr>
              <w:pStyle w:val="BodyText"/>
            </w:pPr>
            <w:r w:rsidRPr="00A572F4">
              <w:t xml:space="preserve">Install and maintain low voltage underground services </w:t>
            </w:r>
          </w:p>
        </w:tc>
      </w:tr>
    </w:tbl>
    <w:p w:rsidR="00000000" w:rsidRPr="00A572F4" w:rsidP="00A572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138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 xml:space="preserve">4.2) </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Participants are best equipped to achieve this unit if they have reading, writing and numeracy skills indicated by the following scales. Description of each scale is given in Volume 2, Part 3 “Literacy and Numeracy</w:t>
            </w:r>
            <w:r w:rsidRPr="00A572F4">
              <w:t>”.</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Reading</w:t>
            </w:r>
          </w:p>
        </w:tc>
        <w:tc>
          <w:tcPr>
            <w:tcW w:w="81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4</w:t>
            </w:r>
          </w:p>
        </w:tc>
        <w:tc>
          <w:tcPr>
            <w:tcW w:w="99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Writing</w:t>
            </w:r>
          </w:p>
        </w:tc>
        <w:tc>
          <w:tcPr>
            <w:tcW w:w="90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4</w:t>
            </w:r>
          </w:p>
        </w:tc>
        <w:tc>
          <w:tcPr>
            <w:tcW w:w="12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Numeracy</w:t>
            </w:r>
          </w:p>
        </w:tc>
        <w:tc>
          <w:tcPr>
            <w:tcW w:w="72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4</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6" w:name="O_461826"/>
      <w:bookmarkEnd w:id="6"/>
      <w:r w:rsidRPr="00A572F4">
        <w:t>Employability Skills Information</w:t>
      </w:r>
    </w:p>
    <w:tbl>
      <w:tblPr>
        <w:tblW w:w="0" w:type="auto"/>
        <w:tblLayout w:type="fixed"/>
        <w:tblCellMar>
          <w:left w:w="62" w:type="dxa"/>
          <w:right w:w="62" w:type="dxa"/>
        </w:tblCellMar>
        <w:tblLook w:val="0000"/>
      </w:tblPr>
      <w:tblGrid>
        <w:gridCol w:w="2700"/>
        <w:gridCol w:w="5760"/>
      </w:tblGrid>
      <w:tr w:rsidTr="00DD13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 xml:space="preserve">5) </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The required outcomes described in this unit of competency contain applicable facets of Empl</w:t>
            </w:r>
            <w:r w:rsidRPr="00A572F4">
              <w:t>oyability Skills. The Employability Skills Summary of the qualification in which this unit of competency is packaged will assist in identifying Employability Skill requirements.</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7" w:name="O_461825"/>
      <w:bookmarkEnd w:id="7"/>
      <w:r w:rsidRPr="00A572F4">
        <w:t>Elements and Performance Criteria Pre-Content</w:t>
      </w:r>
    </w:p>
    <w:tbl>
      <w:tblPr>
        <w:tblW w:w="0" w:type="auto"/>
        <w:tblLayout w:type="fixed"/>
        <w:tblCellMar>
          <w:left w:w="62" w:type="dxa"/>
          <w:right w:w="62" w:type="dxa"/>
        </w:tblCellMar>
        <w:tblLook w:val="0000"/>
      </w:tblPr>
      <w:tblGrid>
        <w:gridCol w:w="2700"/>
        <w:gridCol w:w="5760"/>
      </w:tblGrid>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6)</w:t>
            </w:r>
            <w:r w:rsidRPr="00A572F4">
              <w:t xml:space="preserve"> Elements d</w:t>
            </w:r>
            <w:r w:rsidRPr="00A572F4">
              <w:t>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Performance Criteria describe the required performance needed to demonstrate achievement of the element. Assessment of performance is to be consistent with the Evidence Guide.</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8" w:name="O_461824"/>
      <w:bookmarkEnd w:id="8"/>
      <w:r w:rsidRPr="00A572F4">
        <w:t>Elements and Performance Criteria</w:t>
      </w:r>
    </w:p>
    <w:tbl>
      <w:tblPr>
        <w:tblW w:w="0" w:type="auto"/>
        <w:tblLayout w:type="fixed"/>
        <w:tblCellMar>
          <w:left w:w="62" w:type="dxa"/>
          <w:right w:w="62" w:type="dxa"/>
        </w:tblCellMar>
        <w:tblLook w:val="0000"/>
      </w:tblPr>
      <w:tblGrid>
        <w:gridCol w:w="412"/>
        <w:gridCol w:w="2274"/>
        <w:gridCol w:w="14"/>
        <w:gridCol w:w="882"/>
        <w:gridCol w:w="4833"/>
        <w:gridCol w:w="45"/>
      </w:tblGrid>
      <w:tr w:rsidTr="00DD1381">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PERFORMANCE CRITERIA</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w:t>
            </w:r>
          </w:p>
        </w:tc>
        <w:tc>
          <w:tcPr>
            <w:tcW w:w="2274" w:type="dxa"/>
            <w:vMerge w:val="restart"/>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Prepare/Plan to install oil and gas filled specialised underground cables</w:t>
            </w: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1.1</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Works schedule(s), including drawings, plans, requirements, established procedures, and material lists, are ob</w:t>
            </w:r>
            <w:r w:rsidRPr="00A572F4">
              <w:t>tained, analysed, if necessary, by site inspection and the extent of the preparation of the work determined for planning and coordination.</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1.2</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Relevant requirements and established procedures for the work are communicated to all personnel and identified for all work sites.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1.3</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 xml:space="preserve">Work is prioritised and sequenced for the most efficient and effective outcome following consultation with others for </w:t>
            </w:r>
            <w:r w:rsidRPr="00A572F4">
              <w:t>completion within acceptable timeframes, to a quality standard and in accordance with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1.4</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Risk control measures are identified, prioritised and evaluated against the work schedule.</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1.5</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 xml:space="preserve">Hazards are identified, OHS risks assessed and control measures are prioritised, implemented and monitored including emergency exits kept </w:t>
            </w:r>
            <w:r w:rsidRPr="00A572F4">
              <w:t>clear, to ensure safe systems of work are followed and according to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1.6</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Relevant work permi</w:t>
            </w:r>
            <w:r w:rsidRPr="00A572F4">
              <w:t>ts are secured to coordinate the performance of work according to requirements and/or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1.7</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Resources including personnel, equipment, tools and personal protective equipment required for the job are identified, scheduled and coordi</w:t>
            </w:r>
            <w:r w:rsidRPr="00A572F4">
              <w:t>nated and confirmed in a safe and technical working order.</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1.8</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Clients/Customers are provided with possible solutions and/or options within the scope, acceptable cost and requirements.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1.9</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Liaison and communication issues with other/authorised person</w:t>
            </w:r>
            <w:r w:rsidRPr="00A572F4">
              <w:t>nel, authorities, clients and land owners are resolved and activities coordinated to carry out work.</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1.10</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 xml:space="preserve">Personnel participating in the work, including plant operators and contractors, are fully briefed and respective responsibilities coordinated </w:t>
            </w:r>
            <w:r w:rsidRPr="00A572F4">
              <w:t>and authorised where applicable in accordance with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1.11</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Site is prepared according to the work schedule and to minimise risk and damage to property, commerce, and individuals in accordance with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1.12</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Pos</w:t>
            </w:r>
            <w:r w:rsidRPr="00A572F4">
              <w:t>itioning of road signs, barriers and warning devices is planned and coordinated in accordance with requirements.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w:t>
            </w:r>
          </w:p>
        </w:tc>
        <w:tc>
          <w:tcPr>
            <w:tcW w:w="2274" w:type="dxa"/>
            <w:vMerge w:val="restart"/>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Carry out the installation of oil and gas filled specialised underground cables</w:t>
            </w: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2.1</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OHS and sustainable energy principles and practices to r</w:t>
            </w:r>
            <w:r w:rsidRPr="00A572F4">
              <w:t>educe the incidents of accidents and minimise waste are monitored and actioned in accordance with requirements and/or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2.2</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First Aid, Rescue and other related work procedures are performed according to requirements and/or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2.3</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Lifting, climbing, working in confined spaces and aloft, and use of power tools/equipment, techniques and practices are safely</w:t>
            </w:r>
            <w:r w:rsidRPr="00A572F4">
              <w:t xml:space="preserve"> exercised according to requirements.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2.4</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Hazard warnings and safety signs are recognised and hazards and assessed OHS risks are reported to the immediate authorised persons for directions according to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2.5</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Remedial actions are taken to overcome any shortfalls encountered in the work schedule according to requirements and/or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2.6</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 xml:space="preserve">Installation of oil and gas filled specialised underground cables is carried out, in accordance with the </w:t>
            </w:r>
            <w:r w:rsidRPr="00A572F4">
              <w:t>work schedule and requirements and/or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2.7</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Essential knowledge and associated skills are applied in the safe installation of oil and gas filled specialised underground cables to ensure completion in an agreed timeframe and, to qua</w:t>
            </w:r>
            <w:r w:rsidRPr="00A572F4">
              <w:t>lity standards with a minimum of waste according to requirements.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2.8</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Solutions to non-routine problems are identified and actioned using acquired essential knowledge and associated skills according to requirements.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2.9</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Ongoing checks of quality of the work are undertaken in accordance with requirements and established procedures to ensure a quality like outcome is achieved for the client/customer and to a community/industry standard.</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w:t>
            </w:r>
          </w:p>
        </w:tc>
        <w:tc>
          <w:tcPr>
            <w:tcW w:w="2274" w:type="dxa"/>
            <w:vMerge w:val="restart"/>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Complete the installation of oil a</w:t>
            </w:r>
            <w:r w:rsidRPr="00A572F4">
              <w:t>nd gas filled specialised underground cables</w:t>
            </w: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3.1</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Work undertaken is checked against works schedule for conformance with requirements, anomalies reported and solutions identified in accordance with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3.2</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Accidents and/or injuries are reported and followed up in accordance with requirements/established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3.3</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Work site is rehabilitated, cleaned up and confirmed safe in accordance with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3.4</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Tools, equipment and any surpl</w:t>
            </w:r>
            <w:r w:rsidRPr="00A572F4">
              <w:t>us resources and materials are, where appropriate, cleaned, checked and returned to storage in accordance with established procedures.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3.5</w:t>
            </w:r>
          </w:p>
        </w:tc>
        <w:tc>
          <w:tcPr>
            <w:tcW w:w="4833"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Relevant work permit(s) are signed off and, underground cables are returned to service and advised to client/customer in accordance with requirements.</w:t>
            </w:r>
          </w:p>
        </w:tc>
      </w:tr>
      <w:tr w:rsidTr="00DD1381">
        <w:tblPrEx>
          <w:tblW w:w="0" w:type="auto"/>
          <w:tblLayout w:type="fixed"/>
          <w:tblCellMar>
            <w:left w:w="62" w:type="dxa"/>
            <w:right w:w="62" w:type="dxa"/>
          </w:tblCellMar>
          <w:tblLook w:val="0000"/>
        </w:tblPrEx>
        <w:trPr>
          <w:gridAfter w:val="1"/>
          <w:wAfter w:w="4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6"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3.6</w:t>
            </w:r>
          </w:p>
        </w:tc>
        <w:tc>
          <w:tcPr>
            <w:tcW w:w="4833"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Works completion records, reports, as installed /modified drawing(s) and/or documentation and info</w:t>
            </w:r>
            <w:r w:rsidRPr="00A572F4">
              <w:t>rmation are confirmed, processed and appropriate personnel notified.</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9" w:name="O_461832"/>
      <w:bookmarkEnd w:id="9"/>
      <w:r w:rsidRPr="00A572F4">
        <w:t>Required Skills and Knowledge</w:t>
      </w:r>
    </w:p>
    <w:tbl>
      <w:tblPr>
        <w:tblW w:w="0" w:type="auto"/>
        <w:tblLayout w:type="fixed"/>
        <w:tblCellMar>
          <w:left w:w="62" w:type="dxa"/>
          <w:right w:w="62" w:type="dxa"/>
        </w:tblCellMar>
        <w:tblLook w:val="0000"/>
      </w:tblPr>
      <w:tblGrid>
        <w:gridCol w:w="8460"/>
      </w:tblGrid>
      <w:tr w:rsidTr="00DD13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REQUIRED SKILLS AND KNOWLEDGE</w:t>
            </w:r>
          </w:p>
        </w:tc>
      </w:tr>
      <w:tr w:rsidTr="00DD138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8)</w:t>
            </w:r>
            <w:r w:rsidRPr="00A572F4">
              <w:t xml:space="preserve"> Essential knowledge and associated skills (EKAS): This describes the essential skills and knowledge and </w:t>
            </w:r>
            <w:r w:rsidRPr="00A572F4">
              <w:t>their level, required for this unit.</w:t>
            </w:r>
          </w:p>
          <w:p w:rsidR="00000000" w:rsidRPr="00A572F4" w:rsidP="00A572F4">
            <w:pPr>
              <w:pStyle w:val="BodyText"/>
            </w:pPr>
            <w:r w:rsidRPr="00A572F4">
              <w:t>Evidence shall show that knowledge has been acquired of installing oil and gas filled specialised underground cables.</w:t>
            </w:r>
          </w:p>
          <w:p w:rsidR="00000000" w:rsidRPr="00A572F4" w:rsidP="00A572F4">
            <w:pPr>
              <w:pStyle w:val="BodyText"/>
            </w:pPr>
            <w:r w:rsidRPr="00A572F4">
              <w:t>All knowledge and skills detailed in this unit should be contextu</w:t>
            </w:r>
            <w:r w:rsidRPr="00A572F4">
              <w:t>alised to current industry practices and technologies.</w:t>
            </w:r>
          </w:p>
          <w:p w:rsidR="00000000" w:rsidRPr="00A572F4" w:rsidP="00A572F4">
            <w:pPr>
              <w:pStyle w:val="BodyText"/>
            </w:pPr>
            <w:r w:rsidRPr="00A572F4">
              <w:t>KS01-TCJ29A</w:t>
            </w:r>
            <w:r w:rsidRPr="00A572F4">
              <w:tab/>
              <w:t>Oil and gas filled specialised underground cables</w:t>
            </w:r>
          </w:p>
          <w:p w:rsidR="00000000" w:rsidRPr="00A572F4" w:rsidP="00A572F4">
            <w:pPr>
              <w:pStyle w:val="BodyText"/>
            </w:pPr>
            <w:r w:rsidRPr="00A572F4">
              <w:t>Evidence shall show an understanding of principles, installation and jointing/terminating of oil or gas filled specialised underground cabl</w:t>
            </w:r>
            <w:r w:rsidRPr="00A572F4">
              <w:t>es to an extent indicated by the following aspects:</w:t>
            </w:r>
          </w:p>
          <w:p w:rsidR="00000000" w:rsidRPr="00A572F4" w:rsidP="00A572F4">
            <w:pPr>
              <w:pStyle w:val="BodyText"/>
            </w:pPr>
            <w:r w:rsidRPr="00A572F4">
              <w:t>T1</w:t>
            </w:r>
            <w:r w:rsidRPr="00A572F4">
              <w:tab/>
              <w:t>Oil and gas filled specialised underground cable principles encompassing:</w:t>
            </w:r>
          </w:p>
          <w:p w:rsidR="00000000" w:rsidRPr="00A572F4" w:rsidP="00A572F4">
            <w:pPr>
              <w:pStyle w:val="ListBullet"/>
            </w:pPr>
            <w:r w:rsidRPr="00A572F4">
              <w:t>Legislation, Standards, codes, legislation, supply authority regulations and or enterprise requirements pertaining to the work</w:t>
            </w:r>
            <w:r w:rsidRPr="00A572F4">
              <w:t>ing with oil or gas filled specialised underground cables</w:t>
            </w:r>
          </w:p>
          <w:p w:rsidR="00000000" w:rsidRPr="00A572F4" w:rsidP="00A572F4">
            <w:pPr>
              <w:pStyle w:val="ListBullet"/>
            </w:pPr>
            <w:r w:rsidRPr="00A572F4">
              <w:t>Types of oil or gas filled specialised underground cables - properties of paper insulation, oil and nitrogen gas, construction, reasons for gas and or oil filled, characteristics and capabilities of</w:t>
            </w:r>
            <w:r w:rsidRPr="00A572F4">
              <w:t xml:space="preserve"> the cable, pressure/volume characteristics of oil and gas</w:t>
            </w:r>
          </w:p>
          <w:p w:rsidR="00000000" w:rsidRPr="00A572F4" w:rsidP="00A572F4">
            <w:pPr>
              <w:pStyle w:val="ListBullet"/>
            </w:pPr>
            <w:r w:rsidRPr="00A572F4">
              <w:t>Precautions when handling</w:t>
            </w:r>
          </w:p>
          <w:p w:rsidR="00000000" w:rsidRPr="00A572F4" w:rsidP="00A572F4">
            <w:pPr>
              <w:pStyle w:val="ListBullet"/>
            </w:pPr>
            <w:r w:rsidRPr="00A572F4">
              <w:t>Types and functions of tools and equipment used on oil or gas filled specialised underground cables</w:t>
            </w:r>
          </w:p>
          <w:p w:rsidR="00000000" w:rsidRPr="00A572F4" w:rsidP="00A572F4">
            <w:pPr>
              <w:pStyle w:val="ListBullet"/>
            </w:pPr>
            <w:r w:rsidRPr="00A572F4">
              <w:t>Techniques when handling, storing and disposing of oil or gas filled sp</w:t>
            </w:r>
            <w:r w:rsidRPr="00A572F4">
              <w:t>ecialised underground cables</w:t>
            </w:r>
          </w:p>
          <w:p w:rsidR="00000000" w:rsidRPr="00A572F4" w:rsidP="00A572F4">
            <w:pPr>
              <w:pStyle w:val="BodyText"/>
            </w:pPr>
            <w:r w:rsidRPr="00A572F4">
              <w:t>T2</w:t>
            </w:r>
            <w:r w:rsidRPr="00A572F4">
              <w:tab/>
              <w:t>Installation of oil or gas filled specialised underground cables encompassing:</w:t>
            </w:r>
          </w:p>
          <w:p w:rsidR="00000000" w:rsidRPr="00A572F4" w:rsidP="00A572F4">
            <w:pPr>
              <w:pStyle w:val="ListBullet"/>
            </w:pPr>
            <w:r w:rsidRPr="00A572F4">
              <w:t>Legislation, Standards, codes, legislation, supply authority regulations and or enterprise requirements pertaining to the installation of oil or</w:t>
            </w:r>
            <w:r w:rsidRPr="00A572F4">
              <w:t xml:space="preserve"> gas filled specialised underground cables</w:t>
            </w:r>
          </w:p>
          <w:p w:rsidR="00000000" w:rsidRPr="00A572F4" w:rsidP="00A572F4">
            <w:pPr>
              <w:pStyle w:val="ListBullet"/>
            </w:pPr>
            <w:r w:rsidRPr="00A572F4">
              <w:t>Safety precautions of working with oil or gas filled specialised underground cables - safe operation procedures, Occupational Health and Safety hazards and precautions, dangers of working in confined spaces, ident</w:t>
            </w:r>
            <w:r w:rsidRPr="00A572F4">
              <w:t>ification of OHS hazards, assessing and controlling risks, types, selection, maintenance, storage and uses of personnel protective equipment including intrinsically safe equipment for use in confined and hazardous environments, Permit/Authorisation to work</w:t>
            </w:r>
            <w:r w:rsidRPr="00A572F4">
              <w:t xml:space="preserve"> systems and isolation procedures, safe working policies, procedures and practices when using/operating specialised equipment, emergency response and rescue including First Aid etc</w:t>
            </w:r>
          </w:p>
          <w:p w:rsidR="00000000" w:rsidRPr="00A572F4" w:rsidP="00A572F4">
            <w:pPr>
              <w:pStyle w:val="ListBullet"/>
            </w:pPr>
            <w:r w:rsidRPr="00A572F4">
              <w:t>Types, function and serviceability of tools and equipment used for the inst</w:t>
            </w:r>
            <w:r w:rsidRPr="00A572F4">
              <w:t>allation of oil or gas filled specialised underground cables</w:t>
            </w:r>
          </w:p>
          <w:p w:rsidR="00000000" w:rsidRPr="00A572F4" w:rsidP="00A572F4">
            <w:pPr>
              <w:pStyle w:val="ListBullet"/>
            </w:pPr>
            <w:r w:rsidRPr="00A572F4">
              <w:t>Techniques in the safe installation of oil or gas filled specialised underground cables</w:t>
            </w:r>
          </w:p>
          <w:p w:rsidR="00000000" w:rsidRPr="00A572F4" w:rsidP="00A572F4">
            <w:pPr>
              <w:pStyle w:val="ListBullet"/>
            </w:pPr>
            <w:r w:rsidRPr="00A572F4">
              <w:t>Techniques in the safe testing/inspection of the oil or gas filled specialised underground cables to ensure</w:t>
            </w:r>
            <w:r w:rsidRPr="00A572F4">
              <w:t xml:space="preserve"> successful installation has occurred</w:t>
            </w:r>
          </w:p>
          <w:p w:rsidR="00000000" w:rsidRPr="00A572F4" w:rsidP="00A572F4">
            <w:pPr>
              <w:pStyle w:val="BodyText"/>
            </w:pPr>
            <w:r w:rsidRPr="00A572F4">
              <w:t>T3</w:t>
            </w:r>
            <w:r w:rsidRPr="00A572F4">
              <w:tab/>
              <w:t>Jointing and terminating oil or gas filled specialised underground cables encompassing:</w:t>
            </w:r>
          </w:p>
          <w:p w:rsidR="00000000" w:rsidRPr="00A572F4" w:rsidP="00A572F4">
            <w:pPr>
              <w:pStyle w:val="ListBullet"/>
            </w:pPr>
            <w:r w:rsidRPr="00A572F4">
              <w:t>Legislation, Standards, codes, legislation, supply authority regulations and or enterprise requirements pertaining to jointing</w:t>
            </w:r>
            <w:r w:rsidRPr="00A572F4">
              <w:t xml:space="preserve"> and terminating oil or gas filled specialised underground cables</w:t>
            </w:r>
          </w:p>
          <w:p w:rsidR="00000000" w:rsidRPr="00A572F4" w:rsidP="00A572F4">
            <w:pPr>
              <w:pStyle w:val="ListBullet"/>
            </w:pPr>
            <w:r w:rsidRPr="00A572F4">
              <w:t>Safety precautions of working with oil or gas filled specialised underground cables - safe operation procedures, Occupational Health and Safety hazards and precautions, dangers of working in</w:t>
            </w:r>
            <w:r w:rsidRPr="00A572F4">
              <w:t xml:space="preserve"> confined spaces, identification of OHS hazards, assessing and controlling risks, types, selection, maintenance, storage and uses of personnel protective equipment including intrinsically safe equipment for use in confined and hazardous environments, Permi</w:t>
            </w:r>
            <w:r w:rsidRPr="00A572F4">
              <w:t>t/Authorisation to work systems and isolation procedures, safe working policies, procedures and practices when using/operating specialised equipment, emergency response and rescue including First Aid etc</w:t>
            </w:r>
          </w:p>
          <w:p w:rsidR="00000000" w:rsidRPr="00A572F4" w:rsidP="00A572F4">
            <w:pPr>
              <w:pStyle w:val="ListBullet"/>
            </w:pPr>
            <w:r w:rsidRPr="00A572F4">
              <w:t>Types, function and serviceability of tools and equi</w:t>
            </w:r>
            <w:r w:rsidRPr="00A572F4">
              <w:t>pment used for the jointing and terminating of oil or gas filled specialised underground cables</w:t>
            </w:r>
          </w:p>
          <w:p w:rsidR="00000000" w:rsidRPr="00A572F4" w:rsidP="00A572F4">
            <w:pPr>
              <w:pStyle w:val="ListBullet"/>
            </w:pPr>
            <w:r w:rsidRPr="00A572F4">
              <w:t>Techniques in the safe jointing and terminating oil or gas filled specialised underground cables</w:t>
            </w:r>
          </w:p>
          <w:p w:rsidR="00000000" w:rsidRPr="00A572F4" w:rsidP="00A572F4">
            <w:pPr>
              <w:pStyle w:val="ListBullet"/>
            </w:pPr>
            <w:r w:rsidRPr="00A572F4">
              <w:t>Techniques in the safe testing of the oil or gas filled specialised underground cables to ensure successful jointing and/or termination has occurred</w:t>
            </w:r>
          </w:p>
          <w:p w:rsidR="00000000" w:rsidRPr="00A572F4" w:rsidP="00A572F4">
            <w:pPr>
              <w:pStyle w:val="BodyText"/>
            </w:pPr>
            <w:r w:rsidRPr="00A572F4">
              <w:t>T4</w:t>
            </w:r>
            <w:r w:rsidRPr="00A572F4">
              <w:tab/>
              <w:t>Enterprise specific — policy and procedure instructions encompassing:</w:t>
            </w:r>
          </w:p>
          <w:p w:rsidR="00000000" w:rsidRPr="00A572F4" w:rsidP="00A572F4">
            <w:pPr>
              <w:pStyle w:val="ListBullet"/>
            </w:pPr>
            <w:r w:rsidRPr="00A572F4">
              <w:t>Responsibilities and duty of care</w:t>
            </w:r>
            <w:r w:rsidRPr="00A572F4">
              <w:t xml:space="preserve"> of employer and employee relationship</w:t>
            </w:r>
          </w:p>
          <w:p w:rsidR="00000000" w:rsidRPr="00A572F4" w:rsidP="00A572F4">
            <w:pPr>
              <w:pStyle w:val="ListBullet"/>
            </w:pPr>
            <w:r w:rsidRPr="00A572F4">
              <w:t>Methods of obtaining the up-to-date information on enterprise policy and procedures</w:t>
            </w:r>
          </w:p>
          <w:p w:rsidR="00000000" w:rsidRPr="00A572F4" w:rsidP="00A572F4">
            <w:pPr>
              <w:pStyle w:val="ListBullet"/>
            </w:pPr>
            <w:r w:rsidRPr="00A572F4">
              <w:t>Rules and regulations</w:t>
            </w:r>
          </w:p>
          <w:p w:rsidR="00000000" w:rsidRPr="00A572F4" w:rsidP="00A572F4">
            <w:pPr>
              <w:pStyle w:val="ListBullet"/>
            </w:pPr>
            <w:r w:rsidRPr="00A572F4">
              <w:t>Induction into workplace - location of work area and storage area, timetable, uniform, personal well-being, hou</w:t>
            </w:r>
            <w:r w:rsidRPr="00A572F4">
              <w:t>sekeeping rules, emergency procedures, evacuation procedures</w:t>
            </w:r>
          </w:p>
          <w:p w:rsidR="00000000" w:rsidRPr="00A572F4" w:rsidP="00A572F4">
            <w:pPr>
              <w:pStyle w:val="ListBullet"/>
            </w:pPr>
            <w:r w:rsidRPr="00A572F4">
              <w:t>Techniques when deal with others - working in teams, customer relation, complaint and issues procedures.</w:t>
            </w:r>
          </w:p>
          <w:p w:rsidR="00000000" w:rsidRPr="00A572F4" w:rsidP="00A572F4">
            <w:pPr>
              <w:pStyle w:val="ListBullet"/>
            </w:pPr>
            <w:r w:rsidRPr="00A572F4">
              <w:t>Overview of enterprise professional development - fire fighting procedures, fatigue manage</w:t>
            </w:r>
            <w:r w:rsidRPr="00A572F4">
              <w:t>ment, training and competency development - understanding and promotion</w:t>
            </w:r>
          </w:p>
          <w:p w:rsidR="00000000" w:rsidRPr="00A572F4" w:rsidP="00A572F4">
            <w:pPr>
              <w:pStyle w:val="BodyText"/>
            </w:pPr>
            <w:r w:rsidRPr="00A572F4">
              <w:t>T5</w:t>
            </w:r>
            <w:r w:rsidRPr="00A572F4">
              <w:tab/>
              <w:t>Enterprises specific — OHS instructions encompassing:</w:t>
            </w:r>
          </w:p>
          <w:p w:rsidR="00000000" w:rsidRPr="00A572F4" w:rsidP="00A572F4">
            <w:pPr>
              <w:pStyle w:val="ListBullet"/>
            </w:pPr>
            <w:r w:rsidRPr="00A572F4">
              <w:t>Standards, codes, legislation, supply authority regulations and specific enterprise regulations pertaining to the OHS policies</w:t>
            </w:r>
            <w:r w:rsidRPr="00A572F4">
              <w:t xml:space="preserve"> and procedures</w:t>
            </w:r>
          </w:p>
          <w:p w:rsidR="00000000" w:rsidRPr="00A572F4" w:rsidP="00A572F4">
            <w:pPr>
              <w:pStyle w:val="ListBullet"/>
            </w:pPr>
            <w:r w:rsidRPr="00A572F4">
              <w:t>Methods of obtaining the up-to-date information on enterprise OHS policy and procedures</w:t>
            </w:r>
          </w:p>
          <w:p w:rsidR="00000000" w:rsidRPr="00A572F4" w:rsidP="00A572F4">
            <w:pPr>
              <w:pStyle w:val="ListBullet"/>
            </w:pPr>
            <w:r w:rsidRPr="00A572F4">
              <w:t>Specific enterprise personal protection equipment - type and application, where and when to be used, method of replacement, responsibility of maintenanc</w:t>
            </w:r>
            <w:r w:rsidRPr="00A572F4">
              <w:t>e including cleaning inspection and testing, emergency response, rescue, evacuation and First Aid procedures</w:t>
            </w:r>
          </w:p>
          <w:p w:rsidR="00000000" w:rsidRPr="00A572F4" w:rsidP="00A572F4">
            <w:pPr>
              <w:pStyle w:val="ListBullet"/>
            </w:pPr>
            <w:r w:rsidRPr="00A572F4">
              <w:t>Personal well-being – hygiene, fatigue/stress management, drugs/alcohol</w:t>
            </w:r>
          </w:p>
          <w:p w:rsidR="00000000" w:rsidRPr="00A572F4" w:rsidP="00A572F4">
            <w:pPr>
              <w:pStyle w:val="ListBullet"/>
            </w:pPr>
            <w:r w:rsidRPr="00A572F4">
              <w:t xml:space="preserve">OHS training - induction training, specific hazard training, specific task </w:t>
            </w:r>
            <w:r w:rsidRPr="00A572F4">
              <w:t>or equipment training, emergency and evacuation training, training as part of broader programs such as equipment operation</w:t>
            </w:r>
          </w:p>
          <w:p w:rsidR="00000000" w:rsidRPr="00A572F4" w:rsidP="00A572F4">
            <w:pPr>
              <w:pStyle w:val="ListBullet"/>
            </w:pPr>
            <w:r w:rsidRPr="00A572F4">
              <w:t>OHS records including audits, inspection reports, workplace health and environmental monitoring records, training and instruction rec</w:t>
            </w:r>
            <w:r w:rsidRPr="00A572F4">
              <w:t>ords, manufacturers and suppliers information such as MSDSs, registers, maintenance reports, workers compensation and rehabilitation records and First Aid/medical records</w:t>
            </w:r>
          </w:p>
          <w:p w:rsidR="00000000" w:rsidRPr="00A572F4" w:rsidP="00A572F4">
            <w:pPr>
              <w:pStyle w:val="BodyText"/>
            </w:pPr>
            <w:r w:rsidRPr="00A572F4">
              <w:t>T6</w:t>
            </w:r>
            <w:r w:rsidRPr="00A572F4">
              <w:tab/>
              <w:t>Enterprises specific — technical drawing and documents encompassing:</w:t>
            </w:r>
          </w:p>
          <w:p w:rsidR="00000000" w:rsidRPr="00A572F4" w:rsidP="00A572F4">
            <w:pPr>
              <w:pStyle w:val="ListBullet"/>
            </w:pPr>
            <w:r w:rsidRPr="00A572F4">
              <w:t>Types and ap</w:t>
            </w:r>
            <w:r w:rsidRPr="00A572F4">
              <w:t>plication of enterprise specific drawings and documents - electrical and electronic drawings, mechanical drawings, project charts, schedules, graphs, technical manuals and catalogues</w:t>
            </w:r>
          </w:p>
          <w:p w:rsidR="00000000" w:rsidRPr="00A572F4" w:rsidP="00A572F4">
            <w:pPr>
              <w:pStyle w:val="ListBullet"/>
            </w:pPr>
            <w:r w:rsidRPr="00A572F4">
              <w:t>Instruction/worksheets sheets - types and application of enterprise speci</w:t>
            </w:r>
            <w:r w:rsidRPr="00A572F4">
              <w:t>fic symbols and diagrams</w:t>
            </w:r>
          </w:p>
          <w:p w:rsidR="00000000" w:rsidRPr="00A572F4" w:rsidP="00A572F4">
            <w:pPr>
              <w:pStyle w:val="ListBullet"/>
            </w:pPr>
            <w:r w:rsidRPr="00A572F4">
              <w:t>Title box - description of parts and version control</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10" w:name="O_461827"/>
      <w:bookmarkEnd w:id="10"/>
      <w:r w:rsidRPr="00A572F4">
        <w:t>Evidence Guide</w:t>
      </w:r>
    </w:p>
    <w:tbl>
      <w:tblPr>
        <w:tblW w:w="0" w:type="auto"/>
        <w:tblLayout w:type="fixed"/>
        <w:tblCellMar>
          <w:left w:w="62" w:type="dxa"/>
          <w:right w:w="62" w:type="dxa"/>
        </w:tblCellMar>
        <w:tblLook w:val="0000"/>
      </w:tblPr>
      <w:tblGrid>
        <w:gridCol w:w="8460"/>
      </w:tblGrid>
      <w:tr w:rsidTr="00DD13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EVIDENCE GUIDE</w:t>
            </w:r>
          </w:p>
        </w:tc>
      </w:tr>
      <w:tr w:rsidTr="00DD13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9)</w:t>
            </w:r>
            <w:r w:rsidRPr="00A572F4">
              <w:t xml:space="preserve"> This provides essential advice for assessment of the unit of competency and must be read in conjunction </w:t>
            </w:r>
            <w:r w:rsidRPr="00A572F4">
              <w:t>with the performance criteria and the range statement of the unit of competency and the Training Package Assessment Guidelines.</w:t>
            </w:r>
          </w:p>
          <w:p w:rsidR="00000000" w:rsidRPr="00A572F4" w:rsidP="00A572F4">
            <w:pPr>
              <w:pStyle w:val="BodyText"/>
            </w:pPr>
            <w:r w:rsidRPr="00A572F4">
              <w:t>The Evidence Guide forms an integral part of this Competency Standard Unit and shall be used in conjunction with all component p</w:t>
            </w:r>
            <w:r w:rsidRPr="00A572F4">
              <w:t>arts of this unit and, performed in accordance with the Assessment Guidelines of this Training Package.</w:t>
            </w:r>
          </w:p>
        </w:tc>
      </w:tr>
    </w:tbl>
    <w:p w:rsidR="00000000" w:rsidRPr="00A572F4" w:rsidP="00A572F4">
      <w:pPr>
        <w:pStyle w:val="BodyText"/>
      </w:pPr>
    </w:p>
    <w:tbl>
      <w:tblPr>
        <w:tblW w:w="0" w:type="auto"/>
        <w:tblLayout w:type="fixed"/>
        <w:tblCellMar>
          <w:left w:w="62" w:type="dxa"/>
          <w:right w:w="62" w:type="dxa"/>
        </w:tblCellMar>
        <w:tblLook w:val="0000"/>
      </w:tblPr>
      <w:tblGrid>
        <w:gridCol w:w="1890"/>
        <w:gridCol w:w="6570"/>
      </w:tblGrid>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9.1)</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Longitudinal competency development approaches to assessment, such as Profiling, require data to be reliably gathered in a form that can be consistently interpreted over time. This approach is best utilised in Apprenticeship programs and reduces assessment</w:t>
            </w:r>
            <w:r w:rsidRPr="00A572F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572F4">
              <w:t>tency in a realistically simulated work environment. It is recognised that, in some circumstances, assessment in part or full can occur outside the workplace. However, it must be in accord with Industry and, Regulatory policy in this regard.</w:t>
            </w:r>
          </w:p>
          <w:p w:rsidR="00000000" w:rsidRPr="00A572F4" w:rsidP="00A572F4">
            <w:pPr>
              <w:pStyle w:val="BodyText"/>
            </w:pPr>
            <w:r w:rsidRPr="00A572F4">
              <w:t>Methods chosen</w:t>
            </w:r>
            <w:r w:rsidRPr="00A572F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572F4">
              <w:t>equired and the critical nature of the competencies being assessed.</w:t>
            </w:r>
          </w:p>
          <w:p w:rsidR="00000000" w:rsidRPr="00A572F4" w:rsidP="00A572F4">
            <w:pPr>
              <w:pStyle w:val="BodyText"/>
            </w:pPr>
            <w:r w:rsidRPr="00A572F4">
              <w:t>The critical safety nature of working with electricity, electrical equipment, gas or any other hazardous substance/material carries risk in deeming a person competent. Hence, sources of ev</w:t>
            </w:r>
            <w:r w:rsidRPr="00A572F4">
              <w:t>idence need to be ‘rich’ in nature so as to minimise error in judgment.</w:t>
            </w:r>
          </w:p>
          <w:p w:rsidR="00000000" w:rsidRPr="00A572F4" w:rsidP="00A572F4">
            <w:pPr>
              <w:pStyle w:val="BodyText"/>
            </w:pPr>
            <w:r w:rsidRPr="00A572F4">
              <w:t>Activities associated with normal every day work have a bearing on the decision as to how much and how detailed the data gathered will contribute to its ‘richness’. Some skills are mor</w:t>
            </w:r>
            <w:r w:rsidRPr="00A572F4">
              <w:t>e critical to safety and operational requirements while the same skills may be more or less frequently practiced. These points are raised for the assessors to consider when choosing an assessment method and developing assessment instruments. Sample assessm</w:t>
            </w:r>
            <w:r w:rsidRPr="00A572F4">
              <w:t>ent instruments are included for Assessors in the Assessment Guidelines of this Training Package.</w:t>
            </w:r>
          </w:p>
        </w:tc>
      </w:tr>
    </w:tbl>
    <w:p w:rsidR="00000000" w:rsidRPr="00A572F4" w:rsidP="00A572F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9.2)</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Before the critical aspects of evidence are considered all prerequisi</w:t>
            </w:r>
            <w:r w:rsidRPr="00A572F4">
              <w:t>tes shall be met.</w:t>
            </w:r>
          </w:p>
          <w:p w:rsidR="00000000" w:rsidRPr="00A572F4" w:rsidP="00A572F4">
            <w:pPr>
              <w:pStyle w:val="BodyText"/>
            </w:pPr>
            <w:r w:rsidRPr="00A572F4">
              <w:t xml:space="preserve">Evidence for competence in this unit shall be considered holistically. Each element and associated performance criteria shall be demonstrated on at least two occasions in accordance with the “Assessment Guidelines – UET12”. Evidence </w:t>
            </w:r>
            <w:r w:rsidRPr="00A572F4">
              <w:t>shall also comprise:</w:t>
            </w:r>
          </w:p>
          <w:p w:rsidR="00000000" w:rsidRPr="00A572F4" w:rsidP="00A572F4">
            <w:pPr>
              <w:pStyle w:val="ListBullet"/>
            </w:pPr>
            <w:r w:rsidRPr="00A572F4">
              <w:t>A representative body of performance criteria demonstrated within the timeframes typically expected of the discipline, work function and industrial environment. In particular this shall incorporate evidence that shows a candidate is a</w:t>
            </w:r>
            <w:r w:rsidRPr="00A572F4">
              <w:t>ble to:</w:t>
            </w:r>
          </w:p>
          <w:p w:rsidR="00000000" w:rsidRPr="00A572F4" w:rsidP="00A572F4">
            <w:pPr>
              <w:pStyle w:val="ListBullet2"/>
            </w:pPr>
            <w:r w:rsidRPr="00A572F4">
              <w:t>Implement Occupational Health and Safety workplace procedures and practices including the use of risk control measures as specified in the performance criteria and range; and</w:t>
            </w:r>
          </w:p>
          <w:p w:rsidR="00000000" w:rsidRPr="00A572F4" w:rsidP="00A572F4">
            <w:pPr>
              <w:pStyle w:val="ListBullet2"/>
            </w:pPr>
            <w:r w:rsidRPr="00A572F4">
              <w:t>Apply sustainable energy principles and practices as specified in the pe</w:t>
            </w:r>
            <w:r w:rsidRPr="00A572F4">
              <w:t>rformance criteria and range; and</w:t>
            </w:r>
          </w:p>
          <w:p w:rsidR="00000000" w:rsidRPr="00A572F4" w:rsidP="00A572F4">
            <w:pPr>
              <w:pStyle w:val="ListBullet2"/>
            </w:pPr>
            <w:r w:rsidRPr="00A572F4">
              <w:t>Demonstrate an understanding of the essential knowledge and associated skills as described in this unit to such an extent that the learner’s performance outcome is reported in accordance with the preferred approach; namely</w:t>
            </w:r>
            <w:r w:rsidRPr="00A572F4">
              <w:t xml:space="preserve"> a percentile graded result, where required by the regulated environment; and</w:t>
            </w:r>
          </w:p>
          <w:p w:rsidR="00000000" w:rsidRPr="00A572F4" w:rsidP="00A572F4">
            <w:pPr>
              <w:pStyle w:val="ListBullet2"/>
            </w:pPr>
            <w:r w:rsidRPr="00A572F4">
              <w:t>Demonstrate an appropriate level of employability skills; and</w:t>
            </w:r>
          </w:p>
          <w:p w:rsidR="00000000" w:rsidRPr="00A572F4" w:rsidP="00A572F4">
            <w:pPr>
              <w:pStyle w:val="ListBullet"/>
            </w:pPr>
            <w:r w:rsidRPr="00A572F4">
              <w:t>Conduct work observing the relevant Anti Discrimination legislation, regulations, policies and workplace procedures</w:t>
            </w:r>
            <w:r w:rsidRPr="00A572F4">
              <w:t>; and</w:t>
            </w:r>
          </w:p>
          <w:p w:rsidR="00000000" w:rsidP="00A572F4">
            <w:pPr>
              <w:pStyle w:val="ListBullet2"/>
              <w:rPr>
                <w:lang w:val="en-NZ"/>
              </w:rPr>
            </w:pPr>
            <w:r w:rsidRPr="00A572F4">
              <w:t>Demonstrated performance across a representative range of contexts from the prescribed items below:</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572F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rPr>
                <w:rStyle w:val="SpecialBold"/>
              </w:rPr>
              <w:t>Range of tools/equipment/materials/procedures/workplaces/other variables</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572F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rPr>
                <w:rStyle w:val="SpecialBold"/>
              </w:rPr>
              <w:t>The minimum number of items on which skill is to be d</w:t>
            </w:r>
            <w:r w:rsidRPr="00A572F4">
              <w:rPr>
                <w:rStyle w:val="SpecialBold"/>
              </w:rPr>
              <w:t>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rPr>
                <w:rStyle w:val="SpecialBold"/>
              </w:rPr>
              <w:t>Item List</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t>Oil filled cables</w:t>
            </w:r>
          </w:p>
          <w:p w:rsidR="00000000" w:rsidP="00A572F4">
            <w:pPr>
              <w:pStyle w:val="BodyText"/>
              <w:rPr>
                <w:lang w:val="en-NZ"/>
              </w:rPr>
            </w:pPr>
            <w:r w:rsidRPr="00A572F4">
              <w:t>Gas filled cables</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t>Specialised cable installation equipment</w:t>
            </w:r>
          </w:p>
          <w:p w:rsidR="00000000" w:rsidRPr="00A572F4" w:rsidP="00A572F4">
            <w:pPr>
              <w:pStyle w:val="BodyText"/>
            </w:pPr>
            <w:r w:rsidRPr="00A572F4">
              <w:t>Winches</w:t>
            </w:r>
          </w:p>
          <w:p w:rsidR="00000000" w:rsidRPr="00A572F4" w:rsidP="00A572F4">
            <w:pPr>
              <w:pStyle w:val="BodyText"/>
            </w:pPr>
            <w:r w:rsidRPr="00A572F4">
              <w:t>Caterpillars</w:t>
            </w:r>
          </w:p>
          <w:p w:rsidR="00000000" w:rsidRPr="00A572F4" w:rsidP="00A572F4">
            <w:pPr>
              <w:pStyle w:val="BodyText"/>
            </w:pPr>
            <w:r w:rsidRPr="00A572F4">
              <w:t>Rollers</w:t>
            </w:r>
          </w:p>
          <w:p w:rsidR="00000000" w:rsidRPr="00A572F4" w:rsidP="00A572F4">
            <w:pPr>
              <w:pStyle w:val="BodyText"/>
            </w:pPr>
            <w:r w:rsidRPr="00A572F4">
              <w:t>Bond lines</w:t>
            </w:r>
          </w:p>
          <w:p w:rsidR="00000000" w:rsidRPr="00A572F4" w:rsidP="00A572F4">
            <w:pPr>
              <w:pStyle w:val="BodyText"/>
            </w:pPr>
            <w:r w:rsidRPr="00A572F4">
              <w:t>Drum jacks</w:t>
            </w:r>
          </w:p>
          <w:p w:rsidR="00000000" w:rsidP="00A572F4">
            <w:pPr>
              <w:pStyle w:val="BodyText"/>
              <w:rPr>
                <w:lang w:val="en-NZ"/>
              </w:rPr>
            </w:pPr>
            <w:r w:rsidRPr="00A572F4">
              <w:t>Install cable end caps/nose pull assemblies</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t>Straight through joint</w:t>
            </w:r>
          </w:p>
          <w:p w:rsidR="00000000" w:rsidRPr="00A572F4" w:rsidP="00A572F4">
            <w:pPr>
              <w:pStyle w:val="BodyText"/>
            </w:pPr>
            <w:r w:rsidRPr="00A572F4">
              <w:t>Straight stop joint</w:t>
            </w:r>
          </w:p>
          <w:p w:rsidR="00000000" w:rsidRPr="00A572F4" w:rsidP="00A572F4">
            <w:pPr>
              <w:pStyle w:val="BodyText"/>
            </w:pPr>
            <w:r w:rsidRPr="00A572F4">
              <w:t>Trifurcating joint</w:t>
            </w:r>
          </w:p>
          <w:p w:rsidR="00000000" w:rsidRPr="00A572F4" w:rsidP="00A572F4">
            <w:pPr>
              <w:pStyle w:val="BodyText"/>
            </w:pPr>
            <w:r w:rsidRPr="00A572F4">
              <w:t>Splitter joint</w:t>
            </w:r>
          </w:p>
          <w:p w:rsidR="00000000" w:rsidP="00A572F4">
            <w:pPr>
              <w:pStyle w:val="BodyText"/>
              <w:rPr>
                <w:lang w:val="en-NZ"/>
              </w:rPr>
            </w:pPr>
            <w:r w:rsidRPr="00A572F4">
              <w:t>Trifurcating/transition/sto</w:t>
            </w:r>
            <w:r w:rsidRPr="00A572F4">
              <w:t>p</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t>Box termination</w:t>
            </w:r>
          </w:p>
          <w:p w:rsidR="00000000" w:rsidRPr="00A572F4" w:rsidP="00A572F4">
            <w:pPr>
              <w:pStyle w:val="BodyText"/>
            </w:pPr>
            <w:r w:rsidRPr="00A572F4">
              <w:t>Gas filled termination</w:t>
            </w:r>
          </w:p>
          <w:p w:rsidR="00000000" w:rsidP="00A572F4">
            <w:pPr>
              <w:pStyle w:val="BodyText"/>
              <w:rPr>
                <w:lang w:val="en-NZ"/>
              </w:rPr>
            </w:pPr>
            <w:r w:rsidRPr="00A572F4">
              <w:t>Compound filled termination</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t>Welded connectors</w:t>
            </w:r>
          </w:p>
          <w:p w:rsidR="00000000" w:rsidRPr="00A572F4" w:rsidP="00A572F4">
            <w:pPr>
              <w:pStyle w:val="BodyText"/>
            </w:pPr>
            <w:r w:rsidRPr="00A572F4">
              <w:t>Mechanical connectors</w:t>
            </w:r>
          </w:p>
          <w:p w:rsidR="00000000" w:rsidP="00A572F4">
            <w:pPr>
              <w:pStyle w:val="BodyText"/>
              <w:rPr>
                <w:lang w:val="en-NZ"/>
              </w:rPr>
            </w:pPr>
            <w:r w:rsidRPr="00A572F4">
              <w:t>Compression connectors</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2F4">
            <w:pPr>
              <w:pStyle w:val="BodyText"/>
              <w:rPr>
                <w:lang w:val="en-NZ"/>
              </w:rPr>
            </w:pPr>
            <w:r w:rsidRPr="00A572F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2F4" w:rsidP="00A572F4">
            <w:pPr>
              <w:pStyle w:val="BodyText"/>
            </w:pPr>
            <w:r w:rsidRPr="00A572F4">
              <w:t>Dealing with an unplanned event by drawing on essential knowledge and associated skills to provide appropriate solutions incorporated i</w:t>
            </w:r>
            <w:r w:rsidRPr="00A572F4">
              <w:t>n the holistic assessment with the above listed items.</w:t>
            </w:r>
          </w:p>
        </w:tc>
      </w:tr>
    </w:tbl>
    <w:p w:rsidR="00000000" w:rsidRPr="00A572F4" w:rsidP="00A572F4">
      <w:pPr>
        <w:pStyle w:val="BodyText"/>
      </w:pPr>
    </w:p>
    <w:tbl>
      <w:tblPr>
        <w:tblW w:w="0" w:type="auto"/>
        <w:tblLayout w:type="fixed"/>
        <w:tblCellMar>
          <w:left w:w="62" w:type="dxa"/>
          <w:right w:w="62" w:type="dxa"/>
        </w:tblCellMar>
        <w:tblLook w:val="0000"/>
      </w:tblPr>
      <w:tblGrid>
        <w:gridCol w:w="1890"/>
        <w:gridCol w:w="6570"/>
      </w:tblGrid>
      <w:tr w:rsidTr="00DD138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9.3)</w:t>
            </w:r>
          </w:p>
        </w:tc>
      </w:tr>
      <w:tr w:rsidTr="00DD138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 xml:space="preserve">This unit should be assessed as it relates to normal work practice using procedures, information and resources typical of a workplace. This </w:t>
            </w:r>
            <w:r w:rsidRPr="00A572F4">
              <w:t>should include:</w:t>
            </w:r>
          </w:p>
          <w:p w:rsidR="00000000" w:rsidRPr="00A572F4" w:rsidP="00A572F4">
            <w:pPr>
              <w:pStyle w:val="ListBullet"/>
            </w:pPr>
            <w:r w:rsidRPr="00A572F4">
              <w:t>OHS policy and work procedures and instructions.</w:t>
            </w:r>
          </w:p>
          <w:p w:rsidR="00000000" w:rsidRPr="00A572F4" w:rsidP="00A572F4">
            <w:pPr>
              <w:pStyle w:val="ListBullet"/>
            </w:pPr>
            <w:r w:rsidRPr="00A572F4">
              <w:t>Suitable work environment, facilities, equipment and materials to undertake actual installation of oil and gas filled specialised underground cables.</w:t>
            </w:r>
          </w:p>
          <w:p w:rsidR="00000000" w:rsidRPr="00A572F4" w:rsidP="00A572F4">
            <w:pPr>
              <w:pStyle w:val="BodyText"/>
            </w:pPr>
            <w:r w:rsidRPr="00A572F4">
              <w:t>In addition to the resources listed abov</w:t>
            </w:r>
            <w:r w:rsidRPr="00A572F4">
              <w:t xml:space="preserve">e, in context of and specific resources for assessment, evidence should show demonstrated competency working at realistic heights above ground i.e. above 3 metres, in limited spaces, with different structural/construction types and method and in a variety </w:t>
            </w:r>
            <w:r w:rsidRPr="00A572F4">
              <w:t>of environments.</w:t>
            </w:r>
          </w:p>
        </w:tc>
      </w:tr>
    </w:tbl>
    <w:p w:rsidR="00000000" w:rsidRPr="00A572F4" w:rsidP="00A572F4">
      <w:pPr>
        <w:pStyle w:val="BodyText"/>
      </w:pPr>
    </w:p>
    <w:tbl>
      <w:tblPr>
        <w:tblW w:w="0" w:type="auto"/>
        <w:tblLayout w:type="fixed"/>
        <w:tblCellMar>
          <w:left w:w="62" w:type="dxa"/>
          <w:right w:w="62" w:type="dxa"/>
        </w:tblCellMar>
        <w:tblLook w:val="0000"/>
      </w:tblPr>
      <w:tblGrid>
        <w:gridCol w:w="1890"/>
        <w:gridCol w:w="6570"/>
      </w:tblGrid>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9.4)</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This Competency Standard Unit shall be assessed by methods given in Volume 1, Part 3 “Assessment Guidelines”.</w:t>
            </w:r>
          </w:p>
          <w:p w:rsidR="00000000" w:rsidRPr="00A572F4" w:rsidP="00A572F4">
            <w:pPr>
              <w:pStyle w:val="BodyText"/>
            </w:pPr>
            <w:r w:rsidRPr="00A572F4">
              <w:t>Note:</w:t>
            </w:r>
          </w:p>
          <w:p w:rsidR="00000000" w:rsidRPr="00A572F4" w:rsidP="00A572F4">
            <w:pPr>
              <w:pStyle w:val="BodyText"/>
            </w:pPr>
            <w:r w:rsidRPr="00A572F4">
              <w:t>Competent performance with inherent safe working pract</w:t>
            </w:r>
            <w:r w:rsidRPr="00A572F4">
              <w:t>ices is expected in the Industry to which this Competency Standard Unit applies. This requires that the specified essential knowledge and associated skills are assessed in a structured environment which is primarily intended for learning/assessment and inc</w:t>
            </w:r>
            <w:r w:rsidRPr="00A572F4">
              <w:t>orporates all necessary equipment and facilities for learners to develop and demonstrate the essential knowledge and associated skills described in this unit.</w:t>
            </w:r>
          </w:p>
        </w:tc>
      </w:tr>
    </w:tbl>
    <w:p w:rsidR="00000000" w:rsidRPr="00A572F4" w:rsidP="00A572F4">
      <w:pPr>
        <w:pStyle w:val="BodyText"/>
      </w:pPr>
    </w:p>
    <w:tbl>
      <w:tblPr>
        <w:tblW w:w="0" w:type="auto"/>
        <w:tblLayout w:type="fixed"/>
        <w:tblCellMar>
          <w:left w:w="62" w:type="dxa"/>
          <w:right w:w="62" w:type="dxa"/>
        </w:tblCellMar>
        <w:tblLook w:val="0000"/>
      </w:tblPr>
      <w:tblGrid>
        <w:gridCol w:w="1890"/>
        <w:gridCol w:w="1530"/>
        <w:gridCol w:w="5040"/>
      </w:tblGrid>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9.5)</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For optimisation of training an</w:t>
            </w:r>
            <w:r w:rsidRPr="00A572F4">
              <w:t xml:space="preserve">d assessment effort, competence in this unit may be assessed concurrently with the following units: </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UETTDRCJ30A</w:t>
            </w:r>
          </w:p>
        </w:tc>
        <w:tc>
          <w:tcPr>
            <w:tcW w:w="504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Maintain gas and oil filled specialised underground cables</w:t>
            </w:r>
          </w:p>
        </w:tc>
      </w:tr>
      <w:tr w:rsidTr="00DD138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t>UETTDRCJ31A</w:t>
            </w:r>
          </w:p>
        </w:tc>
        <w:tc>
          <w:tcPr>
            <w:tcW w:w="504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Install and maintain polymeric specialised underground cables</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11" w:name="O_461831"/>
      <w:bookmarkEnd w:id="11"/>
      <w:r w:rsidRPr="00A572F4">
        <w:t>Range Statement</w:t>
      </w:r>
    </w:p>
    <w:tbl>
      <w:tblPr>
        <w:tblW w:w="0" w:type="auto"/>
        <w:tblLayout w:type="fixed"/>
        <w:tblCellMar>
          <w:left w:w="62" w:type="dxa"/>
          <w:right w:w="62" w:type="dxa"/>
        </w:tblCellMar>
        <w:tblLook w:val="0000"/>
      </w:tblPr>
      <w:tblGrid>
        <w:gridCol w:w="8460"/>
      </w:tblGrid>
      <w:tr w:rsidTr="00DD13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RANGE STATEMENT</w:t>
            </w:r>
          </w:p>
        </w:tc>
      </w:tr>
      <w:tr w:rsidTr="00DD13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10)</w:t>
            </w:r>
            <w:r w:rsidRPr="00A572F4">
              <w:t xml:space="preserve"> This relates to the unit of competency as a whole providing the range of contexts and conditions </w:t>
            </w:r>
            <w:r w:rsidRPr="00A572F4">
              <w:t>to which the performance criteria apply. It allows for different work environments and situations that will affect performance.</w:t>
            </w:r>
          </w:p>
          <w:p w:rsidR="00000000" w:rsidRPr="00A572F4" w:rsidP="00A572F4">
            <w:pPr>
              <w:pStyle w:val="BodyText"/>
            </w:pPr>
            <w:r w:rsidRPr="00A572F4">
              <w:t>This Competency Standard Unit shall be demonstrated in relation to the installation of oil and gas filled specialised undergroun</w:t>
            </w:r>
            <w:r w:rsidRPr="00A572F4">
              <w:t>d cables and may include the following:</w:t>
            </w:r>
          </w:p>
          <w:p w:rsidR="00000000" w:rsidRPr="00A572F4" w:rsidP="00A572F4">
            <w:pPr>
              <w:pStyle w:val="BodyText"/>
            </w:pPr>
            <w:r w:rsidRPr="00A572F4">
              <w:t>Cable type includes: Pressurised oil filled and gas filled cables 33 kV and above.</w:t>
            </w:r>
          </w:p>
          <w:p w:rsidR="00000000" w:rsidRPr="00A572F4" w:rsidP="00A572F4">
            <w:pPr>
              <w:pStyle w:val="BodyText"/>
            </w:pPr>
            <w:r w:rsidRPr="00A572F4">
              <w:t>Testing and recording equipment may include voltage detectors, cable identification equipment, insulation resistance testers.</w:t>
            </w:r>
          </w:p>
          <w:p w:rsidR="00000000" w:rsidRPr="00A572F4" w:rsidP="00A572F4">
            <w:pPr>
              <w:pStyle w:val="BodyText"/>
            </w:pPr>
            <w:r w:rsidRPr="00A572F4">
              <w:t>Jointin</w:t>
            </w:r>
            <w:r w:rsidRPr="00A572F4">
              <w:t>g and terminating materials: compound and resin filled boxes, paper tape/roll materials, polymeric tape materials, heat shrink materials, “slip on” moulded components, molten solders and gas/oil piping and fittings. compression, mechanical , solder lugs an</w:t>
            </w:r>
            <w:r w:rsidRPr="00A572F4">
              <w:t xml:space="preserve">d ferrules and welded connections. </w:t>
            </w:r>
          </w:p>
          <w:p w:rsidR="00000000" w:rsidRPr="00A572F4" w:rsidP="00A572F4">
            <w:pPr>
              <w:pStyle w:val="BodyText"/>
            </w:pPr>
            <w:r w:rsidRPr="00A572F4">
              <w:t>The following constants and variables included in the element/performance criteria in this unit are fully described in the Definitions Section 1 of this volume and form an integral part of the Range Statement of this uni</w:t>
            </w:r>
            <w:r w:rsidRPr="00A572F4">
              <w:t>t:</w:t>
            </w:r>
          </w:p>
          <w:p w:rsidR="00000000" w:rsidRPr="00A572F4" w:rsidP="00A572F4">
            <w:pPr>
              <w:pStyle w:val="ListBullet3"/>
            </w:pPr>
            <w:r w:rsidRPr="00A572F4">
              <w:t>Appropriate and relevant persons (see Personnel)</w:t>
            </w:r>
          </w:p>
          <w:p w:rsidR="00000000" w:rsidRPr="00A572F4" w:rsidP="00A572F4">
            <w:pPr>
              <w:pStyle w:val="ListBullet3"/>
            </w:pPr>
            <w:r w:rsidRPr="00A572F4">
              <w:t>Appropriate authorities</w:t>
            </w:r>
          </w:p>
          <w:p w:rsidR="00000000" w:rsidRPr="00A572F4" w:rsidP="00A572F4">
            <w:pPr>
              <w:pStyle w:val="ListBullet3"/>
            </w:pPr>
            <w:r w:rsidRPr="00A572F4">
              <w:t>Appropriate work platform</w:t>
            </w:r>
          </w:p>
          <w:p w:rsidR="00000000" w:rsidRPr="00A572F4" w:rsidP="00A572F4">
            <w:pPr>
              <w:pStyle w:val="ListBullet3"/>
            </w:pPr>
            <w:r w:rsidRPr="00A572F4">
              <w:t>Assessing risk</w:t>
            </w:r>
          </w:p>
          <w:p w:rsidR="00000000" w:rsidRPr="00A572F4" w:rsidP="00A572F4">
            <w:pPr>
              <w:pStyle w:val="ListBullet3"/>
            </w:pPr>
            <w:r w:rsidRPr="00A572F4">
              <w:t>Assessment</w:t>
            </w:r>
          </w:p>
          <w:p w:rsidR="00000000" w:rsidRPr="00A572F4" w:rsidP="00A572F4">
            <w:pPr>
              <w:pStyle w:val="ListBullet3"/>
            </w:pPr>
            <w:r w:rsidRPr="00A572F4">
              <w:t>Authorisation</w:t>
            </w:r>
          </w:p>
          <w:p w:rsidR="00000000" w:rsidRPr="00A572F4" w:rsidP="00A572F4">
            <w:pPr>
              <w:pStyle w:val="ListBullet3"/>
            </w:pPr>
            <w:r w:rsidRPr="00A572F4">
              <w:t>Confined space</w:t>
            </w:r>
          </w:p>
          <w:p w:rsidR="00000000" w:rsidRPr="00A572F4" w:rsidP="00A572F4">
            <w:pPr>
              <w:pStyle w:val="ListBullet3"/>
            </w:pPr>
            <w:r w:rsidRPr="00A572F4">
              <w:t>Diagnostic, testing and restoration</w:t>
            </w:r>
          </w:p>
          <w:p w:rsidR="00000000" w:rsidRPr="00A572F4" w:rsidP="00A572F4">
            <w:pPr>
              <w:pStyle w:val="ListBullet3"/>
            </w:pPr>
            <w:r w:rsidRPr="00A572F4">
              <w:t>Documenting detail work events, record keeping and or storage of information</w:t>
            </w:r>
          </w:p>
          <w:p w:rsidR="00000000" w:rsidRPr="00A572F4" w:rsidP="00A572F4">
            <w:pPr>
              <w:pStyle w:val="ListBullet3"/>
            </w:pPr>
            <w:r w:rsidRPr="00A572F4">
              <w:t>Drawings and specifications</w:t>
            </w:r>
          </w:p>
          <w:p w:rsidR="00000000" w:rsidRPr="00A572F4" w:rsidP="00A572F4">
            <w:pPr>
              <w:pStyle w:val="ListBullet3"/>
            </w:pPr>
            <w:r w:rsidRPr="00A572F4">
              <w:t>Emergency</w:t>
            </w:r>
          </w:p>
          <w:p w:rsidR="00000000" w:rsidRPr="00A572F4" w:rsidP="00A572F4">
            <w:pPr>
              <w:pStyle w:val="ListBullet3"/>
            </w:pPr>
            <w:r w:rsidRPr="00A572F4">
              <w:t>Environmental and sustainable energy procedures</w:t>
            </w:r>
          </w:p>
          <w:p w:rsidR="00000000" w:rsidRPr="00A572F4" w:rsidP="00A572F4">
            <w:pPr>
              <w:pStyle w:val="ListBullet3"/>
            </w:pPr>
            <w:r w:rsidRPr="00A572F4">
              <w:t>Environmental legislation</w:t>
            </w:r>
          </w:p>
          <w:p w:rsidR="00000000" w:rsidRPr="00A572F4" w:rsidP="00A572F4">
            <w:pPr>
              <w:pStyle w:val="ListBullet3"/>
            </w:pPr>
            <w:r w:rsidRPr="00A572F4">
              <w:t>Environmental management documentation</w:t>
            </w:r>
          </w:p>
          <w:p w:rsidR="00000000" w:rsidRPr="00A572F4" w:rsidP="00A572F4">
            <w:pPr>
              <w:pStyle w:val="ListBullet3"/>
            </w:pPr>
            <w:r w:rsidRPr="00A572F4">
              <w:t>Established procedures</w:t>
            </w:r>
          </w:p>
          <w:p w:rsidR="00000000" w:rsidRPr="00A572F4" w:rsidP="00A572F4">
            <w:pPr>
              <w:pStyle w:val="ListBullet3"/>
            </w:pPr>
            <w:r w:rsidRPr="00A572F4">
              <w:t xml:space="preserve">Fall </w:t>
            </w:r>
            <w:r w:rsidRPr="00A572F4">
              <w:t>prevention</w:t>
            </w:r>
          </w:p>
          <w:p w:rsidR="00000000" w:rsidRPr="00A572F4" w:rsidP="00A572F4">
            <w:pPr>
              <w:pStyle w:val="ListBullet3"/>
            </w:pPr>
            <w:r w:rsidRPr="00A572F4">
              <w:t>Hazards</w:t>
            </w:r>
          </w:p>
          <w:p w:rsidR="00000000" w:rsidRPr="00A572F4" w:rsidP="00A572F4">
            <w:pPr>
              <w:pStyle w:val="ListBullet3"/>
            </w:pPr>
            <w:r w:rsidRPr="00A572F4">
              <w:t>Identifying hazards</w:t>
            </w:r>
          </w:p>
          <w:p w:rsidR="00000000" w:rsidRPr="00A572F4" w:rsidP="00A572F4">
            <w:pPr>
              <w:pStyle w:val="ListBullet3"/>
            </w:pPr>
            <w:r w:rsidRPr="00A572F4">
              <w:t>Inspect</w:t>
            </w:r>
          </w:p>
          <w:p w:rsidR="00000000" w:rsidRPr="00A572F4" w:rsidP="00A572F4">
            <w:pPr>
              <w:pStyle w:val="ListBullet3"/>
            </w:pPr>
            <w:r w:rsidRPr="00A572F4">
              <w:t>Legislation</w:t>
            </w:r>
          </w:p>
          <w:p w:rsidR="00000000" w:rsidRPr="00A572F4" w:rsidP="00A572F4">
            <w:pPr>
              <w:pStyle w:val="ListBullet3"/>
            </w:pPr>
            <w:r w:rsidRPr="00A572F4">
              <w:t>MSDS</w:t>
            </w:r>
          </w:p>
          <w:p w:rsidR="00000000" w:rsidRPr="00A572F4" w:rsidP="00A572F4">
            <w:pPr>
              <w:pStyle w:val="ListBullet3"/>
            </w:pPr>
            <w:r w:rsidRPr="00A572F4">
              <w:t>Notification</w:t>
            </w:r>
          </w:p>
          <w:p w:rsidR="00000000" w:rsidRPr="00A572F4" w:rsidP="00A572F4">
            <w:pPr>
              <w:pStyle w:val="ListBullet3"/>
            </w:pPr>
            <w:r w:rsidRPr="00A572F4">
              <w:t>OHS practices</w:t>
            </w:r>
          </w:p>
          <w:p w:rsidR="00000000" w:rsidRPr="00A572F4" w:rsidP="00A572F4">
            <w:pPr>
              <w:pStyle w:val="ListBullet3"/>
            </w:pPr>
            <w:r w:rsidRPr="00A572F4">
              <w:t>OHS issues</w:t>
            </w:r>
          </w:p>
          <w:p w:rsidR="00000000" w:rsidRPr="00A572F4" w:rsidP="00A572F4">
            <w:pPr>
              <w:pStyle w:val="ListBullet3"/>
            </w:pPr>
            <w:r w:rsidRPr="00A572F4">
              <w:t>Permits and/or permits to work</w:t>
            </w:r>
          </w:p>
          <w:p w:rsidR="00000000" w:rsidRPr="00A572F4" w:rsidP="00A572F4">
            <w:pPr>
              <w:pStyle w:val="ListBullet3"/>
            </w:pPr>
            <w:r w:rsidRPr="00A572F4">
              <w:t>Personnel</w:t>
            </w:r>
          </w:p>
          <w:p w:rsidR="00000000" w:rsidRPr="00A572F4" w:rsidP="00A572F4">
            <w:pPr>
              <w:pStyle w:val="ListBullet3"/>
            </w:pPr>
            <w:r w:rsidRPr="00A572F4">
              <w:t>Quality assurance systems</w:t>
            </w:r>
          </w:p>
          <w:p w:rsidR="00000000" w:rsidRPr="00A572F4" w:rsidP="00A572F4">
            <w:pPr>
              <w:pStyle w:val="ListBullet3"/>
            </w:pPr>
            <w:r w:rsidRPr="00A572F4">
              <w:t>Requirements</w:t>
            </w:r>
          </w:p>
          <w:p w:rsidR="00000000" w:rsidRPr="00A572F4" w:rsidP="00A572F4">
            <w:pPr>
              <w:pStyle w:val="ListBullet3"/>
            </w:pPr>
            <w:r w:rsidRPr="00A572F4">
              <w:t>Testing procedures</w:t>
            </w:r>
          </w:p>
          <w:p w:rsidR="00000000" w:rsidRPr="00A572F4" w:rsidP="00A572F4">
            <w:pPr>
              <w:pStyle w:val="ListBullet3"/>
            </w:pPr>
            <w:r w:rsidRPr="00A572F4">
              <w:t>Work clearance systems</w:t>
            </w:r>
          </w:p>
        </w:tc>
      </w:tr>
    </w:tbl>
    <w:p w:rsidR="00000000" w:rsidRPr="00A572F4" w:rsidP="00A572F4">
      <w:pPr>
        <w:pStyle w:val="BodyText"/>
      </w:pPr>
    </w:p>
    <w:p w:rsidR="00000000" w:rsidRPr="00A572F4" w:rsidP="00A572F4">
      <w:pPr>
        <w:pStyle w:val="AllowPageBreak"/>
      </w:pPr>
    </w:p>
    <w:p w:rsidR="00000000" w:rsidRPr="00A572F4" w:rsidP="00A572F4">
      <w:pPr>
        <w:pStyle w:val="Heading1"/>
      </w:pPr>
      <w:bookmarkStart w:id="12" w:name="O_461834"/>
      <w:bookmarkEnd w:id="12"/>
      <w:r w:rsidRPr="00A572F4">
        <w:t>Unit Sector(s)</w:t>
      </w:r>
    </w:p>
    <w:p w:rsidR="00000000" w:rsidRPr="00A572F4" w:rsidP="00A572F4">
      <w:pPr>
        <w:pStyle w:val="BodyText"/>
      </w:pPr>
      <w:r w:rsidRPr="00A572F4">
        <w:t>Not applicable.</w:t>
      </w:r>
    </w:p>
    <w:p w:rsidR="00000000" w:rsidRPr="00A572F4" w:rsidP="00A572F4">
      <w:pPr>
        <w:pStyle w:val="AllowPageBreak"/>
      </w:pPr>
    </w:p>
    <w:p w:rsidR="00000000" w:rsidRPr="00A572F4" w:rsidP="00A572F4">
      <w:pPr>
        <w:pStyle w:val="Heading1"/>
      </w:pPr>
      <w:bookmarkStart w:id="13" w:name="O_461823"/>
      <w:bookmarkEnd w:id="13"/>
      <w:r w:rsidRPr="00A572F4">
        <w:t>Competency Field</w:t>
      </w:r>
    </w:p>
    <w:tbl>
      <w:tblPr>
        <w:tblW w:w="0" w:type="auto"/>
        <w:tblLayout w:type="fixed"/>
        <w:tblCellMar>
          <w:left w:w="62" w:type="dxa"/>
          <w:right w:w="62" w:type="dxa"/>
        </w:tblCellMar>
        <w:tblLook w:val="0000"/>
      </w:tblPr>
      <w:tblGrid>
        <w:gridCol w:w="2700"/>
        <w:gridCol w:w="5760"/>
      </w:tblGrid>
      <w:tr w:rsidTr="00DD13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572F4">
            <w:pPr>
              <w:pStyle w:val="BodyText"/>
              <w:rPr>
                <w:lang w:val="en-NZ"/>
              </w:rPr>
            </w:pPr>
            <w:r w:rsidRPr="00A572F4">
              <w:rPr>
                <w:rStyle w:val="SpecialBold"/>
              </w:rPr>
              <w:t xml:space="preserve">11) </w:t>
            </w:r>
          </w:p>
        </w:tc>
      </w:tr>
      <w:tr w:rsidTr="00DD13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572F4" w:rsidP="00A572F4">
            <w:pPr>
              <w:pStyle w:val="BodyText"/>
            </w:pPr>
            <w:r w:rsidRPr="00A572F4">
              <w:t>Cable Jointing</w:t>
            </w:r>
          </w:p>
        </w:tc>
      </w:tr>
    </w:tbl>
    <w:p w:rsidR="00000000" w:rsidRPr="00A572F4" w:rsidP="00A572F4">
      <w:pPr>
        <w:pStyle w:val="BodyText"/>
      </w:pPr>
    </w:p>
    <w:p w:rsidR="00000000" w:rsidRPr="00A572F4" w:rsidP="00A572F4"/>
    <w:sectPr w:rsidSect="00A57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381" w:rsidP="00DD1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381" w:rsidP="00A57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D1381" w:rsidP="00A572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1381" w:rsidP="00A572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381" w:rsidP="00DD13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381" w:rsidP="00A572F4">
    <w:pPr>
      <w:pStyle w:val="Header"/>
      <w:framePr w:wrap="around"/>
    </w:pPr>
    <w:r>
      <w:fldChar w:fldCharType="begin"/>
    </w:r>
    <w:r>
      <w:instrText xml:space="preserve"> TITLE   \* MERGEFORMAT </w:instrText>
    </w:r>
    <w:r>
      <w:fldChar w:fldCharType="separate"/>
    </w:r>
    <w:r>
      <w:t>UETTDRCJ29A Install gas and oil filled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1381" w:rsidP="00A572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42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EE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124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2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72F4"/>
    <w:pPr>
      <w:spacing w:before="360" w:after="60"/>
      <w:outlineLvl w:val="0"/>
    </w:pPr>
    <w:rPr>
      <w:sz w:val="32"/>
    </w:rPr>
  </w:style>
  <w:style w:type="paragraph" w:styleId="Heading2">
    <w:name w:val="heading 2"/>
    <w:basedOn w:val="HeadingBase"/>
    <w:next w:val="BodyText"/>
    <w:link w:val="Heading2Char"/>
    <w:qFormat/>
    <w:rsid w:val="00A572F4"/>
    <w:pPr>
      <w:keepLines/>
      <w:spacing w:before="240" w:after="120"/>
      <w:outlineLvl w:val="1"/>
    </w:pPr>
    <w:rPr>
      <w:sz w:val="28"/>
      <w:szCs w:val="40"/>
    </w:rPr>
  </w:style>
  <w:style w:type="paragraph" w:styleId="Heading3">
    <w:name w:val="heading 3"/>
    <w:basedOn w:val="HeadingBase"/>
    <w:next w:val="BodyText"/>
    <w:link w:val="Heading3Char"/>
    <w:qFormat/>
    <w:rsid w:val="00A572F4"/>
    <w:pPr>
      <w:spacing w:before="180" w:after="120"/>
      <w:outlineLvl w:val="2"/>
    </w:pPr>
    <w:rPr>
      <w:spacing w:val="-10"/>
      <w:kern w:val="32"/>
    </w:rPr>
  </w:style>
  <w:style w:type="paragraph" w:styleId="Heading4">
    <w:name w:val="heading 4"/>
    <w:basedOn w:val="HeadingBase"/>
    <w:next w:val="BodyText"/>
    <w:link w:val="Heading4Char"/>
    <w:qFormat/>
    <w:rsid w:val="00A572F4"/>
    <w:pPr>
      <w:spacing w:before="160" w:after="120"/>
      <w:outlineLvl w:val="3"/>
    </w:pPr>
    <w:rPr>
      <w:sz w:val="22"/>
    </w:rPr>
  </w:style>
  <w:style w:type="paragraph" w:styleId="Heading5">
    <w:name w:val="heading 5"/>
    <w:basedOn w:val="HeadingBase"/>
    <w:next w:val="Normal"/>
    <w:link w:val="Heading5Char"/>
    <w:qFormat/>
    <w:rsid w:val="00A572F4"/>
    <w:pPr>
      <w:spacing w:before="80"/>
      <w:outlineLvl w:val="4"/>
    </w:pPr>
    <w:rPr>
      <w:color w:val="918585"/>
      <w:sz w:val="20"/>
    </w:rPr>
  </w:style>
  <w:style w:type="paragraph" w:styleId="Heading6">
    <w:name w:val="heading 6"/>
    <w:basedOn w:val="HeadingBase"/>
    <w:next w:val="Normal"/>
    <w:link w:val="Heading6Char"/>
    <w:qFormat/>
    <w:rsid w:val="00A572F4"/>
    <w:pPr>
      <w:spacing w:before="60"/>
      <w:outlineLvl w:val="5"/>
    </w:pPr>
    <w:rPr>
      <w:color w:val="918585"/>
      <w:sz w:val="20"/>
    </w:rPr>
  </w:style>
  <w:style w:type="paragraph" w:styleId="Heading7">
    <w:name w:val="heading 7"/>
    <w:basedOn w:val="Normal"/>
    <w:next w:val="Normal"/>
    <w:link w:val="Heading7Char"/>
    <w:qFormat/>
    <w:rsid w:val="00A572F4"/>
    <w:pPr>
      <w:ind w:left="720"/>
      <w:outlineLvl w:val="6"/>
    </w:pPr>
    <w:rPr>
      <w:i/>
    </w:rPr>
  </w:style>
  <w:style w:type="paragraph" w:styleId="Heading8">
    <w:name w:val="heading 8"/>
    <w:basedOn w:val="Normal"/>
    <w:next w:val="Normal"/>
    <w:link w:val="Heading8Char"/>
    <w:qFormat/>
    <w:rsid w:val="00A572F4"/>
    <w:pPr>
      <w:ind w:left="720"/>
      <w:outlineLvl w:val="7"/>
    </w:pPr>
    <w:rPr>
      <w:i/>
    </w:rPr>
  </w:style>
  <w:style w:type="paragraph" w:styleId="Heading9">
    <w:name w:val="heading 9"/>
    <w:basedOn w:val="Normal"/>
    <w:next w:val="Normal"/>
    <w:link w:val="Heading9Char"/>
    <w:qFormat/>
    <w:rsid w:val="00A572F4"/>
    <w:pPr>
      <w:ind w:left="720"/>
      <w:outlineLvl w:val="8"/>
    </w:pPr>
    <w:rPr>
      <w:i/>
    </w:rPr>
  </w:style>
  <w:style w:type="character" w:default="1" w:styleId="DefaultParagraphFont">
    <w:name w:val="Default Paragraph Font"/>
    <w:uiPriority w:val="1"/>
    <w:unhideWhenUsed/>
    <w:rsid w:val="00A57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2F4"/>
  </w:style>
  <w:style w:type="character" w:customStyle="1" w:styleId="Heading1Char">
    <w:name w:val="Heading 1 Char"/>
    <w:basedOn w:val="DefaultParagraphFont"/>
    <w:link w:val="Heading1"/>
    <w:rsid w:val="00A572F4"/>
    <w:rPr>
      <w:rFonts w:ascii="Times New Roman" w:eastAsia="Times New Roman" w:hAnsi="Times New Roman" w:cs="Times New Roman"/>
      <w:b/>
      <w:sz w:val="32"/>
      <w:szCs w:val="20"/>
      <w:lang w:eastAsia="en-US"/>
    </w:rPr>
  </w:style>
  <w:style w:type="paragraph" w:styleId="BodyText">
    <w:name w:val="Body Text"/>
    <w:basedOn w:val="Normal"/>
    <w:link w:val="BodyTextChar"/>
    <w:rsid w:val="00A57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2F4"/>
    <w:rPr>
      <w:rFonts w:ascii="Times New Roman" w:eastAsia="Times New Roman" w:hAnsi="Times New Roman" w:cs="Times New Roman"/>
      <w:sz w:val="24"/>
      <w:lang w:val="en-US" w:eastAsia="en-US"/>
    </w:rPr>
  </w:style>
  <w:style w:type="paragraph" w:styleId="Footer">
    <w:name w:val="footer"/>
    <w:basedOn w:val="Normal"/>
    <w:link w:val="FooterChar"/>
    <w:rsid w:val="00A57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2F4"/>
    <w:rPr>
      <w:rFonts w:ascii="Times New Roman" w:eastAsia="Times New Roman" w:hAnsi="Times New Roman" w:cs="Times New Roman"/>
      <w:sz w:val="16"/>
      <w:lang w:val="en-US" w:eastAsia="en-US"/>
    </w:rPr>
  </w:style>
  <w:style w:type="paragraph" w:styleId="ListBullet">
    <w:name w:val="List Bullet"/>
    <w:basedOn w:val="List"/>
    <w:rsid w:val="00A572F4"/>
    <w:pPr>
      <w:numPr>
        <w:numId w:val="14"/>
      </w:numPr>
      <w:tabs>
        <w:tab w:val="clear" w:pos="340"/>
      </w:tabs>
      <w:spacing w:before="40" w:after="40"/>
    </w:pPr>
  </w:style>
  <w:style w:type="character" w:customStyle="1" w:styleId="SpecialBold">
    <w:name w:val="Special Bold"/>
    <w:basedOn w:val="DefaultParagraphFont"/>
    <w:rsid w:val="00A572F4"/>
    <w:rPr>
      <w:b/>
      <w:spacing w:val="0"/>
    </w:rPr>
  </w:style>
  <w:style w:type="paragraph" w:styleId="ListBullet2">
    <w:name w:val="List Bullet 2"/>
    <w:basedOn w:val="List2"/>
    <w:rsid w:val="00A572F4"/>
    <w:pPr>
      <w:numPr>
        <w:numId w:val="15"/>
      </w:numPr>
      <w:tabs>
        <w:tab w:val="clear" w:pos="680"/>
      </w:tabs>
    </w:pPr>
  </w:style>
  <w:style w:type="paragraph" w:styleId="Header">
    <w:name w:val="header"/>
    <w:basedOn w:val="Normal"/>
    <w:link w:val="HeaderChar"/>
    <w:rsid w:val="00A57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2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72F4"/>
    <w:pPr>
      <w:spacing w:before="240" w:after="120"/>
      <w:outlineLvl w:val="0"/>
    </w:pPr>
    <w:rPr>
      <w:rFonts w:ascii="Times New Roman" w:hAnsi="Times New Roman"/>
      <w:b/>
      <w:sz w:val="28"/>
    </w:rPr>
  </w:style>
  <w:style w:type="paragraph" w:customStyle="1" w:styleId="AllowPageBreak">
    <w:name w:val="AllowPageBreak"/>
    <w:rsid w:val="00A572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72F4"/>
    <w:pPr>
      <w:numPr>
        <w:numId w:val="3"/>
      </w:numPr>
      <w:tabs>
        <w:tab w:val="clear" w:pos="1021"/>
      </w:tabs>
      <w:ind w:left="1037" w:hanging="357"/>
    </w:pPr>
  </w:style>
  <w:style w:type="character" w:customStyle="1" w:styleId="Heading2Char">
    <w:name w:val="Heading 2 Char"/>
    <w:basedOn w:val="DefaultParagraphFont"/>
    <w:link w:val="Heading2"/>
    <w:rsid w:val="00A57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2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72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72F4"/>
    <w:rPr>
      <w:rFonts w:ascii="Courier New" w:eastAsia="Times New Roman" w:hAnsi="Courier New" w:cs="Times New Roman"/>
      <w:i/>
      <w:szCs w:val="20"/>
      <w:lang w:val="en-US" w:eastAsia="en-US"/>
    </w:rPr>
  </w:style>
  <w:style w:type="paragraph" w:customStyle="1" w:styleId="HeadingBase">
    <w:name w:val="Heading Base"/>
    <w:rsid w:val="00A57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2F4"/>
    <w:pPr>
      <w:tabs>
        <w:tab w:val="right" w:leader="dot" w:pos="9072"/>
      </w:tabs>
      <w:ind w:left="567"/>
    </w:pPr>
    <w:rPr>
      <w:szCs w:val="22"/>
    </w:rPr>
  </w:style>
  <w:style w:type="paragraph" w:customStyle="1" w:styleId="TOCBase">
    <w:name w:val="TOC Base"/>
    <w:rsid w:val="00A57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2F4"/>
    <w:pPr>
      <w:tabs>
        <w:tab w:val="right" w:leader="dot" w:pos="9072"/>
      </w:tabs>
      <w:spacing w:before="40" w:after="40"/>
      <w:ind w:left="284"/>
    </w:pPr>
    <w:rPr>
      <w:rFonts w:ascii="Times New Roman" w:hAnsi="Times New Roman"/>
    </w:rPr>
  </w:style>
  <w:style w:type="paragraph" w:styleId="TOC1">
    <w:name w:val="toc 1"/>
    <w:basedOn w:val="TOCBase"/>
    <w:next w:val="Normal"/>
    <w:rsid w:val="00A572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2F4"/>
    <w:pPr>
      <w:spacing w:before="5040"/>
      <w:jc w:val="center"/>
    </w:pPr>
    <w:rPr>
      <w:sz w:val="48"/>
      <w:szCs w:val="72"/>
      <w:lang w:val="en-US"/>
    </w:rPr>
  </w:style>
  <w:style w:type="character" w:customStyle="1" w:styleId="TitleChar">
    <w:name w:val="Title Char"/>
    <w:basedOn w:val="DefaultParagraphFont"/>
    <w:link w:val="Title"/>
    <w:rsid w:val="00A57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2F4"/>
    <w:pPr>
      <w:tabs>
        <w:tab w:val="left" w:pos="3600"/>
        <w:tab w:val="left" w:pos="3958"/>
      </w:tabs>
    </w:pPr>
  </w:style>
  <w:style w:type="paragraph" w:styleId="List">
    <w:name w:val="List"/>
    <w:basedOn w:val="BodyText"/>
    <w:next w:val="BodyText"/>
    <w:rsid w:val="00A572F4"/>
    <w:pPr>
      <w:tabs>
        <w:tab w:val="left" w:pos="340"/>
      </w:tabs>
      <w:spacing w:before="60" w:after="60"/>
      <w:ind w:left="340" w:hanging="340"/>
    </w:pPr>
  </w:style>
  <w:style w:type="paragraph" w:customStyle="1" w:styleId="Note">
    <w:name w:val="Note"/>
    <w:basedOn w:val="BodyText"/>
    <w:rsid w:val="00A57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2F4"/>
    <w:pPr>
      <w:framePr w:wrap="auto" w:hAnchor="text" w:y="6049"/>
    </w:pPr>
    <w:rPr>
      <w:color w:val="000000"/>
      <w:sz w:val="40"/>
    </w:rPr>
  </w:style>
  <w:style w:type="paragraph" w:customStyle="1" w:styleId="TOCTitle">
    <w:name w:val="TOCTitle"/>
    <w:basedOn w:val="Heading1"/>
    <w:rsid w:val="00A572F4"/>
    <w:pPr>
      <w:spacing w:after="240"/>
      <w:jc w:val="center"/>
      <w:outlineLvl w:val="9"/>
    </w:pPr>
    <w:rPr>
      <w:caps/>
    </w:rPr>
  </w:style>
  <w:style w:type="paragraph" w:customStyle="1" w:styleId="Version">
    <w:name w:val="Version"/>
    <w:rsid w:val="00A57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2F4"/>
    <w:pPr>
      <w:keepNext w:val="0"/>
      <w:tabs>
        <w:tab w:val="right" w:pos="4176"/>
      </w:tabs>
      <w:ind w:left="198" w:hanging="198"/>
    </w:pPr>
    <w:rPr>
      <w:rFonts w:ascii="Garamond" w:hAnsi="Garamond"/>
    </w:rPr>
  </w:style>
  <w:style w:type="paragraph" w:styleId="IndexHeading">
    <w:name w:val="index heading"/>
    <w:basedOn w:val="Normal"/>
    <w:next w:val="Index1"/>
    <w:semiHidden/>
    <w:rsid w:val="00A572F4"/>
    <w:pPr>
      <w:spacing w:before="120" w:after="120"/>
    </w:pPr>
    <w:rPr>
      <w:rFonts w:ascii="Arial" w:hAnsi="Arial"/>
      <w:b/>
      <w:color w:val="918585"/>
      <w:sz w:val="24"/>
    </w:rPr>
  </w:style>
  <w:style w:type="paragraph" w:customStyle="1" w:styleId="Chapter">
    <w:name w:val="Chapter"/>
    <w:basedOn w:val="Normal"/>
    <w:rsid w:val="00A572F4"/>
    <w:pPr>
      <w:spacing w:before="240"/>
    </w:pPr>
    <w:rPr>
      <w:rFonts w:ascii="Times New Roman" w:hAnsi="Times New Roman"/>
      <w:smallCaps/>
      <w:spacing w:val="80"/>
      <w:sz w:val="28"/>
    </w:rPr>
  </w:style>
  <w:style w:type="paragraph" w:customStyle="1" w:styleId="InChapter">
    <w:name w:val="InChapter"/>
    <w:basedOn w:val="Heading3"/>
    <w:rsid w:val="00A572F4"/>
    <w:pPr>
      <w:spacing w:after="240"/>
      <w:outlineLvl w:val="9"/>
    </w:pPr>
    <w:rPr>
      <w:noProof/>
    </w:rPr>
  </w:style>
  <w:style w:type="paragraph" w:styleId="Index2">
    <w:name w:val="index 2"/>
    <w:basedOn w:val="Normal"/>
    <w:next w:val="Normal"/>
    <w:semiHidden/>
    <w:rsid w:val="00A572F4"/>
    <w:pPr>
      <w:tabs>
        <w:tab w:val="right" w:pos="4176"/>
      </w:tabs>
      <w:ind w:left="568" w:hanging="284"/>
    </w:pPr>
    <w:rPr>
      <w:rFonts w:ascii="Garamond" w:hAnsi="Garamond"/>
    </w:rPr>
  </w:style>
  <w:style w:type="paragraph" w:customStyle="1" w:styleId="Byline">
    <w:name w:val="Byline"/>
    <w:rsid w:val="00A57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2F4"/>
    <w:pPr>
      <w:tabs>
        <w:tab w:val="clear" w:pos="3600"/>
        <w:tab w:val="clear" w:pos="3958"/>
      </w:tabs>
      <w:jc w:val="right"/>
    </w:pPr>
  </w:style>
  <w:style w:type="character" w:styleId="Emphasis">
    <w:name w:val="Emphasis"/>
    <w:basedOn w:val="DefaultParagraphFont"/>
    <w:qFormat/>
    <w:rsid w:val="00A572F4"/>
    <w:rPr>
      <w:i/>
    </w:rPr>
  </w:style>
  <w:style w:type="paragraph" w:styleId="Caption">
    <w:name w:val="caption"/>
    <w:basedOn w:val="BodyText"/>
    <w:next w:val="Normal"/>
    <w:qFormat/>
    <w:rsid w:val="00A572F4"/>
    <w:pPr>
      <w:framePr w:w="2268" w:hSpace="181" w:vSpace="181" w:wrap="around" w:vAnchor="text" w:hAnchor="page" w:x="1135" w:y="285" w:anchorLock="1"/>
    </w:pPr>
    <w:rPr>
      <w:i/>
    </w:rPr>
  </w:style>
  <w:style w:type="paragraph" w:customStyle="1" w:styleId="MiniTOCTitle">
    <w:name w:val="MiniTOCTitle"/>
    <w:basedOn w:val="Heading4"/>
    <w:rsid w:val="00A572F4"/>
    <w:pPr>
      <w:spacing w:before="240"/>
      <w:outlineLvl w:val="9"/>
    </w:pPr>
    <w:rPr>
      <w:noProof/>
      <w:sz w:val="24"/>
    </w:rPr>
  </w:style>
  <w:style w:type="paragraph" w:customStyle="1" w:styleId="MiniTOCItem">
    <w:name w:val="MiniTOCItem"/>
    <w:basedOn w:val="ListBullet"/>
    <w:rsid w:val="00A572F4"/>
    <w:pPr>
      <w:numPr>
        <w:numId w:val="0"/>
      </w:numPr>
      <w:tabs>
        <w:tab w:val="right" w:leader="dot" w:pos="6521"/>
      </w:tabs>
      <w:spacing w:before="0" w:after="0"/>
    </w:pPr>
  </w:style>
  <w:style w:type="paragraph" w:customStyle="1" w:styleId="TOFTitle">
    <w:name w:val="TOFTitle"/>
    <w:basedOn w:val="TOCTitle"/>
    <w:rsid w:val="00A572F4"/>
  </w:style>
  <w:style w:type="paragraph" w:styleId="TableofFigures">
    <w:name w:val="table of figures"/>
    <w:basedOn w:val="Normal"/>
    <w:next w:val="Normal"/>
    <w:semiHidden/>
    <w:rsid w:val="00A572F4"/>
    <w:pPr>
      <w:tabs>
        <w:tab w:val="right" w:leader="dot" w:pos="9072"/>
      </w:tabs>
      <w:ind w:left="970" w:hanging="403"/>
    </w:pPr>
    <w:rPr>
      <w:rFonts w:ascii="Times New Roman" w:hAnsi="Times New Roman"/>
      <w:b/>
    </w:rPr>
  </w:style>
  <w:style w:type="paragraph" w:styleId="ListNumber">
    <w:name w:val="List Number"/>
    <w:basedOn w:val="List"/>
    <w:rsid w:val="00A572F4"/>
    <w:pPr>
      <w:numPr>
        <w:numId w:val="12"/>
      </w:numPr>
    </w:pPr>
  </w:style>
  <w:style w:type="character" w:customStyle="1" w:styleId="WingdingSymbols">
    <w:name w:val="Wingding Symbols"/>
    <w:rsid w:val="00A572F4"/>
    <w:rPr>
      <w:rFonts w:ascii="Wingdings" w:hAnsi="Wingdings"/>
    </w:rPr>
  </w:style>
  <w:style w:type="paragraph" w:customStyle="1" w:styleId="TableHeading">
    <w:name w:val="Table Heading"/>
    <w:basedOn w:val="HeadingBase"/>
    <w:rsid w:val="00A572F4"/>
    <w:pPr>
      <w:keepLines/>
      <w:pBdr>
        <w:bottom w:val="single" w:sz="6" w:space="1" w:color="918585"/>
      </w:pBdr>
      <w:spacing w:before="240"/>
    </w:pPr>
  </w:style>
  <w:style w:type="character" w:customStyle="1" w:styleId="HotSpot">
    <w:name w:val="HotSpot"/>
    <w:rsid w:val="00A572F4"/>
    <w:rPr>
      <w:color w:val="0033CC"/>
      <w:u w:val="none"/>
    </w:rPr>
  </w:style>
  <w:style w:type="paragraph" w:customStyle="1" w:styleId="BodyTextRight">
    <w:name w:val="Body Text Right"/>
    <w:basedOn w:val="BodyText"/>
    <w:rsid w:val="00A572F4"/>
    <w:pPr>
      <w:spacing w:before="0" w:after="0"/>
      <w:jc w:val="right"/>
    </w:pPr>
  </w:style>
  <w:style w:type="paragraph" w:styleId="Index3">
    <w:name w:val="index 3"/>
    <w:basedOn w:val="ListNumber2"/>
    <w:next w:val="Normal"/>
    <w:semiHidden/>
    <w:rsid w:val="00A572F4"/>
    <w:pPr>
      <w:numPr>
        <w:numId w:val="0"/>
      </w:numPr>
      <w:tabs>
        <w:tab w:val="right" w:leader="dot" w:pos="4176"/>
      </w:tabs>
    </w:pPr>
  </w:style>
  <w:style w:type="paragraph" w:styleId="ListNumber2">
    <w:name w:val="List Number 2"/>
    <w:basedOn w:val="List2"/>
    <w:rsid w:val="00A572F4"/>
    <w:pPr>
      <w:numPr>
        <w:numId w:val="11"/>
      </w:numPr>
      <w:tabs>
        <w:tab w:val="clear" w:pos="1060"/>
      </w:tabs>
    </w:pPr>
  </w:style>
  <w:style w:type="paragraph" w:customStyle="1" w:styleId="MarginNote">
    <w:name w:val="Margin Note"/>
    <w:basedOn w:val="BodyText"/>
    <w:rsid w:val="00A57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2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72F4"/>
    <w:rPr>
      <w:sz w:val="32"/>
    </w:rPr>
  </w:style>
  <w:style w:type="paragraph" w:customStyle="1" w:styleId="HeadingProcedure">
    <w:name w:val="Heading Procedure"/>
    <w:basedOn w:val="HeadingBase"/>
    <w:next w:val="Normal"/>
    <w:rsid w:val="00A572F4"/>
    <w:pPr>
      <w:tabs>
        <w:tab w:val="left" w:pos="0"/>
      </w:tabs>
      <w:spacing w:before="120" w:after="60"/>
    </w:pPr>
    <w:rPr>
      <w:i/>
      <w:color w:val="918585"/>
      <w:sz w:val="22"/>
    </w:rPr>
  </w:style>
  <w:style w:type="paragraph" w:customStyle="1" w:styleId="TableBodyText">
    <w:name w:val="Table Body Text"/>
    <w:basedOn w:val="BodyText"/>
    <w:rsid w:val="00A572F4"/>
    <w:pPr>
      <w:spacing w:before="60" w:after="60"/>
    </w:pPr>
  </w:style>
  <w:style w:type="paragraph" w:styleId="ListContinue">
    <w:name w:val="List Continue"/>
    <w:basedOn w:val="List"/>
    <w:rsid w:val="00A572F4"/>
    <w:pPr>
      <w:ind w:firstLine="0"/>
    </w:pPr>
  </w:style>
  <w:style w:type="paragraph" w:customStyle="1" w:styleId="ListNote">
    <w:name w:val="List Note"/>
    <w:basedOn w:val="List"/>
    <w:rsid w:val="00A572F4"/>
    <w:pPr>
      <w:pBdr>
        <w:top w:val="single" w:sz="6" w:space="2" w:color="918585"/>
        <w:bottom w:val="single" w:sz="6" w:space="2" w:color="918585"/>
      </w:pBdr>
      <w:tabs>
        <w:tab w:val="left" w:pos="1021"/>
      </w:tabs>
      <w:ind w:firstLine="0"/>
    </w:pPr>
  </w:style>
  <w:style w:type="paragraph" w:customStyle="1" w:styleId="Warning">
    <w:name w:val="Warning"/>
    <w:basedOn w:val="BodyText"/>
    <w:rsid w:val="00A572F4"/>
    <w:pPr>
      <w:shd w:val="clear" w:color="auto" w:fill="D9D9D9"/>
      <w:tabs>
        <w:tab w:val="left" w:pos="992"/>
      </w:tabs>
      <w:ind w:left="119" w:right="119"/>
    </w:pPr>
    <w:rPr>
      <w:sz w:val="20"/>
    </w:rPr>
  </w:style>
  <w:style w:type="paragraph" w:customStyle="1" w:styleId="MarginIcons">
    <w:name w:val="Margin Icons"/>
    <w:basedOn w:val="BodyText"/>
    <w:rsid w:val="00A57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2F4"/>
    <w:rPr>
      <w:rFonts w:ascii="Courier New" w:hAnsi="Courier New"/>
    </w:rPr>
  </w:style>
  <w:style w:type="paragraph" w:customStyle="1" w:styleId="NoteBullet">
    <w:name w:val="Note Bullet"/>
    <w:basedOn w:val="Note"/>
    <w:rsid w:val="00A572F4"/>
    <w:pPr>
      <w:tabs>
        <w:tab w:val="clear" w:pos="680"/>
      </w:tabs>
      <w:spacing w:before="60" w:after="60"/>
    </w:pPr>
  </w:style>
  <w:style w:type="paragraph" w:customStyle="1" w:styleId="SubHeading2">
    <w:name w:val="SubHeading2"/>
    <w:basedOn w:val="HeadingBase"/>
    <w:rsid w:val="00A572F4"/>
    <w:pPr>
      <w:spacing w:before="240" w:after="60"/>
    </w:pPr>
    <w:rPr>
      <w:sz w:val="20"/>
    </w:rPr>
  </w:style>
  <w:style w:type="paragraph" w:customStyle="1" w:styleId="SubHeading1">
    <w:name w:val="SubHeading1"/>
    <w:basedOn w:val="HeadingBase"/>
    <w:rsid w:val="00A572F4"/>
    <w:pPr>
      <w:spacing w:before="240" w:after="60"/>
    </w:pPr>
    <w:rPr>
      <w:color w:val="918585"/>
      <w:sz w:val="22"/>
    </w:rPr>
  </w:style>
  <w:style w:type="paragraph" w:customStyle="1" w:styleId="SideHeading">
    <w:name w:val="Side Heading"/>
    <w:basedOn w:val="HeadingBase"/>
    <w:rsid w:val="00A57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2F4"/>
    <w:pPr>
      <w:numPr>
        <w:numId w:val="13"/>
      </w:numPr>
    </w:pPr>
  </w:style>
  <w:style w:type="paragraph" w:styleId="PlainText">
    <w:name w:val="Plain Text"/>
    <w:basedOn w:val="Normal"/>
    <w:link w:val="PlainTextChar"/>
    <w:rsid w:val="00A572F4"/>
    <w:rPr>
      <w:sz w:val="20"/>
    </w:rPr>
  </w:style>
  <w:style w:type="character" w:customStyle="1" w:styleId="PlainTextChar">
    <w:name w:val="Plain Text Char"/>
    <w:basedOn w:val="DefaultParagraphFont"/>
    <w:link w:val="PlainText"/>
    <w:rsid w:val="00A572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72F4"/>
    <w:rPr>
      <w:b/>
      <w:smallCaps/>
    </w:rPr>
  </w:style>
  <w:style w:type="paragraph" w:customStyle="1" w:styleId="TableListNumber">
    <w:name w:val="Table List Number"/>
    <w:basedOn w:val="ListNumber"/>
    <w:rsid w:val="00A572F4"/>
    <w:pPr>
      <w:numPr>
        <w:numId w:val="0"/>
      </w:numPr>
    </w:pPr>
  </w:style>
  <w:style w:type="paragraph" w:styleId="TOC4">
    <w:name w:val="toc 4"/>
    <w:basedOn w:val="TOCBase"/>
    <w:next w:val="Normal"/>
    <w:semiHidden/>
    <w:rsid w:val="00A572F4"/>
    <w:pPr>
      <w:tabs>
        <w:tab w:val="right" w:leader="dot" w:pos="9071"/>
      </w:tabs>
      <w:ind w:left="1701"/>
    </w:pPr>
  </w:style>
  <w:style w:type="paragraph" w:customStyle="1" w:styleId="ListAlpha">
    <w:name w:val="List Alpha"/>
    <w:basedOn w:val="List"/>
    <w:rsid w:val="00A572F4"/>
    <w:pPr>
      <w:numPr>
        <w:numId w:val="10"/>
      </w:numPr>
    </w:pPr>
  </w:style>
  <w:style w:type="paragraph" w:customStyle="1" w:styleId="ListAlpha2">
    <w:name w:val="List Alpha 2"/>
    <w:basedOn w:val="List2"/>
    <w:rsid w:val="00A572F4"/>
    <w:pPr>
      <w:numPr>
        <w:numId w:val="9"/>
      </w:numPr>
    </w:pPr>
  </w:style>
  <w:style w:type="paragraph" w:styleId="List2">
    <w:name w:val="List 2"/>
    <w:basedOn w:val="BodyText"/>
    <w:rsid w:val="00A572F4"/>
    <w:pPr>
      <w:tabs>
        <w:tab w:val="left" w:pos="680"/>
      </w:tabs>
      <w:spacing w:before="60" w:after="60"/>
      <w:ind w:left="680" w:hanging="340"/>
    </w:pPr>
  </w:style>
  <w:style w:type="paragraph" w:styleId="List3">
    <w:name w:val="List 3"/>
    <w:basedOn w:val="BodyText"/>
    <w:rsid w:val="00A572F4"/>
    <w:pPr>
      <w:tabs>
        <w:tab w:val="left" w:pos="1021"/>
      </w:tabs>
      <w:spacing w:before="60" w:after="60"/>
      <w:ind w:left="1020" w:hanging="340"/>
    </w:pPr>
  </w:style>
  <w:style w:type="paragraph" w:styleId="List4">
    <w:name w:val="List 4"/>
    <w:basedOn w:val="BodyText"/>
    <w:rsid w:val="00A572F4"/>
    <w:pPr>
      <w:tabs>
        <w:tab w:val="left" w:pos="1361"/>
      </w:tabs>
      <w:spacing w:before="60" w:after="60"/>
      <w:ind w:left="1361" w:hanging="340"/>
    </w:pPr>
  </w:style>
  <w:style w:type="paragraph" w:styleId="List5">
    <w:name w:val="List 5"/>
    <w:basedOn w:val="BodyText"/>
    <w:rsid w:val="00A572F4"/>
    <w:pPr>
      <w:tabs>
        <w:tab w:val="left" w:pos="1701"/>
      </w:tabs>
      <w:spacing w:before="60" w:after="60"/>
      <w:ind w:left="1701" w:hanging="340"/>
    </w:pPr>
  </w:style>
  <w:style w:type="paragraph" w:styleId="ListBullet4">
    <w:name w:val="List Bullet 4"/>
    <w:basedOn w:val="List4"/>
    <w:rsid w:val="00A572F4"/>
    <w:pPr>
      <w:numPr>
        <w:numId w:val="4"/>
      </w:numPr>
    </w:pPr>
  </w:style>
  <w:style w:type="paragraph" w:styleId="ListBullet5">
    <w:name w:val="List Bullet 5"/>
    <w:basedOn w:val="List5"/>
    <w:rsid w:val="00A572F4"/>
    <w:pPr>
      <w:numPr>
        <w:numId w:val="5"/>
      </w:numPr>
    </w:pPr>
  </w:style>
  <w:style w:type="paragraph" w:styleId="ListContinue2">
    <w:name w:val="List Continue 2"/>
    <w:basedOn w:val="List2"/>
    <w:rsid w:val="00A572F4"/>
    <w:pPr>
      <w:ind w:firstLine="0"/>
    </w:pPr>
  </w:style>
  <w:style w:type="paragraph" w:styleId="ListContinue3">
    <w:name w:val="List Continue 3"/>
    <w:basedOn w:val="List3"/>
    <w:rsid w:val="00A572F4"/>
    <w:pPr>
      <w:ind w:left="1021" w:firstLine="0"/>
    </w:pPr>
  </w:style>
  <w:style w:type="paragraph" w:styleId="ListContinue4">
    <w:name w:val="List Continue 4"/>
    <w:basedOn w:val="List4"/>
    <w:rsid w:val="00A572F4"/>
    <w:pPr>
      <w:ind w:firstLine="0"/>
    </w:pPr>
  </w:style>
  <w:style w:type="paragraph" w:styleId="ListContinue5">
    <w:name w:val="List Continue 5"/>
    <w:basedOn w:val="List5"/>
    <w:rsid w:val="00A572F4"/>
    <w:pPr>
      <w:ind w:firstLine="0"/>
    </w:pPr>
  </w:style>
  <w:style w:type="paragraph" w:styleId="ListNumber3">
    <w:name w:val="List Number 3"/>
    <w:basedOn w:val="List3"/>
    <w:rsid w:val="00A572F4"/>
    <w:pPr>
      <w:numPr>
        <w:numId w:val="6"/>
      </w:numPr>
    </w:pPr>
  </w:style>
  <w:style w:type="paragraph" w:styleId="ListNumber4">
    <w:name w:val="List Number 4"/>
    <w:basedOn w:val="List4"/>
    <w:rsid w:val="00A572F4"/>
    <w:pPr>
      <w:numPr>
        <w:numId w:val="7"/>
      </w:numPr>
    </w:pPr>
  </w:style>
  <w:style w:type="paragraph" w:styleId="ListNumber5">
    <w:name w:val="List Number 5"/>
    <w:basedOn w:val="List5"/>
    <w:rsid w:val="00A572F4"/>
    <w:pPr>
      <w:numPr>
        <w:numId w:val="8"/>
      </w:numPr>
    </w:pPr>
  </w:style>
  <w:style w:type="paragraph" w:styleId="BlockText">
    <w:name w:val="Block Text"/>
    <w:basedOn w:val="Normal"/>
    <w:rsid w:val="00A572F4"/>
    <w:pPr>
      <w:spacing w:after="120"/>
      <w:ind w:left="1440" w:right="1440"/>
    </w:pPr>
  </w:style>
  <w:style w:type="character" w:customStyle="1" w:styleId="Subscript">
    <w:name w:val="Subscript"/>
    <w:basedOn w:val="DefaultParagraphFont"/>
    <w:rsid w:val="00A572F4"/>
    <w:rPr>
      <w:sz w:val="16"/>
      <w:vertAlign w:val="subscript"/>
    </w:rPr>
  </w:style>
  <w:style w:type="character" w:customStyle="1" w:styleId="Superscript">
    <w:name w:val="Superscript"/>
    <w:basedOn w:val="DefaultParagraphFont"/>
    <w:rsid w:val="00A572F4"/>
    <w:rPr>
      <w:sz w:val="16"/>
      <w:vertAlign w:val="superscript"/>
    </w:rPr>
  </w:style>
  <w:style w:type="character" w:customStyle="1" w:styleId="Symbols">
    <w:name w:val="Symbols"/>
    <w:basedOn w:val="DefaultParagraphFont"/>
    <w:rsid w:val="00A572F4"/>
    <w:rPr>
      <w:rFonts w:ascii="Symbol" w:hAnsi="Symbol"/>
    </w:rPr>
  </w:style>
  <w:style w:type="character" w:customStyle="1" w:styleId="MenuOptions">
    <w:name w:val="Menu Options"/>
    <w:basedOn w:val="DefaultParagraphFont"/>
    <w:rsid w:val="00A572F4"/>
    <w:rPr>
      <w:rFonts w:ascii="Arial Narrow" w:hAnsi="Arial Narrow"/>
      <w:smallCaps/>
    </w:rPr>
  </w:style>
  <w:style w:type="character" w:customStyle="1" w:styleId="Buttons">
    <w:name w:val="Buttons"/>
    <w:basedOn w:val="DefaultParagraphFont"/>
    <w:rsid w:val="00A572F4"/>
    <w:rPr>
      <w:b/>
    </w:rPr>
  </w:style>
  <w:style w:type="character" w:customStyle="1" w:styleId="Underlined">
    <w:name w:val="Underlined"/>
    <w:basedOn w:val="DefaultParagraphFont"/>
    <w:rsid w:val="00A572F4"/>
    <w:rPr>
      <w:u w:val="single"/>
    </w:rPr>
  </w:style>
  <w:style w:type="paragraph" w:customStyle="1" w:styleId="TableBodyTextRight">
    <w:name w:val="Table Body Text Right"/>
    <w:basedOn w:val="TableBodyText"/>
    <w:rsid w:val="00A572F4"/>
    <w:pPr>
      <w:widowControl w:val="0"/>
      <w:autoSpaceDE w:val="0"/>
      <w:autoSpaceDN w:val="0"/>
      <w:adjustRightInd w:val="0"/>
      <w:jc w:val="right"/>
    </w:pPr>
    <w:rPr>
      <w:rFonts w:cs="Arial"/>
      <w:szCs w:val="18"/>
    </w:rPr>
  </w:style>
  <w:style w:type="paragraph" w:customStyle="1" w:styleId="CopyrightText">
    <w:name w:val="Copyright Text"/>
    <w:basedOn w:val="BodyText"/>
    <w:rsid w:val="00A572F4"/>
    <w:rPr>
      <w:sz w:val="18"/>
    </w:rPr>
  </w:style>
  <w:style w:type="paragraph" w:customStyle="1" w:styleId="BodySmallRight">
    <w:name w:val="Body Small Right"/>
    <w:basedOn w:val="BodyTextRight"/>
    <w:rsid w:val="00A572F4"/>
    <w:rPr>
      <w:sz w:val="18"/>
      <w:szCs w:val="18"/>
    </w:rPr>
  </w:style>
  <w:style w:type="paragraph" w:customStyle="1" w:styleId="MarginEdition">
    <w:name w:val="Margin Edition"/>
    <w:basedOn w:val="MarginNote"/>
    <w:rsid w:val="00A572F4"/>
    <w:pPr>
      <w:spacing w:before="0" w:after="0"/>
    </w:pPr>
    <w:rPr>
      <w:rFonts w:ascii="Times New Roman" w:hAnsi="Times New Roman"/>
      <w:color w:val="999999"/>
    </w:rPr>
  </w:style>
  <w:style w:type="paragraph" w:customStyle="1" w:styleId="Spacer">
    <w:name w:val="Spacer"/>
    <w:basedOn w:val="Normal"/>
    <w:rsid w:val="00A572F4"/>
    <w:rPr>
      <w:sz w:val="2"/>
      <w:szCs w:val="2"/>
    </w:rPr>
  </w:style>
  <w:style w:type="character" w:customStyle="1" w:styleId="Small">
    <w:name w:val="Small"/>
    <w:basedOn w:val="DefaultParagraphFont"/>
    <w:rsid w:val="00A572F4"/>
    <w:rPr>
      <w:sz w:val="16"/>
    </w:rPr>
  </w:style>
  <w:style w:type="paragraph" w:customStyle="1" w:styleId="WideTable">
    <w:name w:val="Wide Table"/>
    <w:basedOn w:val="Normal"/>
    <w:rsid w:val="00A572F4"/>
    <w:pPr>
      <w:ind w:left="-1418"/>
    </w:pPr>
    <w:rPr>
      <w:sz w:val="2"/>
      <w:szCs w:val="2"/>
    </w:rPr>
  </w:style>
  <w:style w:type="character" w:styleId="PageNumber">
    <w:name w:val="page number"/>
    <w:basedOn w:val="DefaultParagraphFont"/>
    <w:rsid w:val="00A572F4"/>
  </w:style>
  <w:style w:type="paragraph" w:styleId="Quote">
    <w:name w:val="Quote"/>
    <w:basedOn w:val="Heading1"/>
    <w:link w:val="QuoteChar"/>
    <w:qFormat/>
    <w:rsid w:val="00A572F4"/>
    <w:rPr>
      <w:b w:val="0"/>
      <w:sz w:val="72"/>
      <w:szCs w:val="72"/>
      <w:lang w:val="en-NZ"/>
    </w:rPr>
  </w:style>
  <w:style w:type="character" w:customStyle="1" w:styleId="QuoteChar">
    <w:name w:val="Quote Char"/>
    <w:basedOn w:val="DefaultParagraphFont"/>
    <w:link w:val="Quote"/>
    <w:rsid w:val="00A57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2F4"/>
    <w:pPr>
      <w:pageBreakBefore/>
    </w:pPr>
  </w:style>
  <w:style w:type="paragraph" w:customStyle="1" w:styleId="Border">
    <w:name w:val="Border"/>
    <w:basedOn w:val="Normal"/>
    <w:qFormat/>
    <w:rsid w:val="00A57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2F4"/>
    <w:rPr>
      <w:b/>
      <w:bCs/>
      <w:i/>
      <w:iCs/>
      <w:color w:val="auto"/>
    </w:rPr>
  </w:style>
  <w:style w:type="paragraph" w:styleId="IntenseQuote">
    <w:name w:val="Intense Quote"/>
    <w:basedOn w:val="Normal"/>
    <w:next w:val="Normal"/>
    <w:link w:val="IntenseQuoteChar"/>
    <w:uiPriority w:val="30"/>
    <w:qFormat/>
    <w:rsid w:val="00A57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2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72F4"/>
    <w:rPr>
      <w:smallCaps/>
      <w:color w:val="auto"/>
      <w:u w:val="single"/>
    </w:rPr>
  </w:style>
  <w:style w:type="character" w:styleId="IntenseReference">
    <w:name w:val="Intense Reference"/>
    <w:basedOn w:val="DefaultParagraphFont"/>
    <w:uiPriority w:val="32"/>
    <w:qFormat/>
    <w:rsid w:val="00A572F4"/>
    <w:rPr>
      <w:b/>
      <w:bCs/>
      <w:smallCaps/>
      <w:color w:val="auto"/>
      <w:spacing w:val="5"/>
      <w:u w:val="single"/>
    </w:rPr>
  </w:style>
  <w:style w:type="paragraph" w:customStyle="1" w:styleId="2ColumnHeading">
    <w:name w:val="2Column Heading"/>
    <w:basedOn w:val="BodyText"/>
    <w:qFormat/>
    <w:rsid w:val="00A572F4"/>
    <w:pPr>
      <w:spacing w:after="60"/>
      <w:ind w:left="-2268"/>
    </w:pPr>
    <w:rPr>
      <w:b/>
    </w:rPr>
  </w:style>
  <w:style w:type="paragraph" w:customStyle="1" w:styleId="Heading1TOC">
    <w:name w:val="Heading1 TOC"/>
    <w:basedOn w:val="Normal"/>
    <w:qFormat/>
    <w:rsid w:val="00A572F4"/>
    <w:pPr>
      <w:spacing w:before="240" w:after="120"/>
    </w:pPr>
    <w:rPr>
      <w:rFonts w:ascii="Times New Roman" w:hAnsi="Times New Roman"/>
      <w:b/>
      <w:sz w:val="32"/>
    </w:rPr>
  </w:style>
  <w:style w:type="paragraph" w:customStyle="1" w:styleId="Heading2TOC">
    <w:name w:val="Heading2 TOC"/>
    <w:basedOn w:val="Normal"/>
    <w:qFormat/>
    <w:rsid w:val="00A572F4"/>
    <w:pPr>
      <w:spacing w:before="240" w:after="60"/>
    </w:pPr>
    <w:rPr>
      <w:rFonts w:ascii="Times New Roman" w:hAnsi="Times New Roman"/>
      <w:b/>
      <w:sz w:val="28"/>
    </w:rPr>
  </w:style>
  <w:style w:type="character" w:customStyle="1" w:styleId="Underline">
    <w:name w:val="Underline"/>
    <w:basedOn w:val="DefaultParagraphFont"/>
    <w:qFormat/>
    <w:rsid w:val="00A572F4"/>
    <w:rPr>
      <w:u w:val="single"/>
    </w:rPr>
  </w:style>
  <w:style w:type="character" w:customStyle="1" w:styleId="BoldandItalics">
    <w:name w:val="Bold and Italics"/>
    <w:qFormat/>
    <w:rsid w:val="00A572F4"/>
    <w:rPr>
      <w:b/>
      <w:i/>
      <w:u w:val="none"/>
    </w:rPr>
  </w:style>
  <w:style w:type="paragraph" w:styleId="BalloonText">
    <w:name w:val="Balloon Text"/>
    <w:basedOn w:val="Normal"/>
    <w:link w:val="BalloonTextChar"/>
    <w:rsid w:val="00A572F4"/>
    <w:rPr>
      <w:rFonts w:ascii="Tahoma" w:hAnsi="Tahoma" w:cs="Tahoma"/>
      <w:sz w:val="16"/>
      <w:szCs w:val="16"/>
    </w:rPr>
  </w:style>
  <w:style w:type="character" w:customStyle="1" w:styleId="BalloonTextChar">
    <w:name w:val="Balloon Text Char"/>
    <w:basedOn w:val="DefaultParagraphFont"/>
    <w:link w:val="BalloonText"/>
    <w:rsid w:val="00A572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7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2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3253</Words>
  <Characters>20675</Characters>
  <Application>Microsoft Office Word</Application>
  <DocSecurity>0</DocSecurity>
  <Lines>763</Lines>
  <Paragraphs>306</Paragraphs>
  <ScaleCrop>false</ScaleCrop>
  <Company>Author-it Software Corporation Ltd.</Company>
  <LinksUpToDate>false</LinksUpToDate>
  <CharactersWithSpaces>23713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UETTDRCJ29A Install gas and oil filled specialised underground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2012-05-26T12:03:00Z</dcterms:created>
  <dcterms:modified xsi:type="dcterms:W3CDTF">2012-05-26T12:03:00Z</dcterms:modified>
</cp:coreProperties>
</file>