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0D79" w:rsidP="008C0D79">
      <w:pPr>
        <w:pStyle w:val="Title"/>
      </w:pPr>
      <w:bookmarkStart w:id="0" w:name="_GoBack"/>
      <w:bookmarkEnd w:id="0"/>
      <w:r>
        <w:fldChar w:fldCharType="begin"/>
      </w:r>
      <w:r>
        <w:instrText xml:space="preserve"> TITLE   \* MERGEFORMAT </w:instrText>
      </w:r>
      <w:r>
        <w:fldChar w:fldCharType="separate"/>
      </w:r>
      <w:r>
        <w:t>UETTDRCJ27A Install and maintain de-energised high voltage underground polymeric cables</w:t>
      </w:r>
      <w:r>
        <w:fldChar w:fldCharType="end"/>
      </w:r>
    </w:p>
    <w:p w:rsidR="008C0D79" w:rsidP="008C0D79">
      <w:pPr>
        <w:pStyle w:val="Version"/>
        <w:sectPr w:rsidSect="00E902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024C" w:rsidP="00E9024C">
      <w:pPr>
        <w:pStyle w:val="SuperHeading"/>
      </w:pPr>
      <w:r w:rsidRPr="00E9024C">
        <w:t>UETTDRCJ27A Install and maintain de-energised high voltage underground polymeric cables</w:t>
      </w:r>
    </w:p>
    <w:p w:rsidR="00000000" w:rsidRPr="00E9024C" w:rsidP="00E9024C">
      <w:pPr>
        <w:pStyle w:val="Heading1"/>
      </w:pPr>
      <w:bookmarkStart w:id="1" w:name="O_461757"/>
      <w:bookmarkEnd w:id="1"/>
      <w:r w:rsidRPr="00E9024C">
        <w:t>Modification History</w:t>
      </w:r>
    </w:p>
    <w:p w:rsidR="00000000" w:rsidRPr="00E9024C" w:rsidP="00E9024C">
      <w:pPr>
        <w:pStyle w:val="BodyText"/>
      </w:pPr>
      <w:r w:rsidRPr="00E9024C">
        <w:t>Not applicable.</w:t>
      </w:r>
    </w:p>
    <w:p w:rsidR="00000000" w:rsidRPr="00E9024C" w:rsidP="00E9024C">
      <w:pPr>
        <w:pStyle w:val="AllowPageBreak"/>
      </w:pPr>
    </w:p>
    <w:p w:rsidR="00000000" w:rsidRPr="00E9024C" w:rsidP="00E9024C">
      <w:pPr>
        <w:pStyle w:val="Heading1"/>
      </w:pPr>
      <w:bookmarkStart w:id="2" w:name="O_461755"/>
      <w:bookmarkEnd w:id="2"/>
      <w:r w:rsidRPr="00E9024C">
        <w:t>Unit Des</w:t>
      </w:r>
      <w:r w:rsidRPr="00E9024C">
        <w:t>criptor</w:t>
      </w:r>
    </w:p>
    <w:tbl>
      <w:tblPr>
        <w:tblW w:w="0" w:type="auto"/>
        <w:tblLayout w:type="fixed"/>
        <w:tblCellMar>
          <w:left w:w="62" w:type="dxa"/>
          <w:right w:w="62" w:type="dxa"/>
        </w:tblCellMar>
        <w:tblLook w:val="0000"/>
      </w:tblPr>
      <w:tblGrid>
        <w:gridCol w:w="2700"/>
        <w:gridCol w:w="5760"/>
      </w:tblGrid>
      <w:tr w:rsidTr="008C0D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rPr>
                <w:rStyle w:val="SpecialBold"/>
              </w:rPr>
              <w:t>1)</w:t>
            </w:r>
            <w:r w:rsidRPr="00E9024C">
              <w:t xml:space="preserve"> </w:t>
            </w:r>
            <w:r w:rsidRPr="00E9024C">
              <w:rPr>
                <w:rStyle w:val="SpecialBold"/>
              </w:rPr>
              <w:t>Scope:</w:t>
            </w:r>
          </w:p>
        </w:tc>
      </w:tr>
      <w:tr w:rsidTr="008C0D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9024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rPr>
                <w:rStyle w:val="SpecialBold"/>
              </w:rPr>
              <w:t>1.1) Descriptor</w:t>
            </w:r>
          </w:p>
        </w:tc>
      </w:tr>
      <w:tr w:rsidTr="008C0D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t xml:space="preserve">This Competency Standard Unit covers the installation and maintenance of de-energised high voltage underground polymeric cables and covers </w:t>
            </w:r>
            <w:r w:rsidRPr="00E9024C">
              <w:t>the jointing, terminating, repair and replacement of cables. It includes the isolation of systems and circuits, the procedure of issuing/accepting electrical access permits, the undertaking of pre-commissioning and/or re-commissioning tests and the updatin</w:t>
            </w:r>
            <w:r w:rsidRPr="00E9024C">
              <w:t>g of system data/maintenance records.</w:t>
            </w:r>
          </w:p>
        </w:tc>
      </w:tr>
    </w:tbl>
    <w:p w:rsidR="00000000" w:rsidRPr="00E9024C" w:rsidP="00E9024C">
      <w:pPr>
        <w:pStyle w:val="BodyText"/>
      </w:pPr>
    </w:p>
    <w:p w:rsidR="00000000" w:rsidRPr="00E9024C" w:rsidP="00E9024C">
      <w:pPr>
        <w:pStyle w:val="AllowPageBreak"/>
      </w:pPr>
    </w:p>
    <w:p w:rsidR="00000000" w:rsidRPr="00E9024C" w:rsidP="00E9024C">
      <w:pPr>
        <w:pStyle w:val="Heading1"/>
      </w:pPr>
      <w:bookmarkStart w:id="3" w:name="O_461744"/>
      <w:bookmarkEnd w:id="3"/>
      <w:r w:rsidRPr="00E9024C">
        <w:t>Application of the Unit</w:t>
      </w:r>
    </w:p>
    <w:tbl>
      <w:tblPr>
        <w:tblW w:w="0" w:type="auto"/>
        <w:tblLayout w:type="fixed"/>
        <w:tblCellMar>
          <w:left w:w="62" w:type="dxa"/>
          <w:right w:w="62" w:type="dxa"/>
        </w:tblCellMar>
        <w:tblLook w:val="0000"/>
      </w:tblPr>
      <w:tblGrid>
        <w:gridCol w:w="2672"/>
        <w:gridCol w:w="5699"/>
      </w:tblGrid>
      <w:tr w:rsidTr="008C0D7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rPr>
                <w:rStyle w:val="SpecialBold"/>
              </w:rPr>
              <w:t>2)</w:t>
            </w:r>
          </w:p>
        </w:tc>
      </w:tr>
      <w:tr w:rsidTr="008C0D7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t xml:space="preserve">This Competency Standard Unit is intended to augment formally acquired competencies. It is suitable for employment-based programs under an </w:t>
            </w:r>
            <w:r w:rsidRPr="00E9024C">
              <w:t>approved contract of training.</w:t>
            </w:r>
          </w:p>
        </w:tc>
      </w:tr>
    </w:tbl>
    <w:p w:rsidR="00000000" w:rsidRPr="00E9024C" w:rsidP="00E9024C">
      <w:pPr>
        <w:pStyle w:val="BodyText"/>
      </w:pPr>
    </w:p>
    <w:p w:rsidR="00000000" w:rsidRPr="00E9024C" w:rsidP="00E9024C">
      <w:pPr>
        <w:pStyle w:val="AllowPageBreak"/>
      </w:pPr>
    </w:p>
    <w:p w:rsidR="00000000" w:rsidRPr="00E9024C" w:rsidP="00E9024C">
      <w:pPr>
        <w:pStyle w:val="Heading1"/>
      </w:pPr>
      <w:bookmarkStart w:id="4" w:name="O_461751"/>
      <w:bookmarkEnd w:id="4"/>
      <w:r w:rsidRPr="00E9024C">
        <w:t>Licensing/Regulatory Information</w:t>
      </w:r>
    </w:p>
    <w:tbl>
      <w:tblPr>
        <w:tblW w:w="0" w:type="auto"/>
        <w:tblLayout w:type="fixed"/>
        <w:tblCellMar>
          <w:left w:w="62" w:type="dxa"/>
          <w:right w:w="62" w:type="dxa"/>
        </w:tblCellMar>
        <w:tblLook w:val="0000"/>
      </w:tblPr>
      <w:tblGrid>
        <w:gridCol w:w="2700"/>
        <w:gridCol w:w="5760"/>
      </w:tblGrid>
      <w:tr w:rsidTr="008C0D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rPr>
                <w:rStyle w:val="SpecialBold"/>
              </w:rPr>
              <w:t xml:space="preserve">3) </w:t>
            </w:r>
          </w:p>
        </w:tc>
      </w:tr>
      <w:tr w:rsidTr="008C0D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t>The skills and knowledge described in this unit may require a licence/registration to practice in the work place subject to regulations for underta</w:t>
            </w:r>
            <w:r w:rsidRPr="00E9024C">
              <w:t xml:space="preserve">king of electrical work. Practice in workplace and during training is also subject to regulations directly related to Occupational Health and Safety, electricity/telecommunications/gas/water industry </w:t>
            </w:r>
            <w:r w:rsidRPr="00E9024C">
              <w:t>safety and compliance, industrial relations, environment</w:t>
            </w:r>
            <w:r w:rsidRPr="00E9024C">
              <w:t>al protection, anti discrimination and training. Commonwealth, State/Territory or Local Government legislation and regulations may exist that limits the age of operating certain equipment.</w:t>
            </w:r>
          </w:p>
        </w:tc>
      </w:tr>
    </w:tbl>
    <w:p w:rsidR="00000000" w:rsidRPr="00E9024C" w:rsidP="00E9024C">
      <w:pPr>
        <w:pStyle w:val="BodyText"/>
      </w:pPr>
    </w:p>
    <w:p w:rsidR="00000000" w:rsidRPr="00E9024C" w:rsidP="00E9024C">
      <w:pPr>
        <w:pStyle w:val="AllowPageBreak"/>
      </w:pPr>
    </w:p>
    <w:p w:rsidR="00000000" w:rsidRPr="00E9024C" w:rsidP="00E9024C">
      <w:pPr>
        <w:pStyle w:val="Heading1"/>
      </w:pPr>
      <w:bookmarkStart w:id="5" w:name="O_461752"/>
      <w:bookmarkEnd w:id="5"/>
      <w:r w:rsidRPr="00E9024C">
        <w:t>Pre-Requisites</w:t>
      </w:r>
    </w:p>
    <w:tbl>
      <w:tblPr>
        <w:tblW w:w="0" w:type="auto"/>
        <w:tblLayout w:type="fixed"/>
        <w:tblCellMar>
          <w:left w:w="62" w:type="dxa"/>
          <w:right w:w="62" w:type="dxa"/>
        </w:tblCellMar>
        <w:tblLook w:val="0000"/>
      </w:tblPr>
      <w:tblGrid>
        <w:gridCol w:w="2700"/>
        <w:gridCol w:w="1890"/>
        <w:gridCol w:w="3870"/>
      </w:tblGrid>
      <w:tr w:rsidTr="008C0D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rPr>
                <w:rStyle w:val="SpecialBold"/>
              </w:rPr>
              <w:t xml:space="preserve">4) </w:t>
            </w:r>
          </w:p>
        </w:tc>
      </w:tr>
      <w:tr w:rsidTr="008C0D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rPr>
                <w:rStyle w:val="SpecialBold"/>
              </w:rPr>
              <w:t>4.1)</w:t>
            </w:r>
          </w:p>
        </w:tc>
      </w:tr>
      <w:tr w:rsidTr="008C0D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t>Granting of competency in this unit shall be made only after competency in the following unit(s) has/have been confirmed.</w:t>
            </w:r>
          </w:p>
          <w:p w:rsidR="00000000" w:rsidRPr="00E9024C" w:rsidP="00E9024C">
            <w:pPr>
              <w:pStyle w:val="BodyText"/>
            </w:pPr>
            <w:r w:rsidRPr="00E9024C">
              <w:t>Where pre-requisite pathways have been identified. All competencies in the Common Unit Group must be have been completed plus all the competencies in one (1) of the identified Pathway Unit Group(s):</w:t>
            </w:r>
          </w:p>
          <w:p w:rsidR="00000000" w:rsidP="00E9024C">
            <w:pPr>
              <w:pStyle w:val="BodyText"/>
              <w:rPr>
                <w:lang w:val="en-NZ"/>
              </w:rPr>
            </w:pPr>
            <w:r w:rsidRPr="00E9024C">
              <w:t>Common Unit Group</w:t>
            </w:r>
          </w:p>
        </w:tc>
      </w:tr>
      <w:tr w:rsidTr="008C0D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Unit Code</w:t>
            </w:r>
            <w:r w:rsidRPr="00E9024C">
              <w:tab/>
            </w:r>
          </w:p>
        </w:tc>
        <w:tc>
          <w:tcPr>
            <w:tcW w:w="3870" w:type="dxa"/>
            <w:tcBorders>
              <w:top w:val="nil"/>
              <w:left w:val="nil"/>
              <w:bottom w:val="nil"/>
              <w:right w:val="nil"/>
            </w:tcBorders>
            <w:tcMar>
              <w:top w:w="0" w:type="dxa"/>
              <w:left w:w="62" w:type="dxa"/>
              <w:bottom w:w="0" w:type="dxa"/>
              <w:right w:w="62" w:type="dxa"/>
            </w:tcMar>
            <w:vAlign w:val="bottom"/>
          </w:tcPr>
          <w:p w:rsidR="00000000" w:rsidP="00E9024C">
            <w:pPr>
              <w:pStyle w:val="BodyText"/>
              <w:rPr>
                <w:lang w:val="en-NZ"/>
              </w:rPr>
            </w:pPr>
            <w:r w:rsidRPr="00E9024C">
              <w:t>Unit Title</w:t>
            </w:r>
          </w:p>
        </w:tc>
      </w:tr>
      <w:tr w:rsidTr="008C0D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UEENEEE101A</w:t>
            </w:r>
          </w:p>
        </w:tc>
        <w:tc>
          <w:tcPr>
            <w:tcW w:w="3870" w:type="dxa"/>
            <w:tcBorders>
              <w:top w:val="nil"/>
              <w:left w:val="nil"/>
              <w:bottom w:val="nil"/>
              <w:right w:val="nil"/>
            </w:tcBorders>
            <w:tcMar>
              <w:top w:w="0" w:type="dxa"/>
              <w:left w:w="62" w:type="dxa"/>
              <w:bottom w:w="0" w:type="dxa"/>
              <w:right w:w="62" w:type="dxa"/>
            </w:tcMar>
            <w:vAlign w:val="bottom"/>
          </w:tcPr>
          <w:p w:rsidR="00000000" w:rsidP="00E9024C">
            <w:pPr>
              <w:pStyle w:val="BodyText"/>
              <w:rPr>
                <w:lang w:val="en-NZ"/>
              </w:rPr>
            </w:pPr>
            <w:r w:rsidRPr="00E9024C">
              <w:t>Apply Occupational Health and Safety regulations, codes and practices in the workplace</w:t>
            </w:r>
          </w:p>
        </w:tc>
      </w:tr>
      <w:tr w:rsidTr="008C0D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UEENEEE102A</w:t>
            </w:r>
          </w:p>
        </w:tc>
        <w:tc>
          <w:tcPr>
            <w:tcW w:w="3870" w:type="dxa"/>
            <w:tcBorders>
              <w:top w:val="nil"/>
              <w:left w:val="nil"/>
              <w:bottom w:val="nil"/>
              <w:right w:val="nil"/>
            </w:tcBorders>
            <w:tcMar>
              <w:top w:w="0" w:type="dxa"/>
              <w:left w:w="62" w:type="dxa"/>
              <w:bottom w:w="0" w:type="dxa"/>
              <w:right w:w="62" w:type="dxa"/>
            </w:tcMar>
            <w:vAlign w:val="bottom"/>
          </w:tcPr>
          <w:p w:rsidR="00000000" w:rsidP="00E9024C">
            <w:pPr>
              <w:pStyle w:val="BodyText"/>
              <w:rPr>
                <w:lang w:val="en-NZ"/>
              </w:rPr>
            </w:pPr>
            <w:r w:rsidRPr="00E9024C">
              <w:t>Fabricate, assemble and dismantle utilities industry components</w:t>
            </w:r>
          </w:p>
        </w:tc>
      </w:tr>
      <w:tr w:rsidTr="008C0D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UEENEEE105A</w:t>
            </w:r>
          </w:p>
        </w:tc>
        <w:tc>
          <w:tcPr>
            <w:tcW w:w="3870" w:type="dxa"/>
            <w:tcBorders>
              <w:top w:val="nil"/>
              <w:left w:val="nil"/>
              <w:bottom w:val="nil"/>
              <w:right w:val="nil"/>
            </w:tcBorders>
            <w:tcMar>
              <w:top w:w="0" w:type="dxa"/>
              <w:left w:w="62" w:type="dxa"/>
              <w:bottom w:w="0" w:type="dxa"/>
              <w:right w:w="62" w:type="dxa"/>
            </w:tcMar>
            <w:vAlign w:val="bottom"/>
          </w:tcPr>
          <w:p w:rsidR="00000000" w:rsidP="00E9024C">
            <w:pPr>
              <w:pStyle w:val="BodyText"/>
              <w:rPr>
                <w:lang w:val="en-NZ"/>
              </w:rPr>
            </w:pPr>
            <w:r w:rsidRPr="00E9024C">
              <w:t>Fix and secure electrotechnology equipment</w:t>
            </w:r>
          </w:p>
        </w:tc>
      </w:tr>
      <w:tr w:rsidTr="008C0D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UEENEEE107A</w:t>
            </w:r>
          </w:p>
        </w:tc>
        <w:tc>
          <w:tcPr>
            <w:tcW w:w="3870" w:type="dxa"/>
            <w:tcBorders>
              <w:top w:val="nil"/>
              <w:left w:val="nil"/>
              <w:bottom w:val="nil"/>
              <w:right w:val="nil"/>
            </w:tcBorders>
            <w:tcMar>
              <w:top w:w="0" w:type="dxa"/>
              <w:left w:w="62" w:type="dxa"/>
              <w:bottom w:w="0" w:type="dxa"/>
              <w:right w:w="62" w:type="dxa"/>
            </w:tcMar>
            <w:vAlign w:val="bottom"/>
          </w:tcPr>
          <w:p w:rsidR="00000000" w:rsidP="00E9024C">
            <w:pPr>
              <w:pStyle w:val="BodyText"/>
              <w:rPr>
                <w:lang w:val="en-NZ"/>
              </w:rPr>
            </w:pPr>
            <w:r w:rsidRPr="00E9024C">
              <w:t>Use drawings, diagra</w:t>
            </w:r>
            <w:r w:rsidRPr="00E9024C">
              <w:t>ms, schedules, standards, codes and specifications</w:t>
            </w:r>
          </w:p>
        </w:tc>
      </w:tr>
      <w:tr w:rsidTr="008C0D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E9024C">
            <w:pPr>
              <w:pStyle w:val="BodyText"/>
              <w:rPr>
                <w:lang w:val="en-NZ"/>
              </w:rPr>
            </w:pPr>
            <w:r w:rsidRPr="00E9024C">
              <w:t>UETTDRCJ21A</w:t>
            </w:r>
          </w:p>
        </w:tc>
        <w:tc>
          <w:tcPr>
            <w:tcW w:w="3870" w:type="dxa"/>
            <w:tcBorders>
              <w:top w:val="nil"/>
              <w:left w:val="nil"/>
              <w:bottom w:val="nil"/>
              <w:right w:val="nil"/>
            </w:tcBorders>
            <w:tcMar>
              <w:top w:w="0" w:type="dxa"/>
              <w:left w:w="62" w:type="dxa"/>
              <w:bottom w:w="0" w:type="dxa"/>
              <w:right w:w="62" w:type="dxa"/>
            </w:tcMar>
            <w:vAlign w:val="bottom"/>
          </w:tcPr>
          <w:p w:rsidR="00000000" w:rsidP="00E9024C">
            <w:pPr>
              <w:pStyle w:val="BodyText"/>
              <w:rPr>
                <w:lang w:val="en-NZ"/>
              </w:rPr>
            </w:pPr>
            <w:r w:rsidRPr="00E9024C">
              <w:t xml:space="preserve">Lay ESI electrical cables </w:t>
            </w:r>
          </w:p>
        </w:tc>
      </w:tr>
      <w:tr w:rsidTr="008C0D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UETTDREL11A</w:t>
            </w:r>
          </w:p>
        </w:tc>
        <w:tc>
          <w:tcPr>
            <w:tcW w:w="3870" w:type="dxa"/>
            <w:tcBorders>
              <w:top w:val="nil"/>
              <w:left w:val="nil"/>
              <w:bottom w:val="nil"/>
              <w:right w:val="nil"/>
            </w:tcBorders>
            <w:tcMar>
              <w:top w:w="0" w:type="dxa"/>
              <w:left w:w="62" w:type="dxa"/>
              <w:bottom w:w="0" w:type="dxa"/>
              <w:right w:w="62" w:type="dxa"/>
            </w:tcMar>
            <w:vAlign w:val="bottom"/>
          </w:tcPr>
          <w:p w:rsidR="00000000" w:rsidP="00E9024C">
            <w:pPr>
              <w:pStyle w:val="BodyText"/>
              <w:rPr>
                <w:lang w:val="en-NZ"/>
              </w:rPr>
            </w:pPr>
            <w:r w:rsidRPr="00E9024C">
              <w:t xml:space="preserve">Apply sustainable energy and environmental procedures </w:t>
            </w:r>
          </w:p>
        </w:tc>
      </w:tr>
      <w:tr w:rsidTr="008C0D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UETTDREL16A</w:t>
            </w:r>
          </w:p>
        </w:tc>
        <w:tc>
          <w:tcPr>
            <w:tcW w:w="3870" w:type="dxa"/>
            <w:tcBorders>
              <w:top w:val="nil"/>
              <w:left w:val="nil"/>
              <w:bottom w:val="nil"/>
              <w:right w:val="nil"/>
            </w:tcBorders>
            <w:tcMar>
              <w:top w:w="0" w:type="dxa"/>
              <w:left w:w="62" w:type="dxa"/>
              <w:bottom w:w="0" w:type="dxa"/>
              <w:right w:w="62" w:type="dxa"/>
            </w:tcMar>
            <w:vAlign w:val="bottom"/>
          </w:tcPr>
          <w:p w:rsidR="00000000" w:rsidRPr="00E9024C" w:rsidP="00E9024C">
            <w:pPr>
              <w:pStyle w:val="BodyText"/>
            </w:pPr>
            <w:r w:rsidRPr="00E9024C">
              <w:t xml:space="preserve">Working safely near live electrical apparatus </w:t>
            </w:r>
          </w:p>
        </w:tc>
      </w:tr>
    </w:tbl>
    <w:p w:rsidR="00000000" w:rsidRPr="00E9024C" w:rsidP="00E9024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C0D7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rPr>
                <w:rStyle w:val="SpecialBold"/>
              </w:rPr>
              <w:t xml:space="preserve">4.2) </w:t>
            </w:r>
          </w:p>
        </w:tc>
      </w:tr>
      <w:tr w:rsidTr="008C0D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Participants are best equipped to achieve this unit if they have reading, writing and numeracy skills indicated by the following scales. Description of each scale is given in Volume 2, Part 3 “Literacy and Numeracy”.</w:t>
            </w:r>
          </w:p>
        </w:tc>
      </w:tr>
      <w:tr w:rsidTr="008C0D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Reading</w:t>
            </w:r>
          </w:p>
        </w:tc>
        <w:tc>
          <w:tcPr>
            <w:tcW w:w="810"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3</w:t>
            </w:r>
          </w:p>
        </w:tc>
        <w:tc>
          <w:tcPr>
            <w:tcW w:w="990"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Writing</w:t>
            </w:r>
          </w:p>
        </w:tc>
        <w:tc>
          <w:tcPr>
            <w:tcW w:w="900"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3</w:t>
            </w:r>
          </w:p>
        </w:tc>
        <w:tc>
          <w:tcPr>
            <w:tcW w:w="1260"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Numeracy</w:t>
            </w:r>
          </w:p>
        </w:tc>
        <w:tc>
          <w:tcPr>
            <w:tcW w:w="720"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t>3</w:t>
            </w:r>
          </w:p>
        </w:tc>
      </w:tr>
    </w:tbl>
    <w:p w:rsidR="00000000" w:rsidRPr="00E9024C" w:rsidP="00E9024C">
      <w:pPr>
        <w:pStyle w:val="BodyText"/>
      </w:pPr>
    </w:p>
    <w:p w:rsidR="00000000" w:rsidRPr="00E9024C" w:rsidP="00E9024C">
      <w:pPr>
        <w:pStyle w:val="AllowPageBreak"/>
      </w:pPr>
    </w:p>
    <w:p w:rsidR="00000000" w:rsidRPr="00E9024C" w:rsidP="00E9024C">
      <w:pPr>
        <w:pStyle w:val="Heading1"/>
      </w:pPr>
      <w:bookmarkStart w:id="6" w:name="O_461748"/>
      <w:bookmarkEnd w:id="6"/>
      <w:r w:rsidRPr="00E9024C">
        <w:t>Employability Skills Information</w:t>
      </w:r>
    </w:p>
    <w:tbl>
      <w:tblPr>
        <w:tblW w:w="0" w:type="auto"/>
        <w:tblLayout w:type="fixed"/>
        <w:tblCellMar>
          <w:left w:w="62" w:type="dxa"/>
          <w:right w:w="62" w:type="dxa"/>
        </w:tblCellMar>
        <w:tblLook w:val="0000"/>
      </w:tblPr>
      <w:tblGrid>
        <w:gridCol w:w="2700"/>
        <w:gridCol w:w="5760"/>
      </w:tblGrid>
      <w:tr w:rsidTr="008C0D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rPr>
                <w:rStyle w:val="SpecialBold"/>
              </w:rPr>
              <w:t xml:space="preserve">5) </w:t>
            </w:r>
          </w:p>
        </w:tc>
      </w:tr>
      <w:tr w:rsidTr="008C0D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t xml:space="preserve">The required outcomes described in this unit of competency contain applicable facets of Employability Skills. The Employability Skills Summary </w:t>
            </w:r>
            <w:r w:rsidRPr="00E9024C">
              <w:t>of the qualification in which this unit of competency is packaged will assist in identifying Employability Skill requirements.</w:t>
            </w:r>
          </w:p>
        </w:tc>
      </w:tr>
    </w:tbl>
    <w:p w:rsidR="00000000" w:rsidRPr="00E9024C" w:rsidP="00E9024C">
      <w:pPr>
        <w:pStyle w:val="BodyText"/>
      </w:pPr>
    </w:p>
    <w:p w:rsidR="00000000" w:rsidRPr="00E9024C" w:rsidP="00E9024C">
      <w:pPr>
        <w:pStyle w:val="AllowPageBreak"/>
      </w:pPr>
    </w:p>
    <w:p w:rsidR="00000000" w:rsidRPr="00E9024C" w:rsidP="00E9024C">
      <w:pPr>
        <w:pStyle w:val="Heading1"/>
      </w:pPr>
      <w:bookmarkStart w:id="7" w:name="O_461747"/>
      <w:bookmarkEnd w:id="7"/>
      <w:r w:rsidRPr="00E9024C">
        <w:t>Elements and Performance Criteria Pre-Content</w:t>
      </w:r>
    </w:p>
    <w:tbl>
      <w:tblPr>
        <w:tblW w:w="0" w:type="auto"/>
        <w:tblLayout w:type="fixed"/>
        <w:tblCellMar>
          <w:left w:w="62" w:type="dxa"/>
          <w:right w:w="62" w:type="dxa"/>
        </w:tblCellMar>
        <w:tblLook w:val="0000"/>
      </w:tblPr>
      <w:tblGrid>
        <w:gridCol w:w="2700"/>
        <w:gridCol w:w="5760"/>
      </w:tblGrid>
      <w:tr w:rsidTr="008C0D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rPr>
                <w:rStyle w:val="SpecialBold"/>
              </w:rPr>
              <w:t>6)</w:t>
            </w:r>
            <w:r w:rsidRPr="00E9024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t>Performance Criteria describe the required performance needed to demonstrate achievement of the element. Assessment of performance is to be consistent with the Evidence Guide.</w:t>
            </w:r>
          </w:p>
        </w:tc>
      </w:tr>
    </w:tbl>
    <w:p w:rsidR="00000000" w:rsidRPr="00E9024C" w:rsidP="00E9024C">
      <w:pPr>
        <w:pStyle w:val="BodyText"/>
      </w:pPr>
    </w:p>
    <w:p w:rsidR="00000000" w:rsidRPr="00E9024C" w:rsidP="00E9024C">
      <w:pPr>
        <w:pStyle w:val="AllowPageBreak"/>
      </w:pPr>
    </w:p>
    <w:p w:rsidR="00000000" w:rsidRPr="00E9024C" w:rsidP="00E9024C">
      <w:pPr>
        <w:pStyle w:val="Heading1"/>
      </w:pPr>
      <w:bookmarkStart w:id="8" w:name="O_461746"/>
      <w:bookmarkEnd w:id="8"/>
      <w:r w:rsidRPr="00E9024C">
        <w:t>Elements and Performance Criteria</w:t>
      </w:r>
    </w:p>
    <w:tbl>
      <w:tblPr>
        <w:tblW w:w="0" w:type="auto"/>
        <w:tblLayout w:type="fixed"/>
        <w:tblCellMar>
          <w:left w:w="62" w:type="dxa"/>
          <w:right w:w="62" w:type="dxa"/>
        </w:tblCellMar>
        <w:tblLook w:val="0000"/>
      </w:tblPr>
      <w:tblGrid>
        <w:gridCol w:w="411"/>
        <w:gridCol w:w="2271"/>
        <w:gridCol w:w="18"/>
        <w:gridCol w:w="953"/>
        <w:gridCol w:w="4747"/>
        <w:gridCol w:w="60"/>
      </w:tblGrid>
      <w:tr w:rsidTr="008C0D79">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rPr>
                <w:rStyle w:val="SpecialBold"/>
              </w:rPr>
              <w:t>PERFORMANCE CRITERIA</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1</w:t>
            </w:r>
          </w:p>
        </w:tc>
        <w:tc>
          <w:tcPr>
            <w:tcW w:w="2271" w:type="dxa"/>
            <w:vMerge w:val="restart"/>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Prepare to the installation and maintenance of de-energised HV underground polymeric cables</w:t>
            </w: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1.1</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Works schedule(s), including drawings, plans, requirement</w:t>
            </w:r>
            <w:r w:rsidRPr="00E9024C">
              <w:t>s, established procedures, and material lists, are received, analysed and confirmed, if necessary, by site inspection.</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1.2</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Relevant requirements and established procedures for the work are communicated to all personnel and identified for all work sites.</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1.3</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 xml:space="preserve">OHS policies and procedures related to requirements and established procedures for the installation and maintenance of de-energised HV underground </w:t>
            </w:r>
            <w:r w:rsidRPr="00E9024C">
              <w:t>polymeric cables are obtained and confirmed for the purposes of the work to be performed and communicated.</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1.4</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Work is prioritised and sequenced following consultation with others for completion within acceptable timeframes and in accordance with establ</w:t>
            </w:r>
            <w:r w:rsidRPr="00E9024C">
              <w:t>ished procedures.</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1.5</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Hazards are identified, OHS risks assessed and control measures are prioritised, implemented and monitored including emergency exits kept clear according to established procedures.</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1.6</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Relevant work permits are obtained to access and perform work according to requirements and/or established procedures.</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1.7</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 xml:space="preserve">Resources including personnel, equipment, tools and personal protective equipment required for the job are obtained and confirmed </w:t>
            </w:r>
            <w:r w:rsidRPr="00E9024C">
              <w:t>in working order.</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1.8</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Relevant personnel at work site are confirmed current in First Aid and other related work procedures according to requirements.</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1.9</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 xml:space="preserve">Liaison and communication issues with other/authorised personnel, authorities, clients and land </w:t>
            </w:r>
            <w:r w:rsidRPr="00E9024C">
              <w:t>owners are resolved to carry out work where necessary.</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1.10</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Site is prepared according to the work schedule and to minimise risk and damage to property, commerce, and individuals in accordance with established procedures.</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1.11</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Personnel participating in the work, including plant operators and contractors, are fully briefed and respective responsibilities confirmed where applicable in accordance with established procedures.</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1.12</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Road signs, barriers and warning devices are pos</w:t>
            </w:r>
            <w:r w:rsidRPr="00E9024C">
              <w:t>itioned in accordance with requirements.</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2</w:t>
            </w:r>
          </w:p>
        </w:tc>
        <w:tc>
          <w:tcPr>
            <w:tcW w:w="2271" w:type="dxa"/>
            <w:vMerge w:val="restart"/>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Carry out the installation and maintenance of de-energised HV underground polymeric cables</w:t>
            </w: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2.1</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OHS and sustainable energy principles and practices to reduce the incidents of accidents and minimise waste are monit</w:t>
            </w:r>
            <w:r w:rsidRPr="00E9024C">
              <w:t>ored and followed in accordance with requirements and/or established procedures.</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2.2</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 xml:space="preserve">Lifting, climbing, working in confined spaces and aloft, and use of power tools/equipment, techniques and practices are safely followed and, </w:t>
            </w:r>
            <w:r w:rsidRPr="00E9024C">
              <w:t>currency according to requirements confirmed.</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2.3</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Systems and circuits are isolated as required, proved safe to work on in accordance with the requirements/permits and established procedures.</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2.4</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Essential knowledge and associated skills are applied in the safe installation and maintenance of de-energised HV underground polymeric cables to ensure completion in an agreed timeframe and, to quality standards with a minimum of waste according to requir</w:t>
            </w:r>
            <w:r w:rsidRPr="00E9024C">
              <w:t>ements.</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2.5</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De-energised HV underground polymeric cables are installed according the work schedule and requirements/established procedures.</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2.6</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Maintenance, including repair and/or replacement of de-energised HV underground polymeric cables is carrie</w:t>
            </w:r>
            <w:r w:rsidRPr="00E9024C">
              <w:t>d out, in accordance with the work schedule and requirements/established procedures.</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2.7</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Hazard warnings and safety signs are recognised and hazards and assessed OHS risks are reported to the immediate authorised persons for directions according to esta</w:t>
            </w:r>
            <w:r w:rsidRPr="00E9024C">
              <w:t>blished procedures.</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2.8</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Unplanned events in the installation and maintenance of de-energised HV underground polymeric cables are undertaken within the scope of established procedures.</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2.9</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Known solutions to a variety of problems are applied using acquired essential knowledge and associated skills.</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2.10</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Ongoing checks of quality of the work are undertaken in accordance with instructions and established procedures.</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3</w:t>
            </w:r>
          </w:p>
        </w:tc>
        <w:tc>
          <w:tcPr>
            <w:tcW w:w="2271" w:type="dxa"/>
            <w:vMerge w:val="restart"/>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Complete the installa</w:t>
            </w:r>
            <w:r w:rsidRPr="00E9024C">
              <w:t>tion and maintenance of de-energised HV underground polymeric cables</w:t>
            </w: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3.1</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Work undertaken is checked against works schedule for conformance with requirements and anomalies reported in accordance with established procedures.</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3.2</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Accidents and/or injuries are reported in accordance with requirements/established procedures, where applicable.</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3.3</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Work site is rehabilitated, cleaned up and made safe in accordance with established procedures.</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3.4</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 xml:space="preserve">Tools, equipment and any surplus </w:t>
            </w:r>
            <w:r w:rsidRPr="00E9024C">
              <w:t>resources and materials are, where appropriate, cleaned, checked and returned to storage in accordance with established procedures.</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3.5</w:t>
            </w:r>
          </w:p>
        </w:tc>
        <w:tc>
          <w:tcPr>
            <w:tcW w:w="4747"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Relevant work permit(s) are signed off and, HV underground polymeric cables are returned to service in accordance with requirements.</w:t>
            </w:r>
          </w:p>
        </w:tc>
      </w:tr>
      <w:tr w:rsidTr="008C0D79">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3.6</w:t>
            </w:r>
          </w:p>
        </w:tc>
        <w:tc>
          <w:tcPr>
            <w:tcW w:w="4747"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t>Works completion records, reports, as installed /modified drawing and/or documentation and information are finalised</w:t>
            </w:r>
            <w:r w:rsidRPr="00E9024C">
              <w:t xml:space="preserve"> and processed and appropriate personnel notified.</w:t>
            </w:r>
          </w:p>
        </w:tc>
      </w:tr>
    </w:tbl>
    <w:p w:rsidR="00000000" w:rsidRPr="00E9024C" w:rsidP="00E9024C">
      <w:pPr>
        <w:pStyle w:val="BodyText"/>
      </w:pPr>
    </w:p>
    <w:p w:rsidR="00000000" w:rsidRPr="00E9024C" w:rsidP="00E9024C">
      <w:pPr>
        <w:pStyle w:val="AllowPageBreak"/>
      </w:pPr>
    </w:p>
    <w:p w:rsidR="00000000" w:rsidRPr="00E9024C" w:rsidP="00E9024C">
      <w:pPr>
        <w:pStyle w:val="Heading1"/>
      </w:pPr>
      <w:bookmarkStart w:id="9" w:name="O_461754"/>
      <w:bookmarkEnd w:id="9"/>
      <w:r w:rsidRPr="00E9024C">
        <w:t>Required Skills and Knowledge</w:t>
      </w:r>
    </w:p>
    <w:tbl>
      <w:tblPr>
        <w:tblW w:w="0" w:type="auto"/>
        <w:tblLayout w:type="fixed"/>
        <w:tblCellMar>
          <w:left w:w="62" w:type="dxa"/>
          <w:right w:w="62" w:type="dxa"/>
        </w:tblCellMar>
        <w:tblLook w:val="0000"/>
      </w:tblPr>
      <w:tblGrid>
        <w:gridCol w:w="8460"/>
      </w:tblGrid>
      <w:tr w:rsidTr="008C0D7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rPr>
                <w:rStyle w:val="SpecialBold"/>
              </w:rPr>
              <w:t>REQUIRED SKILLS AND KNOWLEDGE</w:t>
            </w:r>
          </w:p>
        </w:tc>
      </w:tr>
      <w:tr w:rsidTr="008C0D7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rPr>
                <w:rStyle w:val="SpecialBold"/>
              </w:rPr>
              <w:t>8)</w:t>
            </w:r>
            <w:r w:rsidRPr="00E9024C">
              <w:t xml:space="preserve"> Essential knowledge and associated skills (EKAS): This describes the essential skills and knowledge </w:t>
            </w:r>
            <w:r w:rsidRPr="00E9024C">
              <w:t>and their level, required for this unit.</w:t>
            </w:r>
          </w:p>
          <w:p w:rsidR="00000000" w:rsidRPr="00E9024C" w:rsidP="00E9024C">
            <w:pPr>
              <w:pStyle w:val="BodyText"/>
            </w:pPr>
            <w:r w:rsidRPr="00E9024C">
              <w:t>Evidence shall show that knowledge has been acquired of installing and maintaining de-energised HV underground polymeric cables.</w:t>
            </w:r>
          </w:p>
          <w:p w:rsidR="00000000" w:rsidRPr="00E9024C" w:rsidP="00E9024C">
            <w:pPr>
              <w:pStyle w:val="BodyText"/>
            </w:pPr>
            <w:r w:rsidRPr="00E9024C">
              <w:t>All knowledge and skills detailed in this unit should be contextualised to current ind</w:t>
            </w:r>
            <w:r w:rsidRPr="00E9024C">
              <w:t>ustry practices and technologies.</w:t>
            </w:r>
          </w:p>
          <w:p w:rsidR="00000000" w:rsidRPr="00E9024C" w:rsidP="00E9024C">
            <w:pPr>
              <w:pStyle w:val="BodyText"/>
            </w:pPr>
            <w:r w:rsidRPr="00E9024C">
              <w:t>KS01-TCJ27A</w:t>
            </w:r>
            <w:r w:rsidRPr="00E9024C">
              <w:tab/>
              <w:t>HV Polymeric underground cable jointing</w:t>
            </w:r>
          </w:p>
          <w:p w:rsidR="00000000" w:rsidRPr="00E9024C" w:rsidP="00E9024C">
            <w:pPr>
              <w:pStyle w:val="BodyText"/>
            </w:pPr>
            <w:r w:rsidRPr="00E9024C">
              <w:t>Evidence shall show an understanding of the jointing and termination of HV polymeric cable to an extent indicated by the following aspects:</w:t>
            </w:r>
          </w:p>
          <w:p w:rsidR="00000000" w:rsidRPr="00E9024C" w:rsidP="00E9024C">
            <w:pPr>
              <w:pStyle w:val="BodyText"/>
            </w:pPr>
            <w:r w:rsidRPr="00E9024C">
              <w:t>T1</w:t>
            </w:r>
            <w:r w:rsidRPr="00E9024C">
              <w:tab/>
              <w:t>Standards, codes, legislati</w:t>
            </w:r>
            <w:r w:rsidRPr="00E9024C">
              <w:t xml:space="preserve">on, supply authority regulations and or enterprise requirements pertaining to the jointing of HV underground polymeric cables </w:t>
            </w:r>
          </w:p>
          <w:p w:rsidR="00000000" w:rsidRPr="00E9024C" w:rsidP="00E9024C">
            <w:pPr>
              <w:pStyle w:val="BodyText"/>
            </w:pPr>
            <w:r w:rsidRPr="00E9024C">
              <w:t>T2</w:t>
            </w:r>
            <w:r w:rsidRPr="00E9024C">
              <w:tab/>
              <w:t xml:space="preserve">Requirements for the use of enterprise construction manuals, system diagrams/plans and drawings, encompassing: </w:t>
            </w:r>
          </w:p>
          <w:p w:rsidR="00000000" w:rsidRPr="00E9024C" w:rsidP="00E9024C">
            <w:pPr>
              <w:pStyle w:val="ListBullet"/>
            </w:pPr>
            <w:r w:rsidRPr="00E9024C">
              <w:t>Characteristic</w:t>
            </w:r>
            <w:r w:rsidRPr="00E9024C">
              <w:t xml:space="preserve">s of different types of cables and components </w:t>
            </w:r>
          </w:p>
          <w:p w:rsidR="00000000" w:rsidRPr="00E9024C" w:rsidP="00E9024C">
            <w:pPr>
              <w:pStyle w:val="ListBullet"/>
            </w:pPr>
            <w:r w:rsidRPr="00E9024C">
              <w:t xml:space="preserve">Purpose of stress control </w:t>
            </w:r>
          </w:p>
          <w:p w:rsidR="00000000" w:rsidRPr="00E9024C" w:rsidP="00E9024C">
            <w:pPr>
              <w:pStyle w:val="BodyText"/>
            </w:pPr>
            <w:r w:rsidRPr="00E9024C">
              <w:t>T3</w:t>
            </w:r>
            <w:r w:rsidRPr="00E9024C">
              <w:tab/>
              <w:t xml:space="preserve">Applications of various tools and equipment for HV jointing </w:t>
            </w:r>
          </w:p>
          <w:p w:rsidR="00000000" w:rsidRPr="00E9024C" w:rsidP="00E9024C">
            <w:pPr>
              <w:pStyle w:val="BodyText"/>
            </w:pPr>
            <w:r w:rsidRPr="00E9024C">
              <w:t>T4</w:t>
            </w:r>
            <w:r w:rsidRPr="00E9024C">
              <w:tab/>
              <w:t xml:space="preserve">Procedure for isolating high voltage underground cables encompassing: </w:t>
            </w:r>
          </w:p>
          <w:p w:rsidR="00000000" w:rsidRPr="00E9024C" w:rsidP="00E9024C">
            <w:pPr>
              <w:pStyle w:val="ListBullet"/>
            </w:pPr>
            <w:r w:rsidRPr="00E9024C">
              <w:t xml:space="preserve">Method for proving safe to work </w:t>
            </w:r>
          </w:p>
          <w:p w:rsidR="00000000" w:rsidRPr="00E9024C" w:rsidP="00E9024C">
            <w:pPr>
              <w:pStyle w:val="BodyText"/>
            </w:pPr>
            <w:r w:rsidRPr="00E9024C">
              <w:t>T5</w:t>
            </w:r>
            <w:r w:rsidRPr="00E9024C">
              <w:tab/>
              <w:t>Earthing</w:t>
            </w:r>
            <w:r w:rsidRPr="00E9024C">
              <w:t xml:space="preserve"> procedures </w:t>
            </w:r>
          </w:p>
          <w:p w:rsidR="00000000" w:rsidRPr="00E9024C" w:rsidP="00E9024C">
            <w:pPr>
              <w:pStyle w:val="BodyText"/>
            </w:pPr>
            <w:r w:rsidRPr="00E9024C">
              <w:t>T6</w:t>
            </w:r>
            <w:r w:rsidRPr="00E9024C">
              <w:tab/>
              <w:t xml:space="preserve">Techniques in jointing HV underground polymeric cable, encompassing: </w:t>
            </w:r>
          </w:p>
          <w:p w:rsidR="00000000" w:rsidRPr="00E9024C" w:rsidP="00E9024C">
            <w:pPr>
              <w:pStyle w:val="ListBullet"/>
            </w:pPr>
            <w:r w:rsidRPr="00E9024C">
              <w:t xml:space="preserve">Short circuit cores and seal cable </w:t>
            </w:r>
          </w:p>
          <w:p w:rsidR="00000000" w:rsidRPr="00E9024C" w:rsidP="00E9024C">
            <w:pPr>
              <w:pStyle w:val="ListBullet"/>
            </w:pPr>
            <w:r w:rsidRPr="00E9024C">
              <w:t xml:space="preserve">Straight through </w:t>
            </w:r>
          </w:p>
          <w:p w:rsidR="00000000" w:rsidRPr="00E9024C" w:rsidP="00E9024C">
            <w:pPr>
              <w:pStyle w:val="ListBullet"/>
            </w:pPr>
            <w:r w:rsidRPr="00E9024C">
              <w:t xml:space="preserve">Trifurcating </w:t>
            </w:r>
          </w:p>
          <w:p w:rsidR="00000000" w:rsidRPr="00E9024C" w:rsidP="00E9024C">
            <w:pPr>
              <w:pStyle w:val="BodyText"/>
            </w:pPr>
            <w:r w:rsidRPr="00E9024C">
              <w:t>T7</w:t>
            </w:r>
            <w:r w:rsidRPr="00E9024C">
              <w:tab/>
              <w:t xml:space="preserve">Techniques in HV terminations encompassing: </w:t>
            </w:r>
          </w:p>
          <w:p w:rsidR="00000000" w:rsidRPr="00E9024C" w:rsidP="00E9024C">
            <w:pPr>
              <w:pStyle w:val="ListBullet"/>
            </w:pPr>
            <w:r w:rsidRPr="00E9024C">
              <w:t xml:space="preserve">Pole top termination </w:t>
            </w:r>
          </w:p>
          <w:p w:rsidR="00000000" w:rsidRPr="00E9024C" w:rsidP="00E9024C">
            <w:pPr>
              <w:pStyle w:val="ListBullet"/>
            </w:pPr>
            <w:r w:rsidRPr="00E9024C">
              <w:t>Substation/switchgear terminatio</w:t>
            </w:r>
            <w:r w:rsidRPr="00E9024C">
              <w:t xml:space="preserve">n </w:t>
            </w:r>
          </w:p>
          <w:p w:rsidR="00000000" w:rsidRPr="00E9024C" w:rsidP="00E9024C">
            <w:pPr>
              <w:pStyle w:val="ListBullet"/>
            </w:pPr>
            <w:r w:rsidRPr="00E9024C">
              <w:t xml:space="preserve">ABC termination </w:t>
            </w:r>
          </w:p>
          <w:p w:rsidR="00000000" w:rsidRPr="00E9024C" w:rsidP="00E9024C">
            <w:pPr>
              <w:pStyle w:val="ListBullet"/>
            </w:pPr>
            <w:r w:rsidRPr="00E9024C">
              <w:t xml:space="preserve">Telcon termination </w:t>
            </w:r>
          </w:p>
          <w:p w:rsidR="00000000" w:rsidRPr="00E9024C" w:rsidP="00E9024C">
            <w:pPr>
              <w:pStyle w:val="BodyText"/>
            </w:pPr>
            <w:r w:rsidRPr="00E9024C">
              <w:t>T8</w:t>
            </w:r>
            <w:r w:rsidRPr="00E9024C">
              <w:tab/>
              <w:t xml:space="preserve">Procedures for repairing HV underground cables encompassing: </w:t>
            </w:r>
          </w:p>
          <w:p w:rsidR="00000000" w:rsidRPr="00E9024C" w:rsidP="00E9024C">
            <w:pPr>
              <w:pStyle w:val="ListBullet"/>
            </w:pPr>
            <w:r w:rsidRPr="00E9024C">
              <w:t xml:space="preserve">Location of faults </w:t>
            </w:r>
          </w:p>
          <w:p w:rsidR="00000000" w:rsidRPr="00E9024C" w:rsidP="00E9024C">
            <w:pPr>
              <w:pStyle w:val="ListBullet"/>
            </w:pPr>
            <w:r w:rsidRPr="00E9024C">
              <w:t xml:space="preserve">Types of damage </w:t>
            </w:r>
          </w:p>
          <w:p w:rsidR="00000000" w:rsidRPr="00E9024C" w:rsidP="00E9024C">
            <w:pPr>
              <w:pStyle w:val="ListBullet"/>
            </w:pPr>
            <w:r w:rsidRPr="00E9024C">
              <w:t xml:space="preserve">Techniques to repairs to sheath </w:t>
            </w:r>
          </w:p>
          <w:p w:rsidR="00000000" w:rsidRPr="00E9024C" w:rsidP="00E9024C">
            <w:pPr>
              <w:pStyle w:val="ListBullet"/>
            </w:pPr>
            <w:r w:rsidRPr="00E9024C">
              <w:t xml:space="preserve">Techniques to repairs to core </w:t>
            </w:r>
          </w:p>
        </w:tc>
      </w:tr>
    </w:tbl>
    <w:p w:rsidR="00000000" w:rsidRPr="00E9024C" w:rsidP="00E9024C">
      <w:pPr>
        <w:pStyle w:val="BodyText"/>
      </w:pPr>
    </w:p>
    <w:p w:rsidR="00000000" w:rsidRPr="00E9024C" w:rsidP="00E9024C">
      <w:pPr>
        <w:pStyle w:val="AllowPageBreak"/>
      </w:pPr>
    </w:p>
    <w:p w:rsidR="00000000" w:rsidRPr="00E9024C" w:rsidP="00E9024C">
      <w:pPr>
        <w:pStyle w:val="Heading1"/>
      </w:pPr>
      <w:bookmarkStart w:id="10" w:name="O_461749"/>
      <w:bookmarkEnd w:id="10"/>
      <w:r w:rsidRPr="00E9024C">
        <w:t>Evidence Guide</w:t>
      </w:r>
    </w:p>
    <w:tbl>
      <w:tblPr>
        <w:tblW w:w="0" w:type="auto"/>
        <w:tblLayout w:type="fixed"/>
        <w:tblCellMar>
          <w:left w:w="62" w:type="dxa"/>
          <w:right w:w="62" w:type="dxa"/>
        </w:tblCellMar>
        <w:tblLook w:val="0000"/>
      </w:tblPr>
      <w:tblGrid>
        <w:gridCol w:w="8460"/>
      </w:tblGrid>
      <w:tr w:rsidTr="008C0D7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rPr>
                <w:rStyle w:val="SpecialBold"/>
              </w:rPr>
              <w:t>EVIDENCE GUIDE</w:t>
            </w:r>
          </w:p>
        </w:tc>
      </w:tr>
      <w:tr w:rsidTr="008C0D7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rPr>
                <w:rStyle w:val="SpecialBold"/>
              </w:rPr>
              <w:t>9)</w:t>
            </w:r>
            <w:r w:rsidRPr="00E9024C">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E9024C" w:rsidP="00E9024C">
            <w:pPr>
              <w:pStyle w:val="BodyText"/>
            </w:pPr>
            <w:r w:rsidRPr="00E9024C">
              <w:t>The Evidence Guide fo</w:t>
            </w:r>
            <w:r w:rsidRPr="00E9024C">
              <w:t>rms an integral part of this Competency Standard Unit and shall be used in conjunction with all component parts of this unit and, performed in accordance with the Assessment Guidelines of this Training Package.</w:t>
            </w:r>
          </w:p>
        </w:tc>
      </w:tr>
    </w:tbl>
    <w:p w:rsidR="00000000" w:rsidRPr="00E9024C" w:rsidP="00E9024C">
      <w:pPr>
        <w:pStyle w:val="BodyText"/>
      </w:pPr>
    </w:p>
    <w:tbl>
      <w:tblPr>
        <w:tblW w:w="0" w:type="auto"/>
        <w:tblLayout w:type="fixed"/>
        <w:tblCellMar>
          <w:left w:w="62" w:type="dxa"/>
          <w:right w:w="62" w:type="dxa"/>
        </w:tblCellMar>
        <w:tblLook w:val="0000"/>
      </w:tblPr>
      <w:tblGrid>
        <w:gridCol w:w="1890"/>
        <w:gridCol w:w="6570"/>
      </w:tblGrid>
      <w:tr w:rsidTr="008C0D79">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rPr>
                <w:rStyle w:val="SpecialBold"/>
              </w:rPr>
              <w:t>9.1)</w:t>
            </w:r>
          </w:p>
        </w:tc>
      </w:tr>
      <w:tr w:rsidTr="008C0D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t xml:space="preserve">Longitudinal </w:t>
            </w:r>
            <w:r w:rsidRPr="00E9024C">
              <w:t>competency development approaches to assessment, such as Profiling, require data to be reliably gathered in a form that can be consistently interpreted over time. This approach is best utilised in Apprenticeship programs and reduces assessment intervention</w:t>
            </w:r>
            <w:r w:rsidRPr="00E9024C">
              <w:t>. It is the Industry’s preferred model for apprenticeships. However, where summative (or final) assessment is used it is to include the application of the competency in the normal work environment or, at a minimum, the application of the competency in a re</w:t>
            </w:r>
            <w:r w:rsidRPr="00E9024C">
              <w:t>alistically simulated work environment. It is recognised that, in some circumstances, assessment in part or full can occur outside the workplace. However, it must be in accord with Industry and, Regulatory policy in this regard.</w:t>
            </w:r>
          </w:p>
          <w:p w:rsidR="00000000" w:rsidRPr="00E9024C" w:rsidP="00E9024C">
            <w:pPr>
              <w:pStyle w:val="BodyText"/>
            </w:pPr>
            <w:r w:rsidRPr="00E9024C">
              <w:t>Methods chosen for a partic</w:t>
            </w:r>
            <w:r w:rsidRPr="00E9024C">
              <w:t>ular assessment will be influenced by various factors. These include the extent of the assessment, the most effective locations for the assessment activities to take place, access to physical resources, additional safety measures that may be required and t</w:t>
            </w:r>
            <w:r w:rsidRPr="00E9024C">
              <w:t>he critical nature of the competencies being assessed.</w:t>
            </w:r>
          </w:p>
          <w:p w:rsidR="00000000" w:rsidRPr="00E9024C" w:rsidP="00E9024C">
            <w:pPr>
              <w:pStyle w:val="BodyText"/>
            </w:pPr>
            <w:r w:rsidRPr="00E9024C">
              <w:t>The critical safety nature of working with electricity, electrical equipment, gas or any other hazardous substance/material carries risk in deeming a person competent. Hence, sources of evidence need t</w:t>
            </w:r>
            <w:r w:rsidRPr="00E9024C">
              <w:t>o be ‘rich’ in nature so as to minimise error in judgment.</w:t>
            </w:r>
          </w:p>
          <w:p w:rsidR="00000000" w:rsidRPr="00E9024C" w:rsidP="00E9024C">
            <w:pPr>
              <w:pStyle w:val="BodyText"/>
            </w:pPr>
            <w:r w:rsidRPr="00E9024C">
              <w:t>Activities associated with normal every day work have a bearing on the decision as to how much and how detailed the data gathered will contribute to its ‘richness’</w:t>
            </w:r>
            <w:r w:rsidRPr="00E9024C">
              <w:t>. Some skills are more critical to safety and operational requirements while the same skills may be more or less frequently practiced. These points are raised for the assessors to consider when choosing an assessment method and developing assessment instru</w:t>
            </w:r>
            <w:r w:rsidRPr="00E9024C">
              <w:t>ments. Sample assessment instruments are included for Assessors in the Assessment Guidelines of this Training Package.</w:t>
            </w:r>
          </w:p>
        </w:tc>
      </w:tr>
    </w:tbl>
    <w:p w:rsidR="00000000" w:rsidRPr="00E9024C" w:rsidP="00E9024C">
      <w:pPr>
        <w:pStyle w:val="BodyText"/>
      </w:pPr>
    </w:p>
    <w:tbl>
      <w:tblPr>
        <w:tblW w:w="0" w:type="auto"/>
        <w:tblLayout w:type="fixed"/>
        <w:tblCellMar>
          <w:left w:w="62" w:type="dxa"/>
          <w:right w:w="62" w:type="dxa"/>
        </w:tblCellMar>
        <w:tblLook w:val="0000"/>
      </w:tblPr>
      <w:tblGrid>
        <w:gridCol w:w="1890"/>
        <w:gridCol w:w="720"/>
        <w:gridCol w:w="1260"/>
        <w:gridCol w:w="2070"/>
        <w:gridCol w:w="2520"/>
      </w:tblGrid>
      <w:tr w:rsidTr="008C0D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rPr>
                <w:rStyle w:val="SpecialBold"/>
              </w:rPr>
              <w:t>9.2)</w:t>
            </w:r>
          </w:p>
        </w:tc>
      </w:tr>
      <w:tr w:rsidTr="008C0D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t>Before the critical aspects of evidence are cons</w:t>
            </w:r>
            <w:r w:rsidRPr="00E9024C">
              <w:t>idered all prerequisites shall be met.</w:t>
            </w:r>
          </w:p>
          <w:p w:rsidR="00000000" w:rsidRPr="00E9024C" w:rsidP="00E9024C">
            <w:pPr>
              <w:pStyle w:val="BodyText"/>
            </w:pPr>
            <w:r w:rsidRPr="00E9024C">
              <w:t>Evidence for competence in this unit shall be considered holistically. Each element and associated performance criteria shall be demonstrated on at least two occasions in accordance with the “Assessment Guidelines – U</w:t>
            </w:r>
            <w:r w:rsidRPr="00E9024C">
              <w:t>ET12”. Evidence shall also comprise:</w:t>
            </w:r>
          </w:p>
          <w:p w:rsidR="00000000" w:rsidRPr="00E9024C" w:rsidP="00E9024C">
            <w:pPr>
              <w:pStyle w:val="ListBullet"/>
            </w:pPr>
            <w:r w:rsidRPr="00E9024C">
              <w:t>A representative body of performance criteria demonstrated within the timeframes typically expected of the discipline, work function and industrial environment. In particular this shall incorporate evidence that shows a</w:t>
            </w:r>
            <w:r w:rsidRPr="00E9024C">
              <w:t xml:space="preserve"> candidate is able to:</w:t>
            </w:r>
          </w:p>
          <w:p w:rsidR="00000000" w:rsidRPr="00E9024C" w:rsidP="00E9024C">
            <w:pPr>
              <w:pStyle w:val="ListBullet2"/>
            </w:pPr>
            <w:r w:rsidRPr="00E9024C">
              <w:t>Implement Occupational Health and Safety workplace procedures and practices including the use of risk control measures as specified in the performance criteria and range; and</w:t>
            </w:r>
          </w:p>
          <w:p w:rsidR="00000000" w:rsidRPr="00E9024C" w:rsidP="00E9024C">
            <w:pPr>
              <w:pStyle w:val="ListBullet2"/>
            </w:pPr>
            <w:r w:rsidRPr="00E9024C">
              <w:t>Apply sustainable energy principles and practices as specified in the performance criteria and range; and</w:t>
            </w:r>
          </w:p>
          <w:p w:rsidR="00000000" w:rsidRPr="00E9024C" w:rsidP="00E9024C">
            <w:pPr>
              <w:pStyle w:val="ListBullet2"/>
            </w:pPr>
            <w:r w:rsidRPr="00E9024C">
              <w:t>Demonstrate an understanding of the essential knowledge and associated skills as described in this unit to such an extent that the learner’s performan</w:t>
            </w:r>
            <w:r w:rsidRPr="00E9024C">
              <w:t>ce outcome is reported in accordance with the preferred approach; namely a percentile graded result, where required by the regulated environment; and</w:t>
            </w:r>
          </w:p>
          <w:p w:rsidR="00000000" w:rsidRPr="00E9024C" w:rsidP="00E9024C">
            <w:pPr>
              <w:pStyle w:val="ListBullet2"/>
            </w:pPr>
            <w:r w:rsidRPr="00E9024C">
              <w:t>Demonstrate an appropriate level of employability skills; and</w:t>
            </w:r>
          </w:p>
          <w:p w:rsidR="00000000" w:rsidRPr="00E9024C" w:rsidP="00E9024C">
            <w:pPr>
              <w:pStyle w:val="ListBullet"/>
            </w:pPr>
            <w:r w:rsidRPr="00E9024C">
              <w:t>Conduct work observing the relevant Anti Dis</w:t>
            </w:r>
            <w:r w:rsidRPr="00E9024C">
              <w:t>crimination legislation, regulations, policies and workplace procedures; and</w:t>
            </w:r>
          </w:p>
          <w:p w:rsidR="00000000" w:rsidP="00E9024C">
            <w:pPr>
              <w:pStyle w:val="ListBullet2"/>
              <w:rPr>
                <w:lang w:val="en-NZ"/>
              </w:rPr>
            </w:pPr>
            <w:r w:rsidRPr="00E9024C">
              <w:t>Demonstrated performance across a representative range of contexts from the prescribed items below:</w:t>
            </w:r>
          </w:p>
        </w:tc>
      </w:tr>
      <w:tr w:rsidTr="008C0D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E9024C">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24C">
            <w:pPr>
              <w:pStyle w:val="BodyText"/>
              <w:rPr>
                <w:lang w:val="en-NZ"/>
              </w:rPr>
            </w:pPr>
            <w:r w:rsidRPr="00E9024C">
              <w:rPr>
                <w:rStyle w:val="SpecialBold"/>
              </w:rPr>
              <w:t>Range of tools/equipment/materials/procedures/workplaces/other variables</w:t>
            </w:r>
          </w:p>
        </w:tc>
      </w:tr>
      <w:tr w:rsidTr="008C0D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E9024C">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24C" w:rsidP="00E9024C">
            <w:pPr>
              <w:pStyle w:val="BodyText"/>
            </w:pPr>
            <w:r w:rsidRPr="00E9024C">
              <w:rPr>
                <w:rStyle w:val="SpecialBold"/>
              </w:rPr>
              <w:t>Group No</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24C" w:rsidP="00E9024C">
            <w:pPr>
              <w:pStyle w:val="BodyText"/>
            </w:pPr>
            <w:r w:rsidRPr="00E9024C">
              <w:rPr>
                <w:rStyle w:val="SpecialBold"/>
              </w:rPr>
              <w:t xml:space="preserve">The minimum number of items on which skill is to </w:t>
            </w:r>
            <w:r w:rsidRPr="00E9024C">
              <w:rPr>
                <w:rStyle w:val="SpecialBold"/>
              </w:rPr>
              <w:t>be demonstrated</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24C">
            <w:pPr>
              <w:pStyle w:val="BodyText"/>
              <w:rPr>
                <w:lang w:val="en-NZ"/>
              </w:rPr>
            </w:pPr>
            <w:r w:rsidRPr="00E9024C">
              <w:rPr>
                <w:rStyle w:val="SpecialBold"/>
              </w:rPr>
              <w:t>Item List</w:t>
            </w:r>
          </w:p>
        </w:tc>
      </w:tr>
      <w:tr w:rsidTr="008C0D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24C">
            <w:pPr>
              <w:pStyle w:val="BodyText"/>
              <w:rPr>
                <w:lang w:val="en-NZ"/>
              </w:rPr>
            </w:pPr>
            <w:r w:rsidRPr="00E9024C">
              <w:t>A</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24C">
            <w:pPr>
              <w:pStyle w:val="BodyText"/>
              <w:rPr>
                <w:lang w:val="en-NZ"/>
              </w:rPr>
            </w:pPr>
            <w:r w:rsidRPr="00E9024C">
              <w:t>All of the following:</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24C">
            <w:pPr>
              <w:pStyle w:val="BodyText"/>
              <w:rPr>
                <w:lang w:val="en-NZ"/>
              </w:rPr>
            </w:pPr>
            <w:r w:rsidRPr="00E9024C">
              <w:t>HV polymeric cables</w:t>
            </w:r>
          </w:p>
        </w:tc>
      </w:tr>
      <w:tr w:rsidTr="008C0D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24C">
            <w:pPr>
              <w:pStyle w:val="BodyText"/>
              <w:rPr>
                <w:lang w:val="en-NZ"/>
              </w:rPr>
            </w:pPr>
            <w:r w:rsidRPr="00E9024C">
              <w:t>B</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24C">
            <w:pPr>
              <w:pStyle w:val="BodyText"/>
              <w:rPr>
                <w:lang w:val="en-NZ"/>
              </w:rPr>
            </w:pPr>
            <w:r w:rsidRPr="00E9024C">
              <w:t>At least two of the following:</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24C" w:rsidP="00E9024C">
            <w:pPr>
              <w:pStyle w:val="BodyText"/>
            </w:pPr>
            <w:r w:rsidRPr="00E9024C">
              <w:t>Tee-off joints</w:t>
            </w:r>
          </w:p>
          <w:p w:rsidR="00000000" w:rsidRPr="00E9024C" w:rsidP="00E9024C">
            <w:pPr>
              <w:pStyle w:val="BodyText"/>
            </w:pPr>
            <w:r w:rsidRPr="00E9024C">
              <w:t>Straight through joint</w:t>
            </w:r>
          </w:p>
          <w:p w:rsidR="00000000" w:rsidRPr="00E9024C" w:rsidP="00E9024C">
            <w:pPr>
              <w:pStyle w:val="BodyText"/>
            </w:pPr>
            <w:r w:rsidRPr="00E9024C">
              <w:t>Parallel branch joint</w:t>
            </w:r>
          </w:p>
          <w:p w:rsidR="00000000" w:rsidP="00E9024C">
            <w:pPr>
              <w:pStyle w:val="BodyText"/>
              <w:rPr>
                <w:lang w:val="en-NZ"/>
              </w:rPr>
            </w:pPr>
            <w:r w:rsidRPr="00E9024C">
              <w:t>Parallel joint</w:t>
            </w:r>
          </w:p>
        </w:tc>
      </w:tr>
      <w:tr w:rsidTr="008C0D79">
        <w:tblPrEx>
          <w:tblW w:w="0" w:type="auto"/>
          <w:tblLayout w:type="fixed"/>
          <w:tblCellMar>
            <w:left w:w="62" w:type="dxa"/>
            <w:right w:w="62" w:type="dxa"/>
          </w:tblCellMar>
          <w:tblLook w:val="0000"/>
        </w:tblPrEx>
        <w:trPr>
          <w:trHeight w:val="1333"/>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24C">
            <w:pPr>
              <w:pStyle w:val="BodyText"/>
              <w:rPr>
                <w:lang w:val="en-NZ"/>
              </w:rPr>
            </w:pPr>
            <w:r w:rsidRPr="00E9024C">
              <w:t>C</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24C">
            <w:pPr>
              <w:pStyle w:val="BodyText"/>
              <w:rPr>
                <w:lang w:val="en-NZ"/>
              </w:rPr>
            </w:pPr>
            <w:r w:rsidRPr="00E9024C">
              <w:t>At least one of the following:</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24C" w:rsidP="00E9024C">
            <w:pPr>
              <w:pStyle w:val="BodyText"/>
            </w:pPr>
            <w:r w:rsidRPr="00E9024C">
              <w:t>Transformers</w:t>
            </w:r>
          </w:p>
          <w:p w:rsidR="00000000" w:rsidRPr="00E9024C" w:rsidP="00E9024C">
            <w:pPr>
              <w:pStyle w:val="BodyText"/>
            </w:pPr>
            <w:r w:rsidRPr="00E9024C">
              <w:t>Ring main units</w:t>
            </w:r>
          </w:p>
          <w:p w:rsidR="00000000" w:rsidP="00E9024C">
            <w:pPr>
              <w:pStyle w:val="BodyText"/>
              <w:rPr>
                <w:lang w:val="en-NZ"/>
              </w:rPr>
            </w:pPr>
            <w:r w:rsidRPr="00E9024C">
              <w:t>Chamber substations</w:t>
            </w:r>
          </w:p>
        </w:tc>
      </w:tr>
      <w:tr w:rsidTr="008C0D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24C">
            <w:pPr>
              <w:pStyle w:val="BodyText"/>
              <w:rPr>
                <w:lang w:val="en-NZ"/>
              </w:rPr>
            </w:pPr>
            <w:r w:rsidRPr="00E9024C">
              <w:t>D</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24C">
            <w:pPr>
              <w:pStyle w:val="BodyText"/>
              <w:rPr>
                <w:lang w:val="en-NZ"/>
              </w:rPr>
            </w:pPr>
            <w:r w:rsidRPr="00E9024C">
              <w:t>At least one of the following:</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24C" w:rsidP="00E9024C">
            <w:pPr>
              <w:pStyle w:val="BodyText"/>
            </w:pPr>
            <w:r w:rsidRPr="00E9024C">
              <w:t>Busbar/termination boxes</w:t>
            </w:r>
          </w:p>
          <w:p w:rsidR="00000000" w:rsidRPr="00E9024C" w:rsidP="00E9024C">
            <w:pPr>
              <w:pStyle w:val="BodyText"/>
            </w:pPr>
            <w:r w:rsidRPr="00E9024C">
              <w:t>Links/Fuses</w:t>
            </w:r>
          </w:p>
          <w:p w:rsidR="00000000" w:rsidRPr="00E9024C" w:rsidP="00E9024C">
            <w:pPr>
              <w:pStyle w:val="BodyText"/>
            </w:pPr>
            <w:r w:rsidRPr="00E9024C">
              <w:t>Termination boxes</w:t>
            </w:r>
          </w:p>
          <w:p w:rsidR="00000000" w:rsidRPr="00E9024C" w:rsidP="00E9024C">
            <w:pPr>
              <w:pStyle w:val="BodyText"/>
            </w:pPr>
            <w:r w:rsidRPr="00E9024C">
              <w:t>Control gear</w:t>
            </w:r>
          </w:p>
          <w:p w:rsidR="00000000" w:rsidP="00E9024C">
            <w:pPr>
              <w:pStyle w:val="BodyText"/>
              <w:rPr>
                <w:lang w:val="en-NZ"/>
              </w:rPr>
            </w:pPr>
            <w:r w:rsidRPr="00E9024C">
              <w:t>Circuit breakers</w:t>
            </w:r>
          </w:p>
        </w:tc>
      </w:tr>
      <w:tr w:rsidTr="008C0D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24C">
            <w:pPr>
              <w:pStyle w:val="BodyText"/>
              <w:rPr>
                <w:lang w:val="en-NZ"/>
              </w:rPr>
            </w:pPr>
            <w:r w:rsidRPr="00E9024C">
              <w:t>E</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24C">
            <w:pPr>
              <w:pStyle w:val="BodyText"/>
              <w:rPr>
                <w:lang w:val="en-NZ"/>
              </w:rPr>
            </w:pPr>
            <w:r w:rsidRPr="00E9024C">
              <w:t>At least two of the following:</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24C" w:rsidP="00E9024C">
            <w:pPr>
              <w:pStyle w:val="BodyText"/>
            </w:pPr>
            <w:r w:rsidRPr="00E9024C">
              <w:t>Resin filled boxes</w:t>
            </w:r>
          </w:p>
          <w:p w:rsidR="00000000" w:rsidRPr="00E9024C" w:rsidP="00E9024C">
            <w:pPr>
              <w:pStyle w:val="BodyText"/>
            </w:pPr>
            <w:r w:rsidRPr="00E9024C">
              <w:t>Compound filled boxes</w:t>
            </w:r>
          </w:p>
          <w:p w:rsidR="00000000" w:rsidRPr="00E9024C" w:rsidP="00E9024C">
            <w:pPr>
              <w:pStyle w:val="BodyText"/>
            </w:pPr>
            <w:r w:rsidRPr="00E9024C">
              <w:t>Polymeric tape</w:t>
            </w:r>
          </w:p>
          <w:p w:rsidR="00000000" w:rsidRPr="00E9024C" w:rsidP="00E9024C">
            <w:pPr>
              <w:pStyle w:val="BodyText"/>
            </w:pPr>
            <w:r w:rsidRPr="00E9024C">
              <w:t>Heat shrink</w:t>
            </w:r>
          </w:p>
          <w:p w:rsidR="00000000" w:rsidRPr="00E9024C" w:rsidP="00E9024C">
            <w:pPr>
              <w:pStyle w:val="BodyText"/>
            </w:pPr>
            <w:r w:rsidRPr="00E9024C">
              <w:t>‘slip-on’ moulds</w:t>
            </w:r>
          </w:p>
          <w:p w:rsidR="00000000" w:rsidP="00E9024C">
            <w:pPr>
              <w:pStyle w:val="BodyText"/>
              <w:rPr>
                <w:lang w:val="en-NZ"/>
              </w:rPr>
            </w:pPr>
            <w:r w:rsidRPr="00E9024C">
              <w:t>Pre-stretched polymeric</w:t>
            </w:r>
          </w:p>
        </w:tc>
      </w:tr>
      <w:tr w:rsidTr="008C0D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24C">
            <w:pPr>
              <w:pStyle w:val="BodyText"/>
              <w:rPr>
                <w:lang w:val="en-NZ"/>
              </w:rPr>
            </w:pPr>
            <w:r w:rsidRPr="00E9024C">
              <w:t>F</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24C">
            <w:pPr>
              <w:pStyle w:val="BodyText"/>
              <w:rPr>
                <w:lang w:val="en-NZ"/>
              </w:rPr>
            </w:pPr>
            <w:r w:rsidRPr="00E9024C">
              <w:t>All of the following:</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24C" w:rsidP="00E9024C">
            <w:pPr>
              <w:pStyle w:val="BodyText"/>
            </w:pPr>
            <w:r w:rsidRPr="00E9024C">
              <w:t>Insulation resistance testers</w:t>
            </w:r>
          </w:p>
          <w:p w:rsidR="00000000" w:rsidP="00E9024C">
            <w:pPr>
              <w:pStyle w:val="BodyText"/>
              <w:rPr>
                <w:lang w:val="en-NZ"/>
              </w:rPr>
            </w:pPr>
            <w:r w:rsidRPr="00E9024C">
              <w:t>Voltage detectors</w:t>
            </w:r>
          </w:p>
        </w:tc>
      </w:tr>
      <w:tr w:rsidTr="008C0D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24C">
            <w:pPr>
              <w:pStyle w:val="BodyText"/>
              <w:rPr>
                <w:lang w:val="en-NZ"/>
              </w:rPr>
            </w:pPr>
            <w:r w:rsidRPr="00E9024C">
              <w:t>G</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24C">
            <w:pPr>
              <w:pStyle w:val="BodyText"/>
              <w:rPr>
                <w:lang w:val="en-NZ"/>
              </w:rPr>
            </w:pPr>
            <w:r w:rsidRPr="00E9024C">
              <w:t>All of the following;</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24C" w:rsidP="00E9024C">
            <w:pPr>
              <w:pStyle w:val="BodyText"/>
            </w:pPr>
            <w:r w:rsidRPr="00E9024C">
              <w:t>Cable identification devices</w:t>
            </w:r>
          </w:p>
          <w:p w:rsidR="00000000" w:rsidP="00E9024C">
            <w:pPr>
              <w:pStyle w:val="BodyText"/>
              <w:rPr>
                <w:lang w:val="en-NZ"/>
              </w:rPr>
            </w:pPr>
            <w:r w:rsidRPr="00E9024C">
              <w:t>Cable spiking devices</w:t>
            </w:r>
          </w:p>
        </w:tc>
      </w:tr>
      <w:tr w:rsidTr="008C0D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24C">
            <w:pPr>
              <w:pStyle w:val="BodyText"/>
              <w:rPr>
                <w:lang w:val="en-NZ"/>
              </w:rPr>
            </w:pPr>
            <w:r w:rsidRPr="00E9024C">
              <w:t>H</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24C">
            <w:pPr>
              <w:pStyle w:val="BodyText"/>
              <w:rPr>
                <w:lang w:val="en-NZ"/>
              </w:rPr>
            </w:pPr>
            <w:r w:rsidRPr="00E9024C">
              <w:t>At least two of the following:</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24C" w:rsidP="00E9024C">
            <w:pPr>
              <w:pStyle w:val="BodyText"/>
            </w:pPr>
            <w:r w:rsidRPr="00E9024C">
              <w:t>Mechanical connectors</w:t>
            </w:r>
          </w:p>
          <w:p w:rsidR="00000000" w:rsidRPr="00E9024C" w:rsidP="00E9024C">
            <w:pPr>
              <w:pStyle w:val="BodyText"/>
            </w:pPr>
            <w:r w:rsidRPr="00E9024C">
              <w:t>Compression connectors</w:t>
            </w:r>
          </w:p>
          <w:p w:rsidR="00000000" w:rsidP="00E9024C">
            <w:pPr>
              <w:pStyle w:val="BodyText"/>
              <w:rPr>
                <w:lang w:val="en-NZ"/>
              </w:rPr>
            </w:pPr>
            <w:r w:rsidRPr="00E9024C">
              <w:t>Lugs</w:t>
            </w:r>
          </w:p>
        </w:tc>
      </w:tr>
      <w:tr w:rsidTr="008C0D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24C">
            <w:pPr>
              <w:pStyle w:val="BodyText"/>
              <w:rPr>
                <w:lang w:val="en-NZ"/>
              </w:rPr>
            </w:pPr>
            <w:r w:rsidRPr="00E9024C">
              <w:t>I</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24C">
            <w:pPr>
              <w:pStyle w:val="BodyText"/>
              <w:rPr>
                <w:lang w:val="en-NZ"/>
              </w:rPr>
            </w:pPr>
            <w:r w:rsidRPr="00E9024C">
              <w:t xml:space="preserve">At least one </w:t>
            </w:r>
            <w:r w:rsidRPr="00E9024C">
              <w:t>occasion</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24C" w:rsidP="00E9024C">
            <w:pPr>
              <w:pStyle w:val="BodyText"/>
            </w:pPr>
            <w:r w:rsidRPr="00E9024C">
              <w:t xml:space="preserve">Dealing with an </w:t>
            </w:r>
            <w:r w:rsidRPr="00E9024C">
              <w:t>unplanned event by drawing on essential knowledge and associated skills to provide appropriate solutions incorporated in the holisti</w:t>
            </w:r>
            <w:r w:rsidRPr="00E9024C">
              <w:t>c assessment with the above listed items.</w:t>
            </w:r>
          </w:p>
        </w:tc>
      </w:tr>
    </w:tbl>
    <w:p w:rsidR="00000000" w:rsidRPr="00E9024C" w:rsidP="00E9024C">
      <w:pPr>
        <w:pStyle w:val="BodyText"/>
      </w:pPr>
    </w:p>
    <w:tbl>
      <w:tblPr>
        <w:tblW w:w="0" w:type="auto"/>
        <w:tblLayout w:type="fixed"/>
        <w:tblCellMar>
          <w:left w:w="62" w:type="dxa"/>
          <w:right w:w="62" w:type="dxa"/>
        </w:tblCellMar>
        <w:tblLook w:val="0000"/>
      </w:tblPr>
      <w:tblGrid>
        <w:gridCol w:w="1890"/>
        <w:gridCol w:w="6570"/>
      </w:tblGrid>
      <w:tr w:rsidTr="008C0D7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rPr>
                <w:rStyle w:val="SpecialBold"/>
              </w:rPr>
              <w:t>9.3)</w:t>
            </w:r>
          </w:p>
        </w:tc>
      </w:tr>
      <w:tr w:rsidTr="008C0D7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t>This unit should be assessed as it relates to normal work practice using procedures, information and resources typical of a workplace. This should include:</w:t>
            </w:r>
          </w:p>
          <w:p w:rsidR="00000000" w:rsidRPr="00E9024C" w:rsidP="00E9024C">
            <w:pPr>
              <w:pStyle w:val="ListBullet"/>
            </w:pPr>
            <w:r w:rsidRPr="00E9024C">
              <w:t>OHS policy and work procedures and instructions.</w:t>
            </w:r>
          </w:p>
          <w:p w:rsidR="00000000" w:rsidRPr="00E9024C" w:rsidP="00E9024C">
            <w:pPr>
              <w:pStyle w:val="ListBullet"/>
            </w:pPr>
            <w:r w:rsidRPr="00E9024C">
              <w:t xml:space="preserve">Suitable work environment, facilities, equipment and materials to undertake actual installation and maintenance of de-energised underground HV polymeric cables. </w:t>
            </w:r>
          </w:p>
          <w:p w:rsidR="00000000" w:rsidRPr="00E9024C" w:rsidP="00E9024C">
            <w:pPr>
              <w:pStyle w:val="BodyText"/>
            </w:pPr>
            <w:r w:rsidRPr="00E9024C">
              <w:t>In addition to the resources listed above, in</w:t>
            </w:r>
            <w:r w:rsidRPr="00E9024C">
              <w:t xml:space="preserve"> context of and specific resources for assessment, evidence should show demonstrated competency working below ground, in limited spaces, with different structural/construction types and method and in a variety of environments.</w:t>
            </w:r>
          </w:p>
        </w:tc>
      </w:tr>
    </w:tbl>
    <w:p w:rsidR="00000000" w:rsidRPr="00E9024C" w:rsidP="00E9024C">
      <w:pPr>
        <w:pStyle w:val="BodyText"/>
      </w:pPr>
    </w:p>
    <w:tbl>
      <w:tblPr>
        <w:tblW w:w="0" w:type="auto"/>
        <w:tblLayout w:type="fixed"/>
        <w:tblCellMar>
          <w:left w:w="62" w:type="dxa"/>
          <w:right w:w="62" w:type="dxa"/>
        </w:tblCellMar>
        <w:tblLook w:val="0000"/>
      </w:tblPr>
      <w:tblGrid>
        <w:gridCol w:w="1890"/>
        <w:gridCol w:w="6570"/>
      </w:tblGrid>
      <w:tr w:rsidTr="008C0D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rPr>
                <w:rStyle w:val="SpecialBold"/>
              </w:rPr>
              <w:t>9.4)</w:t>
            </w:r>
          </w:p>
        </w:tc>
      </w:tr>
      <w:tr w:rsidTr="008C0D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t>This Competency Standard Unit shall be assessed by methods given in Volume 1, Part 3 “Assessment Guidelines”.</w:t>
            </w:r>
          </w:p>
          <w:p w:rsidR="00000000" w:rsidRPr="00E9024C" w:rsidP="00E9024C">
            <w:pPr>
              <w:pStyle w:val="BodyText"/>
            </w:pPr>
            <w:r w:rsidRPr="00E9024C">
              <w:t>Note:</w:t>
            </w:r>
          </w:p>
          <w:p w:rsidR="00000000" w:rsidRPr="00E9024C" w:rsidP="00E9024C">
            <w:pPr>
              <w:pStyle w:val="BodyText"/>
            </w:pPr>
            <w:r w:rsidRPr="00E9024C">
              <w:t>Competent performance with inherent safe working practices is expected in the Industry to which this Competency Standard Unit applies. This</w:t>
            </w:r>
            <w:r w:rsidRPr="00E9024C">
              <w:t xml:space="preserve"> requires that the specified essential knowledge and associated skills are assessed in a structured environment which is primarily intended for learning/assessment and incorporates all necessary equipment and facilities for learners to develop and demonstr</w:t>
            </w:r>
            <w:r w:rsidRPr="00E9024C">
              <w:t>ate the essential knowledge and associated skills described in this unit.</w:t>
            </w:r>
          </w:p>
        </w:tc>
      </w:tr>
    </w:tbl>
    <w:p w:rsidR="00000000" w:rsidRPr="00E9024C" w:rsidP="00E9024C">
      <w:pPr>
        <w:pStyle w:val="BodyText"/>
      </w:pPr>
    </w:p>
    <w:tbl>
      <w:tblPr>
        <w:tblW w:w="0" w:type="auto"/>
        <w:tblLayout w:type="fixed"/>
        <w:tblCellMar>
          <w:left w:w="62" w:type="dxa"/>
          <w:right w:w="62" w:type="dxa"/>
        </w:tblCellMar>
        <w:tblLook w:val="0000"/>
      </w:tblPr>
      <w:tblGrid>
        <w:gridCol w:w="1890"/>
        <w:gridCol w:w="1530"/>
        <w:gridCol w:w="5040"/>
      </w:tblGrid>
      <w:tr w:rsidTr="008C0D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rPr>
                <w:rStyle w:val="SpecialBold"/>
              </w:rPr>
              <w:t>9.5)</w:t>
            </w:r>
          </w:p>
        </w:tc>
      </w:tr>
      <w:tr w:rsidTr="008C0D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 xml:space="preserve">For optimisation of training and assessment effort, competence in this unit may be assessed concurrently with the following units: </w:t>
            </w:r>
          </w:p>
        </w:tc>
      </w:tr>
      <w:tr w:rsidTr="008C0D79">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t>UETTDRCJ26A</w:t>
            </w:r>
          </w:p>
        </w:tc>
        <w:tc>
          <w:tcPr>
            <w:tcW w:w="5040"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t>Install and maintain de-energised low voltage underground polymeric cables</w:t>
            </w:r>
          </w:p>
        </w:tc>
      </w:tr>
    </w:tbl>
    <w:p w:rsidR="00000000" w:rsidRPr="00E9024C" w:rsidP="00E9024C">
      <w:pPr>
        <w:pStyle w:val="BodyText"/>
      </w:pPr>
    </w:p>
    <w:p w:rsidR="00000000" w:rsidRPr="00E9024C" w:rsidP="00E9024C">
      <w:pPr>
        <w:pStyle w:val="AllowPageBreak"/>
      </w:pPr>
    </w:p>
    <w:p w:rsidR="00000000" w:rsidRPr="00E9024C" w:rsidP="00E9024C">
      <w:pPr>
        <w:pStyle w:val="Heading1"/>
      </w:pPr>
      <w:bookmarkStart w:id="11" w:name="O_461753"/>
      <w:bookmarkEnd w:id="11"/>
      <w:r w:rsidRPr="00E9024C">
        <w:t>Range Statement</w:t>
      </w:r>
    </w:p>
    <w:tbl>
      <w:tblPr>
        <w:tblW w:w="0" w:type="auto"/>
        <w:tblLayout w:type="fixed"/>
        <w:tblCellMar>
          <w:left w:w="62" w:type="dxa"/>
          <w:right w:w="62" w:type="dxa"/>
        </w:tblCellMar>
        <w:tblLook w:val="0000"/>
      </w:tblPr>
      <w:tblGrid>
        <w:gridCol w:w="8460"/>
      </w:tblGrid>
      <w:tr w:rsidTr="008C0D7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rPr>
                <w:rStyle w:val="SpecialBold"/>
              </w:rPr>
              <w:t>RANGE STATEMENT</w:t>
            </w:r>
          </w:p>
        </w:tc>
      </w:tr>
      <w:tr w:rsidTr="008C0D7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rPr>
                <w:rStyle w:val="SpecialBold"/>
              </w:rPr>
              <w:t>10)</w:t>
            </w:r>
            <w:r w:rsidRPr="00E9024C">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E9024C" w:rsidP="00E9024C">
            <w:pPr>
              <w:pStyle w:val="BodyText"/>
            </w:pPr>
            <w:r w:rsidRPr="00E9024C">
              <w:t>This Competency Standard Unit shall be demonstrated in relation to the installation and maintenance of de-energised high voltage underground polymeric cables and covers the jointing, terminating, repair and replacement of cables used in systems and circuit</w:t>
            </w:r>
            <w:r w:rsidRPr="00E9024C">
              <w:t>s and the issuing/accepting of relevant permits.</w:t>
            </w:r>
          </w:p>
          <w:p w:rsidR="00000000" w:rsidRPr="00E9024C" w:rsidP="00E9024C">
            <w:pPr>
              <w:pStyle w:val="BodyText"/>
            </w:pPr>
            <w:r w:rsidRPr="00E9024C">
              <w:t>Underground equipment may include links, fuses, ring main units, distribution fuse boxes, pad mount and ground transformers, chamber substations and busbar/termination boxes.</w:t>
            </w:r>
          </w:p>
          <w:p w:rsidR="00000000" w:rsidRPr="00E9024C" w:rsidP="00E9024C">
            <w:pPr>
              <w:pStyle w:val="BodyText"/>
            </w:pPr>
            <w:r w:rsidRPr="00E9024C">
              <w:t>Test and recording equipment inc</w:t>
            </w:r>
            <w:r w:rsidRPr="00E9024C">
              <w:t>ludes voltage detectors, cable identification equipment, cable spiking equipment and insulation resistance testers.</w:t>
            </w:r>
          </w:p>
          <w:p w:rsidR="00000000" w:rsidRPr="00E9024C" w:rsidP="00E9024C">
            <w:pPr>
              <w:pStyle w:val="BodyText"/>
            </w:pPr>
            <w:r w:rsidRPr="00E9024C">
              <w:t>Jointing and terminating materials include compound and resin filled boxes, polymeric tape materials, polymeric heat shrink materials, "slip</w:t>
            </w:r>
            <w:r w:rsidRPr="00E9024C">
              <w:t>-on" moulded components and pre-stretched polymeric materials, compression and mechanical connectors</w:t>
            </w:r>
          </w:p>
          <w:p w:rsidR="00000000" w:rsidRPr="00E9024C" w:rsidP="00E9024C">
            <w:pPr>
              <w:pStyle w:val="BodyText"/>
            </w:pPr>
            <w:r w:rsidRPr="00E9024C">
              <w:t>Jointing and terminating locations include circuit breakers, links, fuses, ring main units, distribution fuse boxes, pad mount and ground transformers, cha</w:t>
            </w:r>
            <w:r w:rsidRPr="00E9024C">
              <w:t>mber substations and busbar/termination boxes.</w:t>
            </w:r>
          </w:p>
          <w:p w:rsidR="00000000" w:rsidRPr="00E9024C" w:rsidP="00E9024C">
            <w:pPr>
              <w:pStyle w:val="BodyText"/>
            </w:pPr>
            <w:r w:rsidRPr="00E9024C">
              <w:t xml:space="preserve">The following constants and variables included in the element/performance criteria in this unit are fully described in the Definitions Section 1 of this volume and form an integral part of the Range Statement </w:t>
            </w:r>
            <w:r w:rsidRPr="00E9024C">
              <w:t>of this unit:</w:t>
            </w:r>
          </w:p>
          <w:p w:rsidR="00000000" w:rsidRPr="00E9024C" w:rsidP="00E9024C">
            <w:pPr>
              <w:pStyle w:val="ListBullet3"/>
            </w:pPr>
            <w:r w:rsidRPr="00E9024C">
              <w:t>Appropriate and relevant persons (see Personnel)</w:t>
            </w:r>
          </w:p>
          <w:p w:rsidR="00000000" w:rsidRPr="00E9024C" w:rsidP="00E9024C">
            <w:pPr>
              <w:pStyle w:val="ListBullet3"/>
            </w:pPr>
            <w:r w:rsidRPr="00E9024C">
              <w:t xml:space="preserve">Appropriate authorities </w:t>
            </w:r>
          </w:p>
          <w:p w:rsidR="00000000" w:rsidRPr="00E9024C" w:rsidP="00E9024C">
            <w:pPr>
              <w:pStyle w:val="ListBullet3"/>
            </w:pPr>
            <w:r w:rsidRPr="00E9024C">
              <w:t>Appropriate work platform</w:t>
            </w:r>
          </w:p>
          <w:p w:rsidR="00000000" w:rsidRPr="00E9024C" w:rsidP="00E9024C">
            <w:pPr>
              <w:pStyle w:val="ListBullet3"/>
            </w:pPr>
            <w:r w:rsidRPr="00E9024C">
              <w:t>Assessing risk</w:t>
            </w:r>
          </w:p>
          <w:p w:rsidR="00000000" w:rsidRPr="00E9024C" w:rsidP="00E9024C">
            <w:pPr>
              <w:pStyle w:val="ListBullet3"/>
            </w:pPr>
            <w:r w:rsidRPr="00E9024C">
              <w:t>Assessment</w:t>
            </w:r>
          </w:p>
          <w:p w:rsidR="00000000" w:rsidRPr="00E9024C" w:rsidP="00E9024C">
            <w:pPr>
              <w:pStyle w:val="ListBullet3"/>
            </w:pPr>
            <w:r w:rsidRPr="00E9024C">
              <w:t xml:space="preserve">Authorisation </w:t>
            </w:r>
          </w:p>
          <w:p w:rsidR="00000000" w:rsidRPr="00E9024C" w:rsidP="00E9024C">
            <w:pPr>
              <w:pStyle w:val="ListBullet3"/>
            </w:pPr>
            <w:r w:rsidRPr="00E9024C">
              <w:t>Confined space</w:t>
            </w:r>
          </w:p>
          <w:p w:rsidR="00000000" w:rsidRPr="00E9024C" w:rsidP="00E9024C">
            <w:pPr>
              <w:pStyle w:val="ListBullet3"/>
            </w:pPr>
            <w:r w:rsidRPr="00E9024C">
              <w:t>Diagnostic, testing and restoration</w:t>
            </w:r>
          </w:p>
          <w:p w:rsidR="00000000" w:rsidRPr="00E9024C" w:rsidP="00E9024C">
            <w:pPr>
              <w:pStyle w:val="ListBullet3"/>
            </w:pPr>
            <w:r w:rsidRPr="00E9024C">
              <w:t>Documenting detail work events, record keeping and or storage of information</w:t>
            </w:r>
          </w:p>
          <w:p w:rsidR="00000000" w:rsidRPr="00E9024C" w:rsidP="00E9024C">
            <w:pPr>
              <w:pStyle w:val="ListBullet3"/>
            </w:pPr>
            <w:r w:rsidRPr="00E9024C">
              <w:t xml:space="preserve">Drawings and specifications </w:t>
            </w:r>
          </w:p>
          <w:p w:rsidR="00000000" w:rsidRPr="00E9024C" w:rsidP="00E9024C">
            <w:pPr>
              <w:pStyle w:val="ListBullet3"/>
            </w:pPr>
            <w:r w:rsidRPr="00E9024C">
              <w:t>Emergency</w:t>
            </w:r>
          </w:p>
          <w:p w:rsidR="00000000" w:rsidRPr="00E9024C" w:rsidP="00E9024C">
            <w:pPr>
              <w:pStyle w:val="ListBullet3"/>
            </w:pPr>
            <w:r w:rsidRPr="00E9024C">
              <w:t>Environmental and sustainable energy procedures</w:t>
            </w:r>
          </w:p>
          <w:p w:rsidR="00000000" w:rsidRPr="00E9024C" w:rsidP="00E9024C">
            <w:pPr>
              <w:pStyle w:val="ListBullet3"/>
            </w:pPr>
            <w:r w:rsidRPr="00E9024C">
              <w:t>Environmental legislation</w:t>
            </w:r>
          </w:p>
          <w:p w:rsidR="00000000" w:rsidRPr="00E9024C" w:rsidP="00E9024C">
            <w:pPr>
              <w:pStyle w:val="ListBullet3"/>
            </w:pPr>
            <w:r w:rsidRPr="00E9024C">
              <w:t>Environmental management documentation</w:t>
            </w:r>
          </w:p>
          <w:p w:rsidR="00000000" w:rsidRPr="00E9024C" w:rsidP="00E9024C">
            <w:pPr>
              <w:pStyle w:val="ListBullet3"/>
            </w:pPr>
            <w:r w:rsidRPr="00E9024C">
              <w:t>Established procedures</w:t>
            </w:r>
          </w:p>
          <w:p w:rsidR="00000000" w:rsidRPr="00E9024C" w:rsidP="00E9024C">
            <w:pPr>
              <w:pStyle w:val="ListBullet3"/>
            </w:pPr>
            <w:r w:rsidRPr="00E9024C">
              <w:t>Fall</w:t>
            </w:r>
            <w:r w:rsidRPr="00E9024C">
              <w:t xml:space="preserve"> prevention</w:t>
            </w:r>
          </w:p>
          <w:p w:rsidR="00000000" w:rsidRPr="00E9024C" w:rsidP="00E9024C">
            <w:pPr>
              <w:pStyle w:val="ListBullet3"/>
            </w:pPr>
            <w:r w:rsidRPr="00E9024C">
              <w:t>Hazards</w:t>
            </w:r>
          </w:p>
          <w:p w:rsidR="00000000" w:rsidRPr="00E9024C" w:rsidP="00E9024C">
            <w:pPr>
              <w:pStyle w:val="ListBullet3"/>
            </w:pPr>
            <w:r w:rsidRPr="00E9024C">
              <w:t>Identifying hazards</w:t>
            </w:r>
          </w:p>
          <w:p w:rsidR="00000000" w:rsidRPr="00E9024C" w:rsidP="00E9024C">
            <w:pPr>
              <w:pStyle w:val="ListBullet3"/>
            </w:pPr>
            <w:r w:rsidRPr="00E9024C">
              <w:t>Inspect</w:t>
            </w:r>
          </w:p>
          <w:p w:rsidR="00000000" w:rsidRPr="00E9024C" w:rsidP="00E9024C">
            <w:pPr>
              <w:pStyle w:val="ListBullet3"/>
            </w:pPr>
            <w:r w:rsidRPr="00E9024C">
              <w:t>Legislation</w:t>
            </w:r>
          </w:p>
          <w:p w:rsidR="00000000" w:rsidRPr="00E9024C" w:rsidP="00E9024C">
            <w:pPr>
              <w:pStyle w:val="ListBullet3"/>
            </w:pPr>
            <w:r w:rsidRPr="00E9024C">
              <w:t>MSDS</w:t>
            </w:r>
          </w:p>
          <w:p w:rsidR="00000000" w:rsidRPr="00E9024C" w:rsidP="00E9024C">
            <w:pPr>
              <w:pStyle w:val="ListBullet3"/>
            </w:pPr>
            <w:r w:rsidRPr="00E9024C">
              <w:t>Notification.</w:t>
            </w:r>
          </w:p>
          <w:p w:rsidR="00000000" w:rsidRPr="00E9024C" w:rsidP="00E9024C">
            <w:pPr>
              <w:pStyle w:val="ListBullet3"/>
            </w:pPr>
            <w:r w:rsidRPr="00E9024C">
              <w:t>OHS practices</w:t>
            </w:r>
          </w:p>
          <w:p w:rsidR="00000000" w:rsidRPr="00E9024C" w:rsidP="00E9024C">
            <w:pPr>
              <w:pStyle w:val="ListBullet3"/>
            </w:pPr>
            <w:r w:rsidRPr="00E9024C">
              <w:t>OHS issues</w:t>
            </w:r>
          </w:p>
          <w:p w:rsidR="00000000" w:rsidRPr="00E9024C" w:rsidP="00E9024C">
            <w:pPr>
              <w:pStyle w:val="ListBullet3"/>
            </w:pPr>
            <w:r w:rsidRPr="00E9024C">
              <w:t>Permits and/or permits to work</w:t>
            </w:r>
          </w:p>
          <w:p w:rsidR="00000000" w:rsidRPr="00E9024C" w:rsidP="00E9024C">
            <w:pPr>
              <w:pStyle w:val="ListBullet3"/>
            </w:pPr>
            <w:r w:rsidRPr="00E9024C">
              <w:t>Personnel</w:t>
            </w:r>
          </w:p>
          <w:p w:rsidR="00000000" w:rsidRPr="00E9024C" w:rsidP="00E9024C">
            <w:pPr>
              <w:pStyle w:val="ListBullet3"/>
            </w:pPr>
            <w:r w:rsidRPr="00E9024C">
              <w:t>Quality assurance systems</w:t>
            </w:r>
          </w:p>
          <w:p w:rsidR="00000000" w:rsidRPr="00E9024C" w:rsidP="00E9024C">
            <w:pPr>
              <w:pStyle w:val="ListBullet3"/>
            </w:pPr>
            <w:r w:rsidRPr="00E9024C">
              <w:t>Requirements.</w:t>
            </w:r>
          </w:p>
          <w:p w:rsidR="00000000" w:rsidRPr="00E9024C" w:rsidP="00E9024C">
            <w:pPr>
              <w:pStyle w:val="ListBullet3"/>
            </w:pPr>
            <w:r w:rsidRPr="00E9024C">
              <w:t>Testing procedures</w:t>
            </w:r>
          </w:p>
          <w:p w:rsidR="00000000" w:rsidRPr="00E9024C" w:rsidP="00E9024C">
            <w:pPr>
              <w:pStyle w:val="ListBullet3"/>
            </w:pPr>
            <w:r w:rsidRPr="00E9024C">
              <w:t>Work clearance systems</w:t>
            </w:r>
          </w:p>
        </w:tc>
      </w:tr>
    </w:tbl>
    <w:p w:rsidR="00000000" w:rsidRPr="00E9024C" w:rsidP="00E9024C">
      <w:pPr>
        <w:pStyle w:val="BodyText"/>
      </w:pPr>
    </w:p>
    <w:p w:rsidR="00000000" w:rsidRPr="00E9024C" w:rsidP="00E9024C">
      <w:pPr>
        <w:pStyle w:val="AllowPageBreak"/>
      </w:pPr>
    </w:p>
    <w:p w:rsidR="00000000" w:rsidRPr="00E9024C" w:rsidP="00E9024C">
      <w:pPr>
        <w:pStyle w:val="Heading1"/>
      </w:pPr>
      <w:bookmarkStart w:id="12" w:name="O_461756"/>
      <w:bookmarkEnd w:id="12"/>
      <w:r w:rsidRPr="00E9024C">
        <w:t>Unit Sector(s)</w:t>
      </w:r>
    </w:p>
    <w:p w:rsidR="00000000" w:rsidRPr="00E9024C" w:rsidP="00E9024C">
      <w:pPr>
        <w:pStyle w:val="BodyText"/>
      </w:pPr>
      <w:r w:rsidRPr="00E9024C">
        <w:t>Not applicable.</w:t>
      </w:r>
    </w:p>
    <w:p w:rsidR="00000000" w:rsidRPr="00E9024C" w:rsidP="00E9024C">
      <w:pPr>
        <w:pStyle w:val="AllowPageBreak"/>
      </w:pPr>
    </w:p>
    <w:p w:rsidR="00000000" w:rsidRPr="00E9024C" w:rsidP="00E9024C">
      <w:pPr>
        <w:pStyle w:val="Heading1"/>
      </w:pPr>
      <w:bookmarkStart w:id="13" w:name="O_461745"/>
      <w:bookmarkEnd w:id="13"/>
      <w:r w:rsidRPr="00E9024C">
        <w:t>Competency Field</w:t>
      </w:r>
    </w:p>
    <w:tbl>
      <w:tblPr>
        <w:tblW w:w="0" w:type="auto"/>
        <w:tblLayout w:type="fixed"/>
        <w:tblCellMar>
          <w:left w:w="62" w:type="dxa"/>
          <w:right w:w="62" w:type="dxa"/>
        </w:tblCellMar>
        <w:tblLook w:val="0000"/>
      </w:tblPr>
      <w:tblGrid>
        <w:gridCol w:w="2700"/>
        <w:gridCol w:w="5760"/>
      </w:tblGrid>
      <w:tr w:rsidTr="008C0D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9024C">
            <w:pPr>
              <w:pStyle w:val="BodyText"/>
              <w:rPr>
                <w:lang w:val="en-NZ"/>
              </w:rPr>
            </w:pPr>
            <w:r w:rsidRPr="00E9024C">
              <w:rPr>
                <w:rStyle w:val="SpecialBold"/>
              </w:rPr>
              <w:t xml:space="preserve">11) </w:t>
            </w:r>
          </w:p>
        </w:tc>
      </w:tr>
      <w:tr w:rsidTr="008C0D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9024C" w:rsidP="00E9024C">
            <w:pPr>
              <w:pStyle w:val="BodyText"/>
            </w:pPr>
            <w:r w:rsidRPr="00E9024C">
              <w:t>Cable Jointing</w:t>
            </w:r>
          </w:p>
        </w:tc>
      </w:tr>
    </w:tbl>
    <w:p w:rsidR="00000000" w:rsidRPr="00E9024C" w:rsidP="00E9024C">
      <w:pPr>
        <w:pStyle w:val="BodyText"/>
      </w:pPr>
    </w:p>
    <w:p w:rsidR="00000000" w:rsidRPr="00E9024C" w:rsidP="00E9024C"/>
    <w:sectPr w:rsidSect="00E902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2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0D79" w:rsidP="008C0D7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2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79" w:rsidP="00E9024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8C0D79" w:rsidP="00E902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C0D79" w:rsidP="00E902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2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24C" w:rsidRPr="008C0D79" w:rsidP="008C0D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2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79" w:rsidRPr="002D2AF8" w:rsidP="00E9024C">
    <w:pPr>
      <w:pStyle w:val="Header"/>
      <w:framePr w:wrap="around"/>
    </w:pPr>
    <w:r>
      <w:fldChar w:fldCharType="begin"/>
    </w:r>
    <w:r>
      <w:instrText xml:space="preserve"> TITLE   \* MERGEFORMAT </w:instrText>
    </w:r>
    <w:r>
      <w:fldChar w:fldCharType="separate"/>
    </w:r>
    <w:r>
      <w:t>UETTDRCJ27A Install and maintain de-energised high voltage underground polymeric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C0D79" w:rsidP="00E902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DC1F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0A79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9E6F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2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024C"/>
    <w:pPr>
      <w:spacing w:before="360" w:after="60"/>
      <w:outlineLvl w:val="0"/>
    </w:pPr>
    <w:rPr>
      <w:sz w:val="32"/>
    </w:rPr>
  </w:style>
  <w:style w:type="paragraph" w:styleId="Heading2">
    <w:name w:val="heading 2"/>
    <w:basedOn w:val="HeadingBase"/>
    <w:next w:val="BodyText"/>
    <w:link w:val="Heading2Char"/>
    <w:qFormat/>
    <w:rsid w:val="00E9024C"/>
    <w:pPr>
      <w:keepLines/>
      <w:spacing w:before="240" w:after="120"/>
      <w:outlineLvl w:val="1"/>
    </w:pPr>
    <w:rPr>
      <w:sz w:val="28"/>
      <w:szCs w:val="40"/>
    </w:rPr>
  </w:style>
  <w:style w:type="paragraph" w:styleId="Heading3">
    <w:name w:val="heading 3"/>
    <w:basedOn w:val="HeadingBase"/>
    <w:next w:val="BodyText"/>
    <w:link w:val="Heading3Char"/>
    <w:qFormat/>
    <w:rsid w:val="00E9024C"/>
    <w:pPr>
      <w:spacing w:before="180" w:after="120"/>
      <w:outlineLvl w:val="2"/>
    </w:pPr>
    <w:rPr>
      <w:spacing w:val="-10"/>
      <w:kern w:val="32"/>
    </w:rPr>
  </w:style>
  <w:style w:type="paragraph" w:styleId="Heading4">
    <w:name w:val="heading 4"/>
    <w:basedOn w:val="HeadingBase"/>
    <w:next w:val="BodyText"/>
    <w:link w:val="Heading4Char"/>
    <w:qFormat/>
    <w:rsid w:val="00E9024C"/>
    <w:pPr>
      <w:spacing w:before="160" w:after="120"/>
      <w:outlineLvl w:val="3"/>
    </w:pPr>
    <w:rPr>
      <w:sz w:val="22"/>
    </w:rPr>
  </w:style>
  <w:style w:type="paragraph" w:styleId="Heading5">
    <w:name w:val="heading 5"/>
    <w:basedOn w:val="HeadingBase"/>
    <w:next w:val="Normal"/>
    <w:link w:val="Heading5Char"/>
    <w:qFormat/>
    <w:rsid w:val="00E9024C"/>
    <w:pPr>
      <w:spacing w:before="80"/>
      <w:outlineLvl w:val="4"/>
    </w:pPr>
    <w:rPr>
      <w:color w:val="918585"/>
      <w:sz w:val="20"/>
    </w:rPr>
  </w:style>
  <w:style w:type="paragraph" w:styleId="Heading6">
    <w:name w:val="heading 6"/>
    <w:basedOn w:val="HeadingBase"/>
    <w:next w:val="Normal"/>
    <w:link w:val="Heading6Char"/>
    <w:qFormat/>
    <w:rsid w:val="00E9024C"/>
    <w:pPr>
      <w:spacing w:before="60"/>
      <w:outlineLvl w:val="5"/>
    </w:pPr>
    <w:rPr>
      <w:color w:val="918585"/>
      <w:sz w:val="20"/>
    </w:rPr>
  </w:style>
  <w:style w:type="paragraph" w:styleId="Heading7">
    <w:name w:val="heading 7"/>
    <w:basedOn w:val="Normal"/>
    <w:next w:val="Normal"/>
    <w:link w:val="Heading7Char"/>
    <w:qFormat/>
    <w:rsid w:val="00E9024C"/>
    <w:pPr>
      <w:ind w:left="720"/>
      <w:outlineLvl w:val="6"/>
    </w:pPr>
    <w:rPr>
      <w:i/>
    </w:rPr>
  </w:style>
  <w:style w:type="paragraph" w:styleId="Heading8">
    <w:name w:val="heading 8"/>
    <w:basedOn w:val="Normal"/>
    <w:next w:val="Normal"/>
    <w:link w:val="Heading8Char"/>
    <w:qFormat/>
    <w:rsid w:val="00E9024C"/>
    <w:pPr>
      <w:ind w:left="720"/>
      <w:outlineLvl w:val="7"/>
    </w:pPr>
    <w:rPr>
      <w:i/>
    </w:rPr>
  </w:style>
  <w:style w:type="paragraph" w:styleId="Heading9">
    <w:name w:val="heading 9"/>
    <w:basedOn w:val="Normal"/>
    <w:next w:val="Normal"/>
    <w:link w:val="Heading9Char"/>
    <w:qFormat/>
    <w:rsid w:val="00E9024C"/>
    <w:pPr>
      <w:ind w:left="720"/>
      <w:outlineLvl w:val="8"/>
    </w:pPr>
    <w:rPr>
      <w:i/>
    </w:rPr>
  </w:style>
  <w:style w:type="character" w:default="1" w:styleId="DefaultParagraphFont">
    <w:name w:val="Default Paragraph Font"/>
    <w:uiPriority w:val="1"/>
    <w:unhideWhenUsed/>
    <w:rsid w:val="00E902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024C"/>
  </w:style>
  <w:style w:type="character" w:customStyle="1" w:styleId="Heading1Char">
    <w:name w:val="Heading 1 Char"/>
    <w:basedOn w:val="DefaultParagraphFont"/>
    <w:link w:val="Heading1"/>
    <w:rsid w:val="00E9024C"/>
    <w:rPr>
      <w:rFonts w:ascii="Times New Roman" w:eastAsia="Times New Roman" w:hAnsi="Times New Roman" w:cs="Times New Roman"/>
      <w:b/>
      <w:sz w:val="32"/>
      <w:szCs w:val="20"/>
      <w:lang w:eastAsia="en-US"/>
    </w:rPr>
  </w:style>
  <w:style w:type="paragraph" w:styleId="BodyText">
    <w:name w:val="Body Text"/>
    <w:basedOn w:val="Normal"/>
    <w:link w:val="BodyTextChar"/>
    <w:rsid w:val="00E902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024C"/>
    <w:rPr>
      <w:rFonts w:ascii="Times New Roman" w:eastAsia="Times New Roman" w:hAnsi="Times New Roman" w:cs="Times New Roman"/>
      <w:sz w:val="24"/>
      <w:lang w:eastAsia="en-US"/>
    </w:rPr>
  </w:style>
  <w:style w:type="paragraph" w:styleId="Footer">
    <w:name w:val="footer"/>
    <w:basedOn w:val="Normal"/>
    <w:link w:val="FooterChar"/>
    <w:rsid w:val="00E902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024C"/>
    <w:rPr>
      <w:rFonts w:ascii="Times New Roman" w:eastAsia="Times New Roman" w:hAnsi="Times New Roman" w:cs="Times New Roman"/>
      <w:sz w:val="16"/>
      <w:lang w:eastAsia="en-US"/>
    </w:rPr>
  </w:style>
  <w:style w:type="paragraph" w:styleId="ListBullet">
    <w:name w:val="List Bullet"/>
    <w:basedOn w:val="List"/>
    <w:rsid w:val="00E9024C"/>
    <w:pPr>
      <w:numPr>
        <w:numId w:val="14"/>
      </w:numPr>
      <w:tabs>
        <w:tab w:val="clear" w:pos="340"/>
      </w:tabs>
      <w:spacing w:before="40" w:after="40"/>
    </w:pPr>
  </w:style>
  <w:style w:type="character" w:customStyle="1" w:styleId="SpecialBold">
    <w:name w:val="Special Bold"/>
    <w:basedOn w:val="DefaultParagraphFont"/>
    <w:rsid w:val="00E9024C"/>
    <w:rPr>
      <w:b/>
      <w:spacing w:val="0"/>
    </w:rPr>
  </w:style>
  <w:style w:type="paragraph" w:styleId="ListBullet2">
    <w:name w:val="List Bullet 2"/>
    <w:basedOn w:val="List2"/>
    <w:rsid w:val="00E9024C"/>
    <w:pPr>
      <w:numPr>
        <w:numId w:val="15"/>
      </w:numPr>
      <w:tabs>
        <w:tab w:val="clear" w:pos="680"/>
      </w:tabs>
    </w:pPr>
  </w:style>
  <w:style w:type="paragraph" w:customStyle="1" w:styleId="SuperHeading">
    <w:name w:val="SuperHeading"/>
    <w:basedOn w:val="Normal"/>
    <w:rsid w:val="00E9024C"/>
    <w:pPr>
      <w:spacing w:before="240" w:after="120"/>
      <w:outlineLvl w:val="0"/>
    </w:pPr>
    <w:rPr>
      <w:rFonts w:ascii="Times New Roman" w:hAnsi="Times New Roman"/>
      <w:b/>
      <w:sz w:val="28"/>
    </w:rPr>
  </w:style>
  <w:style w:type="paragraph" w:customStyle="1" w:styleId="AllowPageBreak">
    <w:name w:val="AllowPageBreak"/>
    <w:rsid w:val="00E9024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9024C"/>
    <w:pPr>
      <w:numPr>
        <w:numId w:val="3"/>
      </w:numPr>
      <w:tabs>
        <w:tab w:val="clear" w:pos="1021"/>
      </w:tabs>
      <w:ind w:left="1037" w:hanging="357"/>
    </w:pPr>
  </w:style>
  <w:style w:type="character" w:customStyle="1" w:styleId="Heading2Char">
    <w:name w:val="Heading 2 Char"/>
    <w:basedOn w:val="DefaultParagraphFont"/>
    <w:link w:val="Heading2"/>
    <w:rsid w:val="00E902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02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02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02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02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02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02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024C"/>
    <w:rPr>
      <w:rFonts w:ascii="Courier New" w:eastAsia="Times New Roman" w:hAnsi="Courier New" w:cs="Times New Roman"/>
      <w:i/>
      <w:szCs w:val="20"/>
      <w:lang w:eastAsia="en-US"/>
    </w:rPr>
  </w:style>
  <w:style w:type="paragraph" w:customStyle="1" w:styleId="HeadingBase">
    <w:name w:val="Heading Base"/>
    <w:rsid w:val="00E902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024C"/>
    <w:pPr>
      <w:tabs>
        <w:tab w:val="right" w:leader="dot" w:pos="9072"/>
      </w:tabs>
      <w:ind w:left="567"/>
    </w:pPr>
    <w:rPr>
      <w:szCs w:val="22"/>
    </w:rPr>
  </w:style>
  <w:style w:type="paragraph" w:customStyle="1" w:styleId="TOCBase">
    <w:name w:val="TOC Base"/>
    <w:rsid w:val="00E902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024C"/>
    <w:pPr>
      <w:tabs>
        <w:tab w:val="right" w:leader="dot" w:pos="9072"/>
      </w:tabs>
      <w:spacing w:before="40" w:after="40"/>
      <w:ind w:left="284"/>
    </w:pPr>
    <w:rPr>
      <w:rFonts w:ascii="Times New Roman" w:hAnsi="Times New Roman"/>
    </w:rPr>
  </w:style>
  <w:style w:type="paragraph" w:styleId="TOC1">
    <w:name w:val="toc 1"/>
    <w:basedOn w:val="TOCBase"/>
    <w:next w:val="Normal"/>
    <w:rsid w:val="00E902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024C"/>
    <w:pPr>
      <w:spacing w:before="5040"/>
      <w:jc w:val="center"/>
    </w:pPr>
    <w:rPr>
      <w:sz w:val="48"/>
      <w:szCs w:val="72"/>
      <w:lang w:val="en-US"/>
    </w:rPr>
  </w:style>
  <w:style w:type="character" w:customStyle="1" w:styleId="TitleChar">
    <w:name w:val="Title Char"/>
    <w:basedOn w:val="DefaultParagraphFont"/>
    <w:link w:val="Title"/>
    <w:rsid w:val="00E902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024C"/>
    <w:pPr>
      <w:tabs>
        <w:tab w:val="left" w:pos="3600"/>
        <w:tab w:val="left" w:pos="3958"/>
      </w:tabs>
    </w:pPr>
  </w:style>
  <w:style w:type="paragraph" w:styleId="List">
    <w:name w:val="List"/>
    <w:basedOn w:val="BodyText"/>
    <w:next w:val="BodyText"/>
    <w:rsid w:val="00E9024C"/>
    <w:pPr>
      <w:tabs>
        <w:tab w:val="left" w:pos="340"/>
      </w:tabs>
      <w:spacing w:before="60" w:after="60"/>
      <w:ind w:left="340" w:hanging="340"/>
    </w:pPr>
  </w:style>
  <w:style w:type="paragraph" w:customStyle="1" w:styleId="Note">
    <w:name w:val="Note"/>
    <w:basedOn w:val="BodyText"/>
    <w:rsid w:val="00E902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024C"/>
    <w:pPr>
      <w:framePr w:wrap="auto" w:hAnchor="text" w:y="6049"/>
    </w:pPr>
    <w:rPr>
      <w:color w:val="000000"/>
      <w:sz w:val="40"/>
    </w:rPr>
  </w:style>
  <w:style w:type="paragraph" w:customStyle="1" w:styleId="TOCTitle">
    <w:name w:val="TOCTitle"/>
    <w:basedOn w:val="Heading1"/>
    <w:rsid w:val="00E9024C"/>
    <w:pPr>
      <w:spacing w:after="240"/>
      <w:jc w:val="center"/>
      <w:outlineLvl w:val="9"/>
    </w:pPr>
    <w:rPr>
      <w:caps/>
    </w:rPr>
  </w:style>
  <w:style w:type="paragraph" w:customStyle="1" w:styleId="Version">
    <w:name w:val="Version"/>
    <w:rsid w:val="00E902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024C"/>
    <w:pPr>
      <w:keepNext w:val="0"/>
      <w:tabs>
        <w:tab w:val="right" w:pos="4176"/>
      </w:tabs>
      <w:ind w:left="198" w:hanging="198"/>
    </w:pPr>
    <w:rPr>
      <w:rFonts w:ascii="Garamond" w:hAnsi="Garamond"/>
    </w:rPr>
  </w:style>
  <w:style w:type="paragraph" w:styleId="IndexHeading">
    <w:name w:val="index heading"/>
    <w:basedOn w:val="Normal"/>
    <w:next w:val="Index1"/>
    <w:semiHidden/>
    <w:rsid w:val="00E9024C"/>
    <w:pPr>
      <w:spacing w:before="120" w:after="120"/>
    </w:pPr>
    <w:rPr>
      <w:rFonts w:ascii="Arial" w:hAnsi="Arial"/>
      <w:b/>
      <w:color w:val="918585"/>
      <w:sz w:val="24"/>
    </w:rPr>
  </w:style>
  <w:style w:type="paragraph" w:styleId="Header">
    <w:name w:val="header"/>
    <w:basedOn w:val="Normal"/>
    <w:link w:val="HeaderChar"/>
    <w:rsid w:val="00E902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024C"/>
    <w:rPr>
      <w:rFonts w:ascii="Times New Roman" w:eastAsia="Times New Roman" w:hAnsi="Times New Roman" w:cs="Times New Roman"/>
      <w:sz w:val="16"/>
      <w:szCs w:val="20"/>
      <w:lang w:val="en-GB" w:eastAsia="en-US"/>
    </w:rPr>
  </w:style>
  <w:style w:type="paragraph" w:customStyle="1" w:styleId="Chapter">
    <w:name w:val="Chapter"/>
    <w:basedOn w:val="Normal"/>
    <w:rsid w:val="00E9024C"/>
    <w:pPr>
      <w:spacing w:before="240"/>
    </w:pPr>
    <w:rPr>
      <w:rFonts w:ascii="Times New Roman" w:hAnsi="Times New Roman"/>
      <w:smallCaps/>
      <w:spacing w:val="80"/>
      <w:sz w:val="28"/>
    </w:rPr>
  </w:style>
  <w:style w:type="paragraph" w:customStyle="1" w:styleId="InChapter">
    <w:name w:val="InChapter"/>
    <w:basedOn w:val="Heading3"/>
    <w:rsid w:val="00E9024C"/>
    <w:pPr>
      <w:spacing w:after="240"/>
      <w:outlineLvl w:val="9"/>
    </w:pPr>
    <w:rPr>
      <w:noProof/>
    </w:rPr>
  </w:style>
  <w:style w:type="paragraph" w:styleId="Index2">
    <w:name w:val="index 2"/>
    <w:basedOn w:val="Normal"/>
    <w:next w:val="Normal"/>
    <w:semiHidden/>
    <w:rsid w:val="00E9024C"/>
    <w:pPr>
      <w:tabs>
        <w:tab w:val="right" w:pos="4176"/>
      </w:tabs>
      <w:ind w:left="568" w:hanging="284"/>
    </w:pPr>
    <w:rPr>
      <w:rFonts w:ascii="Garamond" w:hAnsi="Garamond"/>
    </w:rPr>
  </w:style>
  <w:style w:type="paragraph" w:customStyle="1" w:styleId="Byline">
    <w:name w:val="Byline"/>
    <w:rsid w:val="00E902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024C"/>
    <w:pPr>
      <w:tabs>
        <w:tab w:val="clear" w:pos="3600"/>
        <w:tab w:val="clear" w:pos="3958"/>
      </w:tabs>
      <w:jc w:val="right"/>
    </w:pPr>
  </w:style>
  <w:style w:type="character" w:styleId="Emphasis">
    <w:name w:val="Emphasis"/>
    <w:basedOn w:val="DefaultParagraphFont"/>
    <w:qFormat/>
    <w:rsid w:val="00E9024C"/>
    <w:rPr>
      <w:i/>
    </w:rPr>
  </w:style>
  <w:style w:type="paragraph" w:styleId="Caption">
    <w:name w:val="caption"/>
    <w:basedOn w:val="BodyText"/>
    <w:next w:val="Normal"/>
    <w:qFormat/>
    <w:rsid w:val="00E9024C"/>
    <w:pPr>
      <w:framePr w:w="2268" w:hSpace="181" w:vSpace="181" w:wrap="around" w:vAnchor="text" w:hAnchor="page" w:x="1135" w:y="285" w:anchorLock="1"/>
    </w:pPr>
    <w:rPr>
      <w:i/>
    </w:rPr>
  </w:style>
  <w:style w:type="paragraph" w:customStyle="1" w:styleId="MiniTOCTitle">
    <w:name w:val="MiniTOCTitle"/>
    <w:basedOn w:val="Heading4"/>
    <w:rsid w:val="00E9024C"/>
    <w:pPr>
      <w:spacing w:before="240"/>
      <w:outlineLvl w:val="9"/>
    </w:pPr>
    <w:rPr>
      <w:noProof/>
      <w:sz w:val="24"/>
    </w:rPr>
  </w:style>
  <w:style w:type="paragraph" w:customStyle="1" w:styleId="MiniTOCItem">
    <w:name w:val="MiniTOCItem"/>
    <w:basedOn w:val="ListBullet"/>
    <w:rsid w:val="00E9024C"/>
    <w:pPr>
      <w:numPr>
        <w:numId w:val="0"/>
      </w:numPr>
      <w:tabs>
        <w:tab w:val="right" w:leader="dot" w:pos="6521"/>
      </w:tabs>
      <w:spacing w:before="0" w:after="0"/>
    </w:pPr>
  </w:style>
  <w:style w:type="paragraph" w:customStyle="1" w:styleId="TOFTitle">
    <w:name w:val="TOFTitle"/>
    <w:basedOn w:val="TOCTitle"/>
    <w:rsid w:val="00E9024C"/>
  </w:style>
  <w:style w:type="paragraph" w:styleId="TableofFigures">
    <w:name w:val="table of figures"/>
    <w:basedOn w:val="Normal"/>
    <w:next w:val="Normal"/>
    <w:semiHidden/>
    <w:rsid w:val="00E9024C"/>
    <w:pPr>
      <w:tabs>
        <w:tab w:val="right" w:leader="dot" w:pos="9072"/>
      </w:tabs>
      <w:ind w:left="970" w:hanging="403"/>
    </w:pPr>
    <w:rPr>
      <w:rFonts w:ascii="Times New Roman" w:hAnsi="Times New Roman"/>
      <w:b/>
    </w:rPr>
  </w:style>
  <w:style w:type="paragraph" w:styleId="ListNumber">
    <w:name w:val="List Number"/>
    <w:basedOn w:val="List"/>
    <w:rsid w:val="00E9024C"/>
    <w:pPr>
      <w:numPr>
        <w:numId w:val="12"/>
      </w:numPr>
    </w:pPr>
  </w:style>
  <w:style w:type="character" w:customStyle="1" w:styleId="WingdingSymbols">
    <w:name w:val="Wingding Symbols"/>
    <w:rsid w:val="00E9024C"/>
    <w:rPr>
      <w:rFonts w:ascii="Wingdings" w:hAnsi="Wingdings"/>
    </w:rPr>
  </w:style>
  <w:style w:type="paragraph" w:customStyle="1" w:styleId="TableHeading">
    <w:name w:val="Table Heading"/>
    <w:basedOn w:val="HeadingBase"/>
    <w:rsid w:val="00E9024C"/>
    <w:pPr>
      <w:keepLines/>
      <w:pBdr>
        <w:bottom w:val="single" w:sz="6" w:space="1" w:color="918585"/>
      </w:pBdr>
      <w:spacing w:before="240"/>
    </w:pPr>
  </w:style>
  <w:style w:type="character" w:customStyle="1" w:styleId="HotSpot">
    <w:name w:val="HotSpot"/>
    <w:rsid w:val="00E9024C"/>
    <w:rPr>
      <w:color w:val="0033CC"/>
      <w:u w:val="none"/>
    </w:rPr>
  </w:style>
  <w:style w:type="paragraph" w:customStyle="1" w:styleId="BodyTextRight">
    <w:name w:val="Body Text Right"/>
    <w:basedOn w:val="BodyText"/>
    <w:rsid w:val="00E9024C"/>
    <w:pPr>
      <w:spacing w:before="0" w:after="0"/>
      <w:jc w:val="right"/>
    </w:pPr>
  </w:style>
  <w:style w:type="paragraph" w:styleId="Index3">
    <w:name w:val="index 3"/>
    <w:basedOn w:val="ListNumber2"/>
    <w:next w:val="Normal"/>
    <w:semiHidden/>
    <w:rsid w:val="00E9024C"/>
    <w:pPr>
      <w:numPr>
        <w:numId w:val="0"/>
      </w:numPr>
      <w:tabs>
        <w:tab w:val="right" w:leader="dot" w:pos="4176"/>
      </w:tabs>
    </w:pPr>
  </w:style>
  <w:style w:type="paragraph" w:styleId="ListNumber2">
    <w:name w:val="List Number 2"/>
    <w:basedOn w:val="List2"/>
    <w:rsid w:val="00E9024C"/>
    <w:pPr>
      <w:numPr>
        <w:numId w:val="11"/>
      </w:numPr>
      <w:tabs>
        <w:tab w:val="clear" w:pos="1060"/>
      </w:tabs>
    </w:pPr>
  </w:style>
  <w:style w:type="paragraph" w:customStyle="1" w:styleId="MarginNote">
    <w:name w:val="Margin Note"/>
    <w:basedOn w:val="BodyText"/>
    <w:rsid w:val="00E902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02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02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024C"/>
    <w:rPr>
      <w:sz w:val="32"/>
    </w:rPr>
  </w:style>
  <w:style w:type="paragraph" w:customStyle="1" w:styleId="HeadingProcedure">
    <w:name w:val="Heading Procedure"/>
    <w:basedOn w:val="HeadingBase"/>
    <w:next w:val="Normal"/>
    <w:rsid w:val="00E9024C"/>
    <w:pPr>
      <w:tabs>
        <w:tab w:val="left" w:pos="0"/>
      </w:tabs>
      <w:spacing w:before="120" w:after="60"/>
    </w:pPr>
    <w:rPr>
      <w:i/>
      <w:color w:val="918585"/>
      <w:sz w:val="22"/>
    </w:rPr>
  </w:style>
  <w:style w:type="paragraph" w:customStyle="1" w:styleId="TableBodyText">
    <w:name w:val="Table Body Text"/>
    <w:basedOn w:val="BodyText"/>
    <w:rsid w:val="00E9024C"/>
    <w:pPr>
      <w:spacing w:before="60" w:after="60"/>
    </w:pPr>
  </w:style>
  <w:style w:type="paragraph" w:styleId="ListContinue">
    <w:name w:val="List Continue"/>
    <w:basedOn w:val="List"/>
    <w:rsid w:val="00E9024C"/>
    <w:pPr>
      <w:ind w:firstLine="0"/>
    </w:pPr>
  </w:style>
  <w:style w:type="paragraph" w:customStyle="1" w:styleId="ListNote">
    <w:name w:val="List Note"/>
    <w:basedOn w:val="List"/>
    <w:rsid w:val="00E9024C"/>
    <w:pPr>
      <w:pBdr>
        <w:top w:val="single" w:sz="6" w:space="2" w:color="918585"/>
        <w:bottom w:val="single" w:sz="6" w:space="2" w:color="918585"/>
      </w:pBdr>
      <w:tabs>
        <w:tab w:val="left" w:pos="1021"/>
      </w:tabs>
      <w:ind w:firstLine="0"/>
    </w:pPr>
  </w:style>
  <w:style w:type="paragraph" w:customStyle="1" w:styleId="Warning">
    <w:name w:val="Warning"/>
    <w:basedOn w:val="BodyText"/>
    <w:rsid w:val="00E9024C"/>
    <w:pPr>
      <w:shd w:val="clear" w:color="auto" w:fill="D9D9D9"/>
      <w:tabs>
        <w:tab w:val="left" w:pos="992"/>
      </w:tabs>
      <w:ind w:left="119" w:right="119"/>
    </w:pPr>
    <w:rPr>
      <w:sz w:val="20"/>
    </w:rPr>
  </w:style>
  <w:style w:type="paragraph" w:customStyle="1" w:styleId="MarginIcons">
    <w:name w:val="Margin Icons"/>
    <w:basedOn w:val="BodyText"/>
    <w:rsid w:val="00E902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024C"/>
    <w:rPr>
      <w:rFonts w:ascii="Courier New" w:hAnsi="Courier New"/>
    </w:rPr>
  </w:style>
  <w:style w:type="paragraph" w:customStyle="1" w:styleId="NoteBullet">
    <w:name w:val="Note Bullet"/>
    <w:basedOn w:val="Note"/>
    <w:rsid w:val="00E9024C"/>
    <w:pPr>
      <w:tabs>
        <w:tab w:val="clear" w:pos="680"/>
      </w:tabs>
      <w:spacing w:before="60" w:after="60"/>
    </w:pPr>
  </w:style>
  <w:style w:type="paragraph" w:customStyle="1" w:styleId="SubHeading2">
    <w:name w:val="SubHeading2"/>
    <w:basedOn w:val="HeadingBase"/>
    <w:rsid w:val="00E9024C"/>
    <w:pPr>
      <w:spacing w:before="240" w:after="60"/>
    </w:pPr>
    <w:rPr>
      <w:sz w:val="20"/>
    </w:rPr>
  </w:style>
  <w:style w:type="paragraph" w:customStyle="1" w:styleId="SubHeading1">
    <w:name w:val="SubHeading1"/>
    <w:basedOn w:val="HeadingBase"/>
    <w:rsid w:val="00E9024C"/>
    <w:pPr>
      <w:spacing w:before="240" w:after="60"/>
    </w:pPr>
    <w:rPr>
      <w:color w:val="918585"/>
      <w:sz w:val="22"/>
    </w:rPr>
  </w:style>
  <w:style w:type="paragraph" w:customStyle="1" w:styleId="SideHeading">
    <w:name w:val="Side Heading"/>
    <w:basedOn w:val="HeadingBase"/>
    <w:rsid w:val="00E902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024C"/>
    <w:pPr>
      <w:numPr>
        <w:numId w:val="13"/>
      </w:numPr>
    </w:pPr>
  </w:style>
  <w:style w:type="paragraph" w:styleId="PlainText">
    <w:name w:val="Plain Text"/>
    <w:basedOn w:val="Normal"/>
    <w:link w:val="PlainTextChar"/>
    <w:rsid w:val="00E9024C"/>
    <w:rPr>
      <w:sz w:val="20"/>
    </w:rPr>
  </w:style>
  <w:style w:type="character" w:customStyle="1" w:styleId="PlainTextChar">
    <w:name w:val="Plain Text Char"/>
    <w:basedOn w:val="DefaultParagraphFont"/>
    <w:link w:val="PlainText"/>
    <w:rsid w:val="00E9024C"/>
    <w:rPr>
      <w:rFonts w:ascii="Courier New" w:eastAsia="Times New Roman" w:hAnsi="Courier New" w:cs="Times New Roman"/>
      <w:sz w:val="20"/>
      <w:szCs w:val="20"/>
      <w:lang w:eastAsia="en-US"/>
    </w:rPr>
  </w:style>
  <w:style w:type="character" w:customStyle="1" w:styleId="MenuOption">
    <w:name w:val="Menu Option"/>
    <w:basedOn w:val="DefaultParagraphFont"/>
    <w:rsid w:val="00E9024C"/>
    <w:rPr>
      <w:b/>
      <w:smallCaps/>
    </w:rPr>
  </w:style>
  <w:style w:type="paragraph" w:customStyle="1" w:styleId="TableListNumber">
    <w:name w:val="Table List Number"/>
    <w:basedOn w:val="ListNumber"/>
    <w:rsid w:val="00E9024C"/>
    <w:pPr>
      <w:numPr>
        <w:numId w:val="0"/>
      </w:numPr>
    </w:pPr>
  </w:style>
  <w:style w:type="paragraph" w:styleId="TOC4">
    <w:name w:val="toc 4"/>
    <w:basedOn w:val="TOCBase"/>
    <w:next w:val="Normal"/>
    <w:semiHidden/>
    <w:rsid w:val="00E9024C"/>
    <w:pPr>
      <w:tabs>
        <w:tab w:val="right" w:leader="dot" w:pos="9071"/>
      </w:tabs>
      <w:ind w:left="1701"/>
    </w:pPr>
  </w:style>
  <w:style w:type="paragraph" w:customStyle="1" w:styleId="ListAlpha">
    <w:name w:val="List Alpha"/>
    <w:basedOn w:val="List"/>
    <w:rsid w:val="00E9024C"/>
    <w:pPr>
      <w:numPr>
        <w:numId w:val="10"/>
      </w:numPr>
    </w:pPr>
  </w:style>
  <w:style w:type="paragraph" w:customStyle="1" w:styleId="ListAlpha2">
    <w:name w:val="List Alpha 2"/>
    <w:basedOn w:val="List2"/>
    <w:rsid w:val="00E9024C"/>
    <w:pPr>
      <w:numPr>
        <w:numId w:val="9"/>
      </w:numPr>
    </w:pPr>
  </w:style>
  <w:style w:type="paragraph" w:styleId="List2">
    <w:name w:val="List 2"/>
    <w:basedOn w:val="BodyText"/>
    <w:rsid w:val="00E9024C"/>
    <w:pPr>
      <w:tabs>
        <w:tab w:val="left" w:pos="680"/>
      </w:tabs>
      <w:spacing w:before="60" w:after="60"/>
      <w:ind w:left="680" w:hanging="340"/>
    </w:pPr>
  </w:style>
  <w:style w:type="paragraph" w:styleId="List3">
    <w:name w:val="List 3"/>
    <w:basedOn w:val="BodyText"/>
    <w:rsid w:val="00E9024C"/>
    <w:pPr>
      <w:tabs>
        <w:tab w:val="left" w:pos="1021"/>
      </w:tabs>
      <w:spacing w:before="60" w:after="60"/>
      <w:ind w:left="1020" w:hanging="340"/>
    </w:pPr>
  </w:style>
  <w:style w:type="paragraph" w:styleId="List4">
    <w:name w:val="List 4"/>
    <w:basedOn w:val="BodyText"/>
    <w:rsid w:val="00E9024C"/>
    <w:pPr>
      <w:tabs>
        <w:tab w:val="left" w:pos="1361"/>
      </w:tabs>
      <w:spacing w:before="60" w:after="60"/>
      <w:ind w:left="1361" w:hanging="340"/>
    </w:pPr>
  </w:style>
  <w:style w:type="paragraph" w:styleId="List5">
    <w:name w:val="List 5"/>
    <w:basedOn w:val="BodyText"/>
    <w:rsid w:val="00E9024C"/>
    <w:pPr>
      <w:tabs>
        <w:tab w:val="left" w:pos="1701"/>
      </w:tabs>
      <w:spacing w:before="60" w:after="60"/>
      <w:ind w:left="1701" w:hanging="340"/>
    </w:pPr>
  </w:style>
  <w:style w:type="paragraph" w:styleId="ListBullet4">
    <w:name w:val="List Bullet 4"/>
    <w:basedOn w:val="List4"/>
    <w:rsid w:val="00E9024C"/>
    <w:pPr>
      <w:numPr>
        <w:numId w:val="4"/>
      </w:numPr>
    </w:pPr>
  </w:style>
  <w:style w:type="paragraph" w:styleId="ListBullet5">
    <w:name w:val="List Bullet 5"/>
    <w:basedOn w:val="List5"/>
    <w:rsid w:val="00E9024C"/>
    <w:pPr>
      <w:numPr>
        <w:numId w:val="5"/>
      </w:numPr>
    </w:pPr>
  </w:style>
  <w:style w:type="paragraph" w:styleId="ListContinue2">
    <w:name w:val="List Continue 2"/>
    <w:basedOn w:val="List2"/>
    <w:rsid w:val="00E9024C"/>
    <w:pPr>
      <w:ind w:firstLine="0"/>
    </w:pPr>
  </w:style>
  <w:style w:type="paragraph" w:styleId="ListContinue3">
    <w:name w:val="List Continue 3"/>
    <w:basedOn w:val="List3"/>
    <w:rsid w:val="00E9024C"/>
    <w:pPr>
      <w:ind w:left="1021" w:firstLine="0"/>
    </w:pPr>
  </w:style>
  <w:style w:type="paragraph" w:styleId="ListContinue4">
    <w:name w:val="List Continue 4"/>
    <w:basedOn w:val="List4"/>
    <w:rsid w:val="00E9024C"/>
    <w:pPr>
      <w:ind w:firstLine="0"/>
    </w:pPr>
  </w:style>
  <w:style w:type="paragraph" w:styleId="ListContinue5">
    <w:name w:val="List Continue 5"/>
    <w:basedOn w:val="List5"/>
    <w:rsid w:val="00E9024C"/>
    <w:pPr>
      <w:ind w:firstLine="0"/>
    </w:pPr>
  </w:style>
  <w:style w:type="paragraph" w:styleId="ListNumber3">
    <w:name w:val="List Number 3"/>
    <w:basedOn w:val="List3"/>
    <w:rsid w:val="00E9024C"/>
    <w:pPr>
      <w:numPr>
        <w:numId w:val="6"/>
      </w:numPr>
    </w:pPr>
  </w:style>
  <w:style w:type="paragraph" w:styleId="ListNumber4">
    <w:name w:val="List Number 4"/>
    <w:basedOn w:val="List4"/>
    <w:rsid w:val="00E9024C"/>
    <w:pPr>
      <w:numPr>
        <w:numId w:val="7"/>
      </w:numPr>
    </w:pPr>
  </w:style>
  <w:style w:type="paragraph" w:styleId="ListNumber5">
    <w:name w:val="List Number 5"/>
    <w:basedOn w:val="List5"/>
    <w:rsid w:val="00E9024C"/>
    <w:pPr>
      <w:numPr>
        <w:numId w:val="8"/>
      </w:numPr>
    </w:pPr>
  </w:style>
  <w:style w:type="paragraph" w:styleId="BlockText">
    <w:name w:val="Block Text"/>
    <w:basedOn w:val="Normal"/>
    <w:rsid w:val="00E9024C"/>
    <w:pPr>
      <w:spacing w:after="120"/>
      <w:ind w:left="1440" w:right="1440"/>
    </w:pPr>
  </w:style>
  <w:style w:type="character" w:customStyle="1" w:styleId="Subscript">
    <w:name w:val="Subscript"/>
    <w:basedOn w:val="DefaultParagraphFont"/>
    <w:rsid w:val="00E9024C"/>
    <w:rPr>
      <w:sz w:val="16"/>
      <w:vertAlign w:val="subscript"/>
    </w:rPr>
  </w:style>
  <w:style w:type="character" w:customStyle="1" w:styleId="Superscript">
    <w:name w:val="Superscript"/>
    <w:basedOn w:val="DefaultParagraphFont"/>
    <w:rsid w:val="00E9024C"/>
    <w:rPr>
      <w:sz w:val="16"/>
      <w:vertAlign w:val="superscript"/>
    </w:rPr>
  </w:style>
  <w:style w:type="character" w:customStyle="1" w:styleId="Symbols">
    <w:name w:val="Symbols"/>
    <w:basedOn w:val="DefaultParagraphFont"/>
    <w:rsid w:val="00E9024C"/>
    <w:rPr>
      <w:rFonts w:ascii="Symbol" w:hAnsi="Symbol"/>
    </w:rPr>
  </w:style>
  <w:style w:type="character" w:customStyle="1" w:styleId="MenuOptions">
    <w:name w:val="Menu Options"/>
    <w:basedOn w:val="DefaultParagraphFont"/>
    <w:rsid w:val="00E9024C"/>
    <w:rPr>
      <w:rFonts w:ascii="Arial Narrow" w:hAnsi="Arial Narrow"/>
      <w:smallCaps/>
    </w:rPr>
  </w:style>
  <w:style w:type="character" w:customStyle="1" w:styleId="Buttons">
    <w:name w:val="Buttons"/>
    <w:basedOn w:val="DefaultParagraphFont"/>
    <w:rsid w:val="00E9024C"/>
    <w:rPr>
      <w:b/>
    </w:rPr>
  </w:style>
  <w:style w:type="character" w:customStyle="1" w:styleId="Underlined">
    <w:name w:val="Underlined"/>
    <w:basedOn w:val="DefaultParagraphFont"/>
    <w:rsid w:val="00E9024C"/>
    <w:rPr>
      <w:u w:val="single"/>
    </w:rPr>
  </w:style>
  <w:style w:type="paragraph" w:customStyle="1" w:styleId="TableBodyTextRight">
    <w:name w:val="Table Body Text Right"/>
    <w:basedOn w:val="TableBodyText"/>
    <w:rsid w:val="00E9024C"/>
    <w:pPr>
      <w:widowControl w:val="0"/>
      <w:autoSpaceDE w:val="0"/>
      <w:autoSpaceDN w:val="0"/>
      <w:adjustRightInd w:val="0"/>
      <w:jc w:val="right"/>
    </w:pPr>
    <w:rPr>
      <w:rFonts w:cs="Arial"/>
      <w:szCs w:val="18"/>
    </w:rPr>
  </w:style>
  <w:style w:type="paragraph" w:customStyle="1" w:styleId="CopyrightText">
    <w:name w:val="Copyright Text"/>
    <w:basedOn w:val="BodyText"/>
    <w:rsid w:val="00E9024C"/>
    <w:rPr>
      <w:sz w:val="18"/>
    </w:rPr>
  </w:style>
  <w:style w:type="paragraph" w:customStyle="1" w:styleId="BodySmallRight">
    <w:name w:val="Body Small Right"/>
    <w:basedOn w:val="BodyTextRight"/>
    <w:rsid w:val="00E9024C"/>
    <w:rPr>
      <w:sz w:val="18"/>
      <w:szCs w:val="18"/>
    </w:rPr>
  </w:style>
  <w:style w:type="paragraph" w:customStyle="1" w:styleId="MarginEdition">
    <w:name w:val="Margin Edition"/>
    <w:basedOn w:val="MarginNote"/>
    <w:rsid w:val="00E9024C"/>
    <w:pPr>
      <w:spacing w:before="0" w:after="0"/>
    </w:pPr>
    <w:rPr>
      <w:rFonts w:ascii="Times New Roman" w:hAnsi="Times New Roman"/>
      <w:color w:val="999999"/>
    </w:rPr>
  </w:style>
  <w:style w:type="paragraph" w:customStyle="1" w:styleId="Spacer">
    <w:name w:val="Spacer"/>
    <w:basedOn w:val="Normal"/>
    <w:rsid w:val="00E9024C"/>
    <w:rPr>
      <w:sz w:val="2"/>
      <w:szCs w:val="2"/>
    </w:rPr>
  </w:style>
  <w:style w:type="character" w:customStyle="1" w:styleId="Small">
    <w:name w:val="Small"/>
    <w:basedOn w:val="DefaultParagraphFont"/>
    <w:rsid w:val="00E9024C"/>
    <w:rPr>
      <w:sz w:val="16"/>
    </w:rPr>
  </w:style>
  <w:style w:type="paragraph" w:customStyle="1" w:styleId="WideTable">
    <w:name w:val="Wide Table"/>
    <w:basedOn w:val="Normal"/>
    <w:rsid w:val="00E9024C"/>
    <w:pPr>
      <w:ind w:left="-1418"/>
    </w:pPr>
    <w:rPr>
      <w:sz w:val="2"/>
      <w:szCs w:val="2"/>
    </w:rPr>
  </w:style>
  <w:style w:type="character" w:styleId="PageNumber">
    <w:name w:val="page number"/>
    <w:basedOn w:val="DefaultParagraphFont"/>
    <w:rsid w:val="00E9024C"/>
  </w:style>
  <w:style w:type="paragraph" w:styleId="Quote">
    <w:name w:val="Quote"/>
    <w:basedOn w:val="Heading1"/>
    <w:link w:val="QuoteChar"/>
    <w:qFormat/>
    <w:rsid w:val="00E9024C"/>
    <w:rPr>
      <w:b w:val="0"/>
      <w:sz w:val="72"/>
      <w:szCs w:val="72"/>
      <w:lang w:val="en-NZ"/>
    </w:rPr>
  </w:style>
  <w:style w:type="character" w:customStyle="1" w:styleId="QuoteChar">
    <w:name w:val="Quote Char"/>
    <w:basedOn w:val="DefaultParagraphFont"/>
    <w:link w:val="Quote"/>
    <w:rsid w:val="00E902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024C"/>
    <w:pPr>
      <w:pageBreakBefore/>
    </w:pPr>
  </w:style>
  <w:style w:type="paragraph" w:customStyle="1" w:styleId="Border">
    <w:name w:val="Border"/>
    <w:basedOn w:val="Normal"/>
    <w:qFormat/>
    <w:rsid w:val="00E902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024C"/>
    <w:rPr>
      <w:b/>
      <w:bCs/>
      <w:i/>
      <w:iCs/>
      <w:color w:val="auto"/>
    </w:rPr>
  </w:style>
  <w:style w:type="paragraph" w:styleId="IntenseQuote">
    <w:name w:val="Intense Quote"/>
    <w:basedOn w:val="Normal"/>
    <w:next w:val="Normal"/>
    <w:link w:val="IntenseQuoteChar"/>
    <w:uiPriority w:val="30"/>
    <w:qFormat/>
    <w:rsid w:val="00E902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02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024C"/>
    <w:rPr>
      <w:smallCaps/>
      <w:color w:val="auto"/>
      <w:u w:val="single"/>
    </w:rPr>
  </w:style>
  <w:style w:type="character" w:styleId="IntenseReference">
    <w:name w:val="Intense Reference"/>
    <w:basedOn w:val="DefaultParagraphFont"/>
    <w:uiPriority w:val="32"/>
    <w:qFormat/>
    <w:rsid w:val="00E9024C"/>
    <w:rPr>
      <w:b/>
      <w:bCs/>
      <w:smallCaps/>
      <w:color w:val="auto"/>
      <w:spacing w:val="5"/>
      <w:u w:val="single"/>
    </w:rPr>
  </w:style>
  <w:style w:type="paragraph" w:customStyle="1" w:styleId="2ColumnHeading">
    <w:name w:val="2Column Heading"/>
    <w:basedOn w:val="BodyText"/>
    <w:qFormat/>
    <w:rsid w:val="00E9024C"/>
    <w:pPr>
      <w:spacing w:after="60"/>
      <w:ind w:left="-2268"/>
    </w:pPr>
    <w:rPr>
      <w:b/>
    </w:rPr>
  </w:style>
  <w:style w:type="paragraph" w:customStyle="1" w:styleId="Heading1TOC">
    <w:name w:val="Heading1 TOC"/>
    <w:basedOn w:val="Normal"/>
    <w:qFormat/>
    <w:rsid w:val="00E9024C"/>
    <w:pPr>
      <w:spacing w:before="240" w:after="120"/>
    </w:pPr>
    <w:rPr>
      <w:rFonts w:ascii="Times New Roman" w:hAnsi="Times New Roman"/>
      <w:b/>
      <w:sz w:val="32"/>
    </w:rPr>
  </w:style>
  <w:style w:type="paragraph" w:customStyle="1" w:styleId="Heading2TOC">
    <w:name w:val="Heading2 TOC"/>
    <w:basedOn w:val="Normal"/>
    <w:qFormat/>
    <w:rsid w:val="00E9024C"/>
    <w:pPr>
      <w:spacing w:before="240" w:after="60"/>
    </w:pPr>
    <w:rPr>
      <w:rFonts w:ascii="Times New Roman" w:hAnsi="Times New Roman"/>
      <w:b/>
      <w:sz w:val="28"/>
    </w:rPr>
  </w:style>
  <w:style w:type="character" w:customStyle="1" w:styleId="Underline">
    <w:name w:val="Underline"/>
    <w:basedOn w:val="DefaultParagraphFont"/>
    <w:qFormat/>
    <w:rsid w:val="00E9024C"/>
    <w:rPr>
      <w:u w:val="single"/>
    </w:rPr>
  </w:style>
  <w:style w:type="character" w:customStyle="1" w:styleId="BoldandItalics">
    <w:name w:val="Bold and Italics"/>
    <w:qFormat/>
    <w:rsid w:val="00E9024C"/>
    <w:rPr>
      <w:b/>
      <w:i/>
      <w:u w:val="none"/>
    </w:rPr>
  </w:style>
  <w:style w:type="paragraph" w:styleId="BalloonText">
    <w:name w:val="Balloon Text"/>
    <w:basedOn w:val="Normal"/>
    <w:link w:val="BalloonTextChar"/>
    <w:rsid w:val="00E9024C"/>
    <w:rPr>
      <w:rFonts w:ascii="Tahoma" w:hAnsi="Tahoma" w:cs="Tahoma"/>
      <w:sz w:val="16"/>
      <w:szCs w:val="16"/>
    </w:rPr>
  </w:style>
  <w:style w:type="character" w:customStyle="1" w:styleId="BalloonTextChar">
    <w:name w:val="Balloon Text Char"/>
    <w:basedOn w:val="DefaultParagraphFont"/>
    <w:link w:val="BalloonText"/>
    <w:rsid w:val="00E902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02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02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024C"/>
    <w:rPr>
      <w:b/>
      <w:color w:val="660033"/>
      <w:spacing w:val="0"/>
    </w:rPr>
  </w:style>
  <w:style w:type="paragraph" w:customStyle="1" w:styleId="Nameditemlist">
    <w:name w:val="Named item list"/>
    <w:basedOn w:val="BodyText"/>
    <w:qFormat/>
    <w:rsid w:val="00E902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2585</Words>
  <Characters>16266</Characters>
  <Application>Microsoft Office Word</Application>
  <DocSecurity>0</DocSecurity>
  <Lines>686</Lines>
  <Paragraphs>283</Paragraphs>
  <ScaleCrop>false</ScaleCrop>
  <Company>Author-it Software Corporation Ltd.</Company>
  <LinksUpToDate>false</LinksUpToDate>
  <CharactersWithSpaces>18657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UETTDRCJ27A Install and maintain de-energised high voltage underground polymeric cables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2012-10-10T01:43:00Z</dcterms:created>
  <dcterms:modified xsi:type="dcterms:W3CDTF">2012-10-10T01:43:00Z</dcterms:modified>
</cp:coreProperties>
</file>