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8E" w:rsidP="005A5A8E">
      <w:pPr>
        <w:pStyle w:val="Title"/>
      </w:pPr>
      <w:bookmarkStart w:id="0" w:name="_GoBack"/>
      <w:bookmarkEnd w:id="0"/>
      <w:r>
        <w:fldChar w:fldCharType="begin"/>
      </w:r>
      <w:r>
        <w:instrText xml:space="preserve"> TITLE   \* MERGEFORMAT </w:instrText>
      </w:r>
      <w:r>
        <w:fldChar w:fldCharType="separate"/>
      </w:r>
      <w:r>
        <w:t>UETTDRCJ24A Joint and maintain energised low voltage underground paper insulated cables</w:t>
      </w:r>
      <w:r>
        <w:fldChar w:fldCharType="end"/>
      </w:r>
    </w:p>
    <w:p w:rsidR="005A5A8E" w:rsidP="005A5A8E">
      <w:pPr>
        <w:pStyle w:val="Version"/>
        <w:sectPr w:rsidSect="00EE5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58F" w:rsidP="00EE558F">
      <w:pPr>
        <w:pStyle w:val="SuperHeading"/>
      </w:pPr>
      <w:r w:rsidRPr="00EE558F">
        <w:t>UETTDRCJ24A Joint and maintain energised low voltage underground paper insulated cables</w:t>
      </w:r>
    </w:p>
    <w:p w:rsidR="00000000" w:rsidRPr="00EE558F" w:rsidP="00EE558F">
      <w:pPr>
        <w:pStyle w:val="Heading1"/>
      </w:pPr>
      <w:bookmarkStart w:id="1" w:name="O_461679"/>
      <w:bookmarkEnd w:id="1"/>
      <w:r w:rsidRPr="00EE558F">
        <w:t>Modification History</w:t>
      </w:r>
    </w:p>
    <w:p w:rsidR="00000000" w:rsidRPr="00EE558F" w:rsidP="00EE558F">
      <w:pPr>
        <w:pStyle w:val="BodyText"/>
      </w:pPr>
      <w:r w:rsidRPr="00EE558F">
        <w:t>Not applicable.</w:t>
      </w:r>
    </w:p>
    <w:p w:rsidR="00000000" w:rsidRPr="00EE558F" w:rsidP="00EE558F">
      <w:pPr>
        <w:pStyle w:val="AllowPageBreak"/>
      </w:pPr>
    </w:p>
    <w:p w:rsidR="00000000" w:rsidRPr="00EE558F" w:rsidP="00EE558F">
      <w:pPr>
        <w:pStyle w:val="Heading1"/>
      </w:pPr>
      <w:bookmarkStart w:id="2" w:name="O_461677"/>
      <w:bookmarkEnd w:id="2"/>
      <w:r w:rsidRPr="00EE558F">
        <w:t>Unit Des</w:t>
      </w:r>
      <w:r w:rsidRPr="00EE558F">
        <w:t>criptor</w:t>
      </w:r>
    </w:p>
    <w:tbl>
      <w:tblPr>
        <w:tblW w:w="0" w:type="auto"/>
        <w:tblLayout w:type="fixed"/>
        <w:tblCellMar>
          <w:left w:w="62" w:type="dxa"/>
          <w:right w:w="62" w:type="dxa"/>
        </w:tblCellMar>
        <w:tblLook w:val="0000"/>
      </w:tblPr>
      <w:tblGrid>
        <w:gridCol w:w="2700"/>
        <w:gridCol w:w="5760"/>
      </w:tblGrid>
      <w:tr w:rsidTr="005A5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1)</w:t>
            </w:r>
            <w:r w:rsidRPr="00EE558F">
              <w:t xml:space="preserve"> </w:t>
            </w:r>
            <w:r w:rsidRPr="00EE558F">
              <w:rPr>
                <w:rStyle w:val="SpecialBold"/>
              </w:rPr>
              <w:t>Scope:</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5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1.1) Descriptor</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 xml:space="preserve">This Competency Standard Unit covers the jointing and maintenance of energised low voltage underground paper insulated cables according to </w:t>
            </w:r>
            <w:r w:rsidRPr="00EE558F">
              <w:t>established enterprise procedures. It covers the use of specialised live working equipment, tools and devices, the issuing and/or accepting electrical access permits and/or relevant working documentation and the undertaking of authorised cable testing proc</w:t>
            </w:r>
            <w:r w:rsidRPr="00EE558F">
              <w:t>edures. It also encompasses the pre-commissioning tests and the updating of system data/maintenance records.</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3" w:name="O_461666"/>
      <w:bookmarkEnd w:id="3"/>
      <w:r w:rsidRPr="00EE558F">
        <w:t>Application of the Unit</w:t>
      </w:r>
    </w:p>
    <w:tbl>
      <w:tblPr>
        <w:tblW w:w="0" w:type="auto"/>
        <w:tblLayout w:type="fixed"/>
        <w:tblCellMar>
          <w:left w:w="62" w:type="dxa"/>
          <w:right w:w="62" w:type="dxa"/>
        </w:tblCellMar>
        <w:tblLook w:val="0000"/>
      </w:tblPr>
      <w:tblGrid>
        <w:gridCol w:w="2672"/>
        <w:gridCol w:w="5699"/>
      </w:tblGrid>
      <w:tr w:rsidTr="005A5A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2)</w:t>
            </w:r>
          </w:p>
        </w:tc>
      </w:tr>
      <w:tr w:rsidTr="005A5A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This Competency Standard Unit is intended to augment formally acquired competencies. It is suitable for employment-based programs under an approved contract of training.</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4" w:name="O_461673"/>
      <w:bookmarkEnd w:id="4"/>
      <w:r w:rsidRPr="00EE558F">
        <w:t>Licensing/Regulatory Information</w:t>
      </w:r>
    </w:p>
    <w:tbl>
      <w:tblPr>
        <w:tblW w:w="0" w:type="auto"/>
        <w:tblLayout w:type="fixed"/>
        <w:tblCellMar>
          <w:left w:w="62" w:type="dxa"/>
          <w:right w:w="62" w:type="dxa"/>
        </w:tblCellMar>
        <w:tblLook w:val="0000"/>
      </w:tblPr>
      <w:tblGrid>
        <w:gridCol w:w="2700"/>
        <w:gridCol w:w="5760"/>
      </w:tblGrid>
      <w:tr w:rsidTr="005A5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 xml:space="preserve">3)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The skil</w:t>
            </w:r>
            <w:r w:rsidRPr="00EE558F">
              <w:t xml:space="preserve">ls and knowledge described in this unit may require a licence/registration to practice in the work place subject to regulations for undertaking of electrical work. Practice in workplace and during training is also subject to </w:t>
            </w:r>
            <w:r w:rsidRPr="00EE558F">
              <w:t>regulations directly related to</w:t>
            </w:r>
            <w:r w:rsidRPr="00EE558F">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EE558F">
              <w:t>gulations may exist that limits the age of operating certain equipment.</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5" w:name="O_461674"/>
      <w:bookmarkEnd w:id="5"/>
      <w:r w:rsidRPr="00EE558F">
        <w:t>Pre-Requisites</w:t>
      </w:r>
    </w:p>
    <w:tbl>
      <w:tblPr>
        <w:tblW w:w="0" w:type="auto"/>
        <w:tblLayout w:type="fixed"/>
        <w:tblCellMar>
          <w:left w:w="62" w:type="dxa"/>
          <w:right w:w="62" w:type="dxa"/>
        </w:tblCellMar>
        <w:tblLook w:val="0000"/>
      </w:tblPr>
      <w:tblGrid>
        <w:gridCol w:w="2700"/>
        <w:gridCol w:w="2070"/>
        <w:gridCol w:w="3690"/>
      </w:tblGrid>
      <w:tr w:rsidTr="005A5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 xml:space="preserve">4)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4.1)</w:t>
            </w:r>
          </w:p>
        </w:tc>
      </w:tr>
      <w:tr w:rsidTr="005A5A8E">
        <w:tblPrEx>
          <w:tblW w:w="0" w:type="auto"/>
          <w:tblLayout w:type="fixed"/>
          <w:tblCellMar>
            <w:left w:w="62" w:type="dxa"/>
            <w:right w:w="62" w:type="dxa"/>
          </w:tblCellMar>
          <w:tblLook w:val="0000"/>
        </w:tblPrEx>
        <w:trPr>
          <w:trHeight w:val="173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Granting of competency in this unit shall be made only after competency in the following unit(s) has/have been confirmed.</w:t>
            </w:r>
          </w:p>
          <w:p w:rsidR="00000000" w:rsidRPr="00EE558F" w:rsidP="00EE558F">
            <w:pPr>
              <w:pStyle w:val="BodyText"/>
            </w:pPr>
            <w:r w:rsidRPr="00EE558F">
              <w:t xml:space="preserve">Where pre-requisite pathways have been identified. All competencies in the Common Unit Group must be have been completed plus all the </w:t>
            </w:r>
            <w:r w:rsidRPr="00EE558F">
              <w:t>competencies in one (1) of the identified Pathway Unit Group(s):</w:t>
            </w:r>
          </w:p>
          <w:p w:rsidR="00000000" w:rsidP="00EE558F">
            <w:pPr>
              <w:pStyle w:val="BodyText"/>
              <w:rPr>
                <w:lang w:val="en-NZ"/>
              </w:rPr>
            </w:pPr>
            <w:r w:rsidRPr="00EE558F">
              <w:t>Common Unit Group</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Unit Code</w:t>
            </w:r>
            <w:r w:rsidRPr="00EE558F">
              <w:tab/>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Unit Title</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Apply Occupational Health and Safety regulations, codes and practices in the workplace</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Fabricate, assemble and dismant</w:t>
            </w:r>
            <w:r w:rsidRPr="00EE558F">
              <w:t>le utilities industry components</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Solve problems in d.c. Circuits</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Fix and secure electrotechnology equipment</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Use drawings, diagrams, schedules, standards, codes and specifications</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Solve problems in electromagnetic devices and related circuits</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Solve problems in low voltage a.c. </w:t>
            </w:r>
            <w:r w:rsidRPr="00EE558F">
              <w:t>Circuits</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UETTDRCJ21A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Lay ESI electrical cables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UETTDRCJ26A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Install and maintain de-energised low voltage underground polymeric cables.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w:t>
            </w:r>
            <w:r w:rsidRPr="00EE558F">
              <w:t>ETTDRCJ27A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Install and maintain de-energised high voltage underground polymeric cables.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Apply sustainable energy and environmental procedures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Operate plant and equipment near live electrical conductors and apparatus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Working safely near live electrical apparatus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UETTDRIS41A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Install network infrastructure electrical equipment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UETTDRIS42A</w:t>
            </w:r>
          </w:p>
        </w:tc>
        <w:tc>
          <w:tcPr>
            <w:tcW w:w="3690" w:type="dxa"/>
            <w:tcBorders>
              <w:top w:val="nil"/>
              <w:left w:val="nil"/>
              <w:bottom w:val="nil"/>
              <w:right w:val="nil"/>
            </w:tcBorders>
            <w:tcMar>
              <w:top w:w="0" w:type="dxa"/>
              <w:left w:w="62" w:type="dxa"/>
              <w:bottom w:w="0" w:type="dxa"/>
              <w:right w:w="62" w:type="dxa"/>
            </w:tcMar>
            <w:vAlign w:val="bottom"/>
          </w:tcPr>
          <w:p w:rsidR="00000000" w:rsidP="00EE558F">
            <w:pPr>
              <w:pStyle w:val="BodyText"/>
              <w:rPr>
                <w:lang w:val="en-NZ"/>
              </w:rPr>
            </w:pPr>
            <w:r w:rsidRPr="00EE558F">
              <w:t xml:space="preserve">Maintain network infrastructure electrical equipment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UETTDRIS55A</w:t>
            </w:r>
          </w:p>
        </w:tc>
        <w:tc>
          <w:tcPr>
            <w:tcW w:w="3690" w:type="dxa"/>
            <w:tcBorders>
              <w:top w:val="nil"/>
              <w:left w:val="nil"/>
              <w:bottom w:val="nil"/>
              <w:right w:val="nil"/>
            </w:tcBorders>
            <w:tcMar>
              <w:top w:w="0" w:type="dxa"/>
              <w:left w:w="62" w:type="dxa"/>
              <w:bottom w:w="0" w:type="dxa"/>
              <w:right w:w="62" w:type="dxa"/>
            </w:tcMar>
            <w:vAlign w:val="bottom"/>
          </w:tcPr>
          <w:p w:rsidR="00000000" w:rsidRPr="00EE558F" w:rsidP="00EE558F">
            <w:pPr>
              <w:pStyle w:val="BodyText"/>
            </w:pPr>
            <w:r w:rsidRPr="00EE558F">
              <w:t xml:space="preserve">Install and maintain low voltage underground services </w:t>
            </w:r>
          </w:p>
        </w:tc>
      </w:tr>
    </w:tbl>
    <w:p w:rsidR="00000000" w:rsidRPr="00EE558F" w:rsidP="00EE55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A5A8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 xml:space="preserve">4.2)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 xml:space="preserve">Participants are best equipped to achieve this unit if they have reading, writing and numeracy skills indicated by the following scales. Description of each </w:t>
            </w:r>
            <w:r w:rsidRPr="00EE558F">
              <w:t>scale is given in Volume 2, Part 3 “Literacy and Numeracy”.</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Reading</w:t>
            </w:r>
          </w:p>
        </w:tc>
        <w:tc>
          <w:tcPr>
            <w:tcW w:w="81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w:t>
            </w:r>
          </w:p>
        </w:tc>
        <w:tc>
          <w:tcPr>
            <w:tcW w:w="99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Writing</w:t>
            </w:r>
          </w:p>
        </w:tc>
        <w:tc>
          <w:tcPr>
            <w:tcW w:w="90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w:t>
            </w:r>
          </w:p>
        </w:tc>
        <w:tc>
          <w:tcPr>
            <w:tcW w:w="12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Numeracy</w:t>
            </w:r>
          </w:p>
        </w:tc>
        <w:tc>
          <w:tcPr>
            <w:tcW w:w="72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3</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6" w:name="O_461670"/>
      <w:bookmarkEnd w:id="6"/>
      <w:r w:rsidRPr="00EE558F">
        <w:t>Employability Skills Information</w:t>
      </w:r>
    </w:p>
    <w:tbl>
      <w:tblPr>
        <w:tblW w:w="0" w:type="auto"/>
        <w:tblLayout w:type="fixed"/>
        <w:tblCellMar>
          <w:left w:w="62" w:type="dxa"/>
          <w:right w:w="62" w:type="dxa"/>
        </w:tblCellMar>
        <w:tblLook w:val="0000"/>
      </w:tblPr>
      <w:tblGrid>
        <w:gridCol w:w="2700"/>
        <w:gridCol w:w="5760"/>
      </w:tblGrid>
      <w:tr w:rsidTr="005A5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 xml:space="preserve">5)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E558F">
              <w:t>requirements.</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7" w:name="O_461669"/>
      <w:bookmarkEnd w:id="7"/>
      <w:r w:rsidRPr="00EE558F">
        <w:t>Elements and Performance Criteria Pre-Content</w:t>
      </w:r>
    </w:p>
    <w:tbl>
      <w:tblPr>
        <w:tblW w:w="0" w:type="auto"/>
        <w:tblLayout w:type="fixed"/>
        <w:tblCellMar>
          <w:left w:w="62" w:type="dxa"/>
          <w:right w:w="62" w:type="dxa"/>
        </w:tblCellMar>
        <w:tblLook w:val="0000"/>
      </w:tblPr>
      <w:tblGrid>
        <w:gridCol w:w="2700"/>
        <w:gridCol w:w="5760"/>
      </w:tblGrid>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6)</w:t>
            </w:r>
            <w:r w:rsidRPr="00EE55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Performance Criteria describe the required performance needed to demonstrate achievement of the element</w:t>
            </w:r>
            <w:r w:rsidRPr="00EE558F">
              <w:t>. Assessment of performance is to be consistent with the Evidence Guide.</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8" w:name="O_461668"/>
      <w:bookmarkEnd w:id="8"/>
      <w:r w:rsidRPr="00EE558F">
        <w:t>Elements and Performance Criteria</w:t>
      </w:r>
    </w:p>
    <w:tbl>
      <w:tblPr>
        <w:tblW w:w="0" w:type="auto"/>
        <w:tblLayout w:type="fixed"/>
        <w:tblCellMar>
          <w:left w:w="62" w:type="dxa"/>
          <w:right w:w="62" w:type="dxa"/>
        </w:tblCellMar>
        <w:tblLook w:val="0000"/>
      </w:tblPr>
      <w:tblGrid>
        <w:gridCol w:w="407"/>
        <w:gridCol w:w="2293"/>
        <w:gridCol w:w="851"/>
        <w:gridCol w:w="4909"/>
      </w:tblGrid>
      <w:tr w:rsidTr="005A5A8E">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PERFORMANCE CRITERIA</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w:t>
            </w:r>
          </w:p>
        </w:tc>
        <w:tc>
          <w:tcPr>
            <w:tcW w:w="2293" w:type="dxa"/>
            <w:vMerge w:val="restart"/>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Prepare for the jointing and maintenance of energised LV underground paper insulated cables</w:t>
            </w: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1.1</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Works schedule(s), including drawings, plans, requirements, established procedures, and material lists, are received, analysed and confirmed, if necessary, by site inspection</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1.2</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Relevant</w:t>
            </w:r>
            <w:r w:rsidRPr="00EE558F">
              <w:t xml:space="preserve"> requirements and established procedures for the work are communicated to all personnel and identified for all work sites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1.3</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OHS policies and procedures related to requirements and established procedures for the jointing and maintenance of energised LV</w:t>
            </w:r>
            <w:r w:rsidRPr="00EE558F">
              <w:t xml:space="preserve"> underground paper insulated cables are obtained and confirmed for the purposes of the work to be performed and communicated</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1.4</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Work is prioritised and sequenced following consultation with others for completion within acceptable timeframes and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1.5</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Hazards are identified, OHS risks assessed and control measures are prioritised, implement</w:t>
            </w:r>
            <w:r w:rsidRPr="00EE558F">
              <w:t>ed and monitored including emergency exits kept clear according to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1.6</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Relevant work permits are obtained to access and perform work according to requirements and/or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1.7</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Resources including personnel, eq</w:t>
            </w:r>
            <w:r w:rsidRPr="00EE558F">
              <w:t>uipment, tools and personal protective equipment required for the job are obtained and confirmed in working order.</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1.8</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Specialist equipment for live working is inspected and confined in working order as per requirements and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1.9</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Relevant personnel at work site are confirmed current in First Aid and other related work procedures according to requirements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1.10</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Liaison and communication issues with other/authorised personnel, authorities, clients and land owners are resolved to c</w:t>
            </w:r>
            <w:r w:rsidRPr="00EE558F">
              <w:t>arry out work where necessary.</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1.11</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Site is prepared according to the work schedule and to minimise risk and damage to property, commerce, and individuals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1.12</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Personnel participating in the work, including p</w:t>
            </w:r>
            <w:r w:rsidRPr="00EE558F">
              <w:t>lant operators and contractors, are fully briefed and respective responsibilities confirmed where applicable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w:t>
            </w:r>
          </w:p>
        </w:tc>
        <w:tc>
          <w:tcPr>
            <w:tcW w:w="2293" w:type="dxa"/>
            <w:vMerge w:val="restart"/>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Carry out jointing and maintenance of energised LV underground paper insulated cables</w:t>
            </w: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2.1</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OHS, sustainable energy and environmental principles and practices to reduce the incidents of accidents and minimise waste are monitored and followed in accordance with requirements and/or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2.2</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Lifting, climbing, working in confine</w:t>
            </w:r>
            <w:r w:rsidRPr="00EE558F">
              <w:t>d spaces and aloft, and use of power tools/equipment, techniques and practices are safely followed and, currency according to requirements confirmed</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2.3</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Essential knowledge and associated skills are applied in the safe jointing and maintenance of energised LV underground paper insulated cables to ensure completion in an agreed timeframe and, to quality standards with a minimum of waste according to require</w:t>
            </w:r>
            <w:r w:rsidRPr="00EE558F">
              <w:t>ments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2.4</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Cable(s), underground equipment, associated hardware and surrounds are prepared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2.5</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Joint and termination procedures of energised LV cable(s) are carried out in accordance with the work schedule and</w:t>
            </w:r>
            <w:r w:rsidRPr="00EE558F">
              <w:t xml:space="preserve"> requirements/established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2.6</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Authorised cable testing procedures and fault identification and location process are implemented in accordance with requirements and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2.7</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Maintenance, including repair and/or replacement of energised LV underground paper insulated cables is carried out, in accordance with the work schedule and requirements/established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2.8</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Hazard warnings and safety signs are recognised and haza</w:t>
            </w:r>
            <w:r w:rsidRPr="00EE558F">
              <w:t>rds and assessed OHS risks are reported to the immediate authorised persons for directions according to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2.9</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Unplanned events in the jointing and maintenance of energised LV underground paper insulated cables are undertaken within</w:t>
            </w:r>
            <w:r w:rsidRPr="00EE558F">
              <w:t xml:space="preserve"> the scope of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2.10</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Known solutions to a variety of problems are applied using acquired essential knowledge and associated skills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2.11</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Ongoing checks of quality of the work are undertaken in accordance with instructions and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2.12</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OHS, sustainable energy and environmental principles and practices to reduce the incidents of accidents and minimise waste are monitored</w:t>
            </w:r>
            <w:r w:rsidRPr="00EE558F">
              <w:t xml:space="preserve"> and followed in accordance with requirements and/or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w:t>
            </w:r>
          </w:p>
        </w:tc>
        <w:tc>
          <w:tcPr>
            <w:tcW w:w="2293" w:type="dxa"/>
            <w:vMerge w:val="restart"/>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Complete the jointing and maintenance of energised LV underground paper insulated cables</w:t>
            </w: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3.1</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 xml:space="preserve">Work undertaken is checked against works schedule for conformance with requirements </w:t>
            </w:r>
            <w:r w:rsidRPr="00EE558F">
              <w:t>and, anomalies reported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3.2</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Accidents and/or injuries are reported in accordance with requirements/established procedures, where applicable.</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3.3</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Tools, equipment and any surplus resources and materials are, where appropriate, cleaned, checked and returned to storage or disposed of in accordance with established procedures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3.4</w:t>
            </w:r>
          </w:p>
        </w:tc>
        <w:tc>
          <w:tcPr>
            <w:tcW w:w="4909"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Relevant work permit(s) are signed off and, jointing and maintenance o</w:t>
            </w:r>
            <w:r w:rsidRPr="00EE558F">
              <w:t>f energised LV underground paper insulated cables are returned to service in accordance with requirements</w:t>
            </w:r>
          </w:p>
        </w:tc>
      </w:tr>
      <w:tr w:rsidTr="005A5A8E">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3.5</w:t>
            </w:r>
          </w:p>
        </w:tc>
        <w:tc>
          <w:tcPr>
            <w:tcW w:w="4909"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Works completion records, reports, as installed /modified drawing and/or documentation and information are finalised and processed and appropriate personnel notified</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9" w:name="O_461676"/>
      <w:bookmarkEnd w:id="9"/>
      <w:r w:rsidRPr="00EE558F">
        <w:t>Required Skills and Knowledge</w:t>
      </w:r>
    </w:p>
    <w:tbl>
      <w:tblPr>
        <w:tblW w:w="0" w:type="auto"/>
        <w:tblLayout w:type="fixed"/>
        <w:tblCellMar>
          <w:left w:w="62" w:type="dxa"/>
          <w:right w:w="62" w:type="dxa"/>
        </w:tblCellMar>
        <w:tblLook w:val="0000"/>
      </w:tblPr>
      <w:tblGrid>
        <w:gridCol w:w="8460"/>
      </w:tblGrid>
      <w:tr w:rsidTr="005A5A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REQUIRED SKILLS AND KNOWLEDGE</w:t>
            </w:r>
          </w:p>
        </w:tc>
      </w:tr>
      <w:tr w:rsidTr="005A5A8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8)</w:t>
            </w:r>
            <w:r w:rsidRPr="00EE558F">
              <w:t xml:space="preserve"> Essenti</w:t>
            </w:r>
            <w:r w:rsidRPr="00EE558F">
              <w:t>al knowledge and associated skills (EKAS): This describes the essential skills and knowledge and their level, required for this unit.</w:t>
            </w:r>
          </w:p>
          <w:p w:rsidR="00000000" w:rsidRPr="00EE558F" w:rsidP="00EE558F">
            <w:pPr>
              <w:pStyle w:val="BodyText"/>
            </w:pPr>
            <w:r w:rsidRPr="00EE558F">
              <w:t xml:space="preserve">Evidence shall show that knowledge has been acquired of jointing and maintaining energised LV underground paper insulated </w:t>
            </w:r>
            <w:r w:rsidRPr="00EE558F">
              <w:t xml:space="preserve">cables. </w:t>
            </w:r>
          </w:p>
          <w:p w:rsidR="00000000" w:rsidRPr="00EE558F" w:rsidP="00EE558F">
            <w:pPr>
              <w:pStyle w:val="BodyText"/>
            </w:pPr>
            <w:r w:rsidRPr="00EE558F">
              <w:t>All knowledge and skills detailed in this unit should be contextualised to current industry practices and technologies.</w:t>
            </w:r>
          </w:p>
          <w:p w:rsidR="00000000" w:rsidRPr="00EE558F" w:rsidP="00EE558F">
            <w:pPr>
              <w:pStyle w:val="BodyText"/>
            </w:pPr>
            <w:r w:rsidRPr="00EE558F">
              <w:t>KS01-TCJ24A</w:t>
            </w:r>
            <w:r w:rsidRPr="00EE558F">
              <w:tab/>
              <w:t>LV energised working practices for paper lead cable jointing</w:t>
            </w:r>
          </w:p>
          <w:p w:rsidR="00000000" w:rsidRPr="00EE558F" w:rsidP="00EE558F">
            <w:pPr>
              <w:pStyle w:val="BodyText"/>
            </w:pPr>
            <w:r w:rsidRPr="00EE558F">
              <w:t>Evidence shall show an understanding of the safe worki</w:t>
            </w:r>
            <w:r w:rsidRPr="00EE558F">
              <w:t>ng on energised low voltage equipment to an extent indicated by the following aspects:</w:t>
            </w:r>
          </w:p>
          <w:p w:rsidR="00000000" w:rsidRPr="00EE558F" w:rsidP="00EE558F">
            <w:pPr>
              <w:pStyle w:val="BodyText"/>
            </w:pPr>
            <w:r w:rsidRPr="00EE558F">
              <w:t>T1</w:t>
            </w:r>
            <w:r w:rsidRPr="00EE558F">
              <w:tab/>
              <w:t>Standards, codes, Commonwealth, State/Territory/local government legislation, supply authority regulations and or enterprise requirements</w:t>
            </w:r>
          </w:p>
          <w:p w:rsidR="00000000" w:rsidRPr="00EE558F" w:rsidP="00EE558F">
            <w:pPr>
              <w:pStyle w:val="BodyText"/>
            </w:pPr>
            <w:r w:rsidRPr="00EE558F">
              <w:t>T2</w:t>
            </w:r>
            <w:r w:rsidRPr="00EE558F">
              <w:tab/>
            </w:r>
            <w:r w:rsidRPr="00EE558F">
              <w:t>Safety precautions specific to working on or near energised low voltage conductors encompassing:</w:t>
            </w:r>
          </w:p>
          <w:p w:rsidR="00000000" w:rsidRPr="00EE558F" w:rsidP="00EE558F">
            <w:pPr>
              <w:pStyle w:val="ListBullet"/>
            </w:pPr>
            <w:r w:rsidRPr="00EE558F">
              <w:t>Safe working practices and procedures</w:t>
            </w:r>
          </w:p>
          <w:p w:rsidR="00000000" w:rsidRPr="00EE558F" w:rsidP="00EE558F">
            <w:pPr>
              <w:pStyle w:val="ListBullet"/>
            </w:pPr>
            <w:r w:rsidRPr="00EE558F">
              <w:t>Identification of hazards, assessment and control of OHS risks</w:t>
            </w:r>
          </w:p>
          <w:p w:rsidR="00000000" w:rsidRPr="00EE558F" w:rsidP="00EE558F">
            <w:pPr>
              <w:pStyle w:val="ListBullet"/>
            </w:pPr>
            <w:r w:rsidRPr="00EE558F">
              <w:t>Types, selection, maintenance and use of personal protecti</w:t>
            </w:r>
            <w:r w:rsidRPr="00EE558F">
              <w:t>ve equipment</w:t>
            </w:r>
          </w:p>
          <w:p w:rsidR="00000000" w:rsidRPr="00EE558F" w:rsidP="00EE558F">
            <w:pPr>
              <w:pStyle w:val="BodyText"/>
            </w:pPr>
            <w:r w:rsidRPr="00EE558F">
              <w:t>T3</w:t>
            </w:r>
            <w:r w:rsidRPr="00EE558F">
              <w:tab/>
              <w:t>Work on or near energised LV paper lead cables encompassing:</w:t>
            </w:r>
          </w:p>
          <w:p w:rsidR="00000000" w:rsidRPr="00EE558F" w:rsidP="00EE558F">
            <w:pPr>
              <w:pStyle w:val="ListBullet"/>
            </w:pPr>
            <w:r w:rsidRPr="00EE558F">
              <w:t>Types and function of specialised tools</w:t>
            </w:r>
          </w:p>
          <w:p w:rsidR="00000000" w:rsidRPr="00EE558F" w:rsidP="00EE558F">
            <w:pPr>
              <w:pStyle w:val="ListBullet"/>
            </w:pPr>
            <w:r w:rsidRPr="00EE558F">
              <w:t>Safe working practices when using specialised tools</w:t>
            </w:r>
          </w:p>
          <w:p w:rsidR="00000000" w:rsidRPr="00EE558F" w:rsidP="00EE558F">
            <w:pPr>
              <w:pStyle w:val="ListBullet"/>
            </w:pPr>
            <w:r w:rsidRPr="00EE558F">
              <w:t>Methods of using specialised tools</w:t>
            </w:r>
          </w:p>
          <w:p w:rsidR="00000000" w:rsidRPr="00EE558F" w:rsidP="00EE558F">
            <w:pPr>
              <w:pStyle w:val="ListBullet"/>
            </w:pPr>
            <w:r w:rsidRPr="00EE558F">
              <w:t>Safe procedures for work on panels and in cubicles o</w:t>
            </w:r>
            <w:r w:rsidRPr="00EE558F">
              <w:t>n or near energised LV paper lead cables</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10" w:name="O_461671"/>
      <w:bookmarkEnd w:id="10"/>
      <w:r w:rsidRPr="00EE558F">
        <w:t>Evidence Guide</w:t>
      </w:r>
    </w:p>
    <w:tbl>
      <w:tblPr>
        <w:tblW w:w="0" w:type="auto"/>
        <w:tblLayout w:type="fixed"/>
        <w:tblCellMar>
          <w:left w:w="62" w:type="dxa"/>
          <w:right w:w="62" w:type="dxa"/>
        </w:tblCellMar>
        <w:tblLook w:val="0000"/>
      </w:tblPr>
      <w:tblGrid>
        <w:gridCol w:w="8460"/>
      </w:tblGrid>
      <w:tr w:rsidTr="005A5A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EVIDENCE GUIDE</w:t>
            </w:r>
          </w:p>
        </w:tc>
      </w:tr>
      <w:tr w:rsidTr="005A5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9)</w:t>
            </w:r>
            <w:r w:rsidRPr="00EE558F">
              <w:t xml:space="preserve"> This provides essential advice for assessment of the unit of competency and must be read in conjunction </w:t>
            </w:r>
            <w:r w:rsidRPr="00EE558F">
              <w:t>with the performance criteria and the range statement of the unit of competency and the Training Package Assessment Guidelines.</w:t>
            </w:r>
          </w:p>
          <w:p w:rsidR="00000000" w:rsidRPr="00EE558F" w:rsidP="00EE558F">
            <w:pPr>
              <w:pStyle w:val="BodyText"/>
            </w:pPr>
            <w:r w:rsidRPr="00EE558F">
              <w:t>The Evidence Guide forms an integral part of this Competency Standard Unit and shall be used in conjunction with all component p</w:t>
            </w:r>
            <w:r w:rsidRPr="00EE558F">
              <w:t>arts of this unit and, performed in accordance with the Assessment Guidelines of this Training Package.</w:t>
            </w:r>
          </w:p>
        </w:tc>
      </w:tr>
    </w:tbl>
    <w:p w:rsidR="00000000" w:rsidRPr="00EE558F" w:rsidP="00EE558F">
      <w:pPr>
        <w:pStyle w:val="BodyText"/>
      </w:pPr>
    </w:p>
    <w:tbl>
      <w:tblPr>
        <w:tblW w:w="0" w:type="auto"/>
        <w:tblLayout w:type="fixed"/>
        <w:tblCellMar>
          <w:left w:w="62" w:type="dxa"/>
          <w:right w:w="62" w:type="dxa"/>
        </w:tblCellMar>
        <w:tblLook w:val="0000"/>
      </w:tblPr>
      <w:tblGrid>
        <w:gridCol w:w="1890"/>
        <w:gridCol w:w="6570"/>
      </w:tblGrid>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9.1)</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Longitudinal competency development approaches to assessment, such as Profiling, require data to be reliably gathered in</w:t>
            </w:r>
            <w:r w:rsidRPr="00EE558F">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EE558F">
              <w:t>is used it is to include the application of the competency in the normal work environment or, at a minimum, the application of the competency in a realistically simulated work environment. It is recognised that, in some circumstances, assessment in part or</w:t>
            </w:r>
            <w:r w:rsidRPr="00EE558F">
              <w:t xml:space="preserve"> full can occur outside the workplace. However, it must be in accord with Industry and, Regulatory policy in this regard.</w:t>
            </w:r>
          </w:p>
          <w:p w:rsidR="00000000" w:rsidRPr="00EE558F" w:rsidP="00EE558F">
            <w:pPr>
              <w:pStyle w:val="BodyText"/>
            </w:pPr>
            <w:r w:rsidRPr="00EE558F">
              <w:t>Methods chosen for a particular assessment will be influenced by various factors. These include the extent of the assessment, the most</w:t>
            </w:r>
            <w:r w:rsidRPr="00EE558F">
              <w:t xml:space="preserve"> effective locations for the assessment activities to take place, access to physical resources, additional safety measures that may be required and the critical nature of the competencies being assessed.</w:t>
            </w:r>
          </w:p>
          <w:p w:rsidR="00000000" w:rsidRPr="00EE558F" w:rsidP="00EE558F">
            <w:pPr>
              <w:pStyle w:val="BodyText"/>
            </w:pPr>
            <w:r w:rsidRPr="00EE558F">
              <w:t>The critical safety nature of working with electrici</w:t>
            </w:r>
            <w:r w:rsidRPr="00EE558F">
              <w:t>ty, electrical equipment, gas or any other hazardous substance/material carries risk in deeming a person competent. Hence, sources of evidence need to be ‘rich’ in nature so as to minimise error in judgment.</w:t>
            </w:r>
          </w:p>
          <w:p w:rsidR="00000000" w:rsidRPr="00EE558F" w:rsidP="00EE558F">
            <w:pPr>
              <w:pStyle w:val="BodyText"/>
            </w:pPr>
            <w:r w:rsidRPr="00EE558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EE558F">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EE558F">
              <w:t>of this Training Package.</w:t>
            </w:r>
          </w:p>
        </w:tc>
      </w:tr>
    </w:tbl>
    <w:p w:rsidR="00000000" w:rsidRPr="00EE558F" w:rsidP="00EE558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9.2)</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Before the critical aspects of evidence are considered all prerequisites shall be met.</w:t>
            </w:r>
          </w:p>
          <w:p w:rsidR="00000000" w:rsidRPr="00EE558F" w:rsidP="00EE558F">
            <w:pPr>
              <w:pStyle w:val="BodyText"/>
            </w:pPr>
            <w:r w:rsidRPr="00EE558F">
              <w:t>Evidence for competence in this unit shall be consider</w:t>
            </w:r>
            <w:r w:rsidRPr="00EE558F">
              <w:t>ed holistically. Each element and associated performance criteria shall be demonstrated on at least two occasions in accordance with the “Assessment Guidelines – UET12”. Evidence shall also comprise:</w:t>
            </w:r>
          </w:p>
          <w:p w:rsidR="00000000" w:rsidRPr="00EE558F" w:rsidP="00EE558F">
            <w:pPr>
              <w:pStyle w:val="ListBullet"/>
            </w:pPr>
            <w:r w:rsidRPr="00EE558F">
              <w:t>A representative body of performance criteria demonstrat</w:t>
            </w:r>
            <w:r w:rsidRPr="00EE558F">
              <w:t>ed within the timeframes typically expected of the discipline, work function and industrial environment. In particular this shall incorporate evidence that shows a candidate is able to:</w:t>
            </w:r>
          </w:p>
          <w:p w:rsidR="00000000" w:rsidRPr="00EE558F" w:rsidP="00EE558F">
            <w:pPr>
              <w:pStyle w:val="ListBullet2"/>
            </w:pPr>
            <w:r w:rsidRPr="00EE558F">
              <w:t>Implement Occupational Health and Safety workplace procedures and practices including the use of risk control measures as specified in the performance criteria and range; and</w:t>
            </w:r>
          </w:p>
          <w:p w:rsidR="00000000" w:rsidRPr="00EE558F" w:rsidP="00EE558F">
            <w:pPr>
              <w:pStyle w:val="ListBullet2"/>
            </w:pPr>
            <w:r w:rsidRPr="00EE558F">
              <w:t>Apply sustainable energy principles and practices as specified in the performance</w:t>
            </w:r>
            <w:r w:rsidRPr="00EE558F">
              <w:t xml:space="preserve"> criteria and range; and</w:t>
            </w:r>
          </w:p>
          <w:p w:rsidR="00000000" w:rsidRPr="00EE558F" w:rsidP="00EE558F">
            <w:pPr>
              <w:pStyle w:val="ListBullet2"/>
            </w:pPr>
            <w:r w:rsidRPr="00EE558F">
              <w:t>Demonstrate an understanding of the essential knowledge and associated skills as described in this unit to such an extent that the learner’s performance outcome is reported in accordance with the preferred approach; namely a percen</w:t>
            </w:r>
            <w:r w:rsidRPr="00EE558F">
              <w:t>tile graded result, where required by the regulated environment; and</w:t>
            </w:r>
          </w:p>
          <w:p w:rsidR="00000000" w:rsidRPr="00EE558F" w:rsidP="00EE558F">
            <w:pPr>
              <w:pStyle w:val="ListBullet2"/>
            </w:pPr>
            <w:r w:rsidRPr="00EE558F">
              <w:t>Demonstrate an appropriate level of employability skills; and</w:t>
            </w:r>
          </w:p>
          <w:p w:rsidR="00000000" w:rsidRPr="00EE558F" w:rsidP="00EE558F">
            <w:pPr>
              <w:pStyle w:val="ListBullet"/>
            </w:pPr>
            <w:r w:rsidRPr="00EE558F">
              <w:t>Conduct work observing the relevant Anti Discrimination legislation, regulations, policies and workplace procedures; and</w:t>
            </w:r>
          </w:p>
          <w:p w:rsidR="00000000" w:rsidP="00EE558F">
            <w:pPr>
              <w:pStyle w:val="ListBullet2"/>
              <w:rPr>
                <w:lang w:val="en-NZ"/>
              </w:rPr>
            </w:pPr>
            <w:r w:rsidRPr="00EE558F">
              <w:t>Dem</w:t>
            </w:r>
            <w:r w:rsidRPr="00EE558F">
              <w:t>onstrated performance across a representative range of contexts from the prescribed items below:</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E558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rPr>
                <w:rStyle w:val="SpecialBold"/>
              </w:rPr>
              <w:t>Range of tools, equipment, materials, procedures, workplaces or other variables</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E558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rPr>
                <w:rStyle w:val="SpecialBold"/>
              </w:rPr>
              <w:t>Item List</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LV paper/lead</w:t>
            </w:r>
          </w:p>
          <w:p w:rsidR="00000000" w:rsidP="00EE558F">
            <w:pPr>
              <w:pStyle w:val="BodyText"/>
              <w:rPr>
                <w:lang w:val="en-NZ"/>
              </w:rPr>
            </w:pPr>
            <w:r w:rsidRPr="00EE558F">
              <w:t>LV paper/aluminium</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Tee-off joints</w:t>
            </w:r>
          </w:p>
          <w:p w:rsidR="00000000" w:rsidRPr="00EE558F" w:rsidP="00EE558F">
            <w:pPr>
              <w:pStyle w:val="BodyText"/>
            </w:pPr>
            <w:r w:rsidRPr="00EE558F">
              <w:t>Straight through joints</w:t>
            </w:r>
          </w:p>
          <w:p w:rsidR="00000000" w:rsidP="00EE558F">
            <w:pPr>
              <w:pStyle w:val="BodyText"/>
              <w:rPr>
                <w:lang w:val="en-NZ"/>
              </w:rPr>
            </w:pPr>
            <w:r w:rsidRPr="00EE558F">
              <w:t>Parallel branch</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Transformers</w:t>
            </w:r>
          </w:p>
          <w:p w:rsidR="00000000" w:rsidRPr="00EE558F" w:rsidP="00EE558F">
            <w:pPr>
              <w:pStyle w:val="BodyText"/>
            </w:pPr>
            <w:r w:rsidRPr="00EE558F">
              <w:t>LV switchboards</w:t>
            </w:r>
          </w:p>
          <w:p w:rsidR="00000000" w:rsidRPr="00EE558F" w:rsidP="00EE558F">
            <w:pPr>
              <w:pStyle w:val="BodyText"/>
            </w:pPr>
            <w:r w:rsidRPr="00EE558F">
              <w:t>Pillars/turrets</w:t>
            </w:r>
          </w:p>
          <w:p w:rsidR="00000000" w:rsidRPr="00EE558F" w:rsidP="00EE558F">
            <w:pPr>
              <w:pStyle w:val="BodyText"/>
            </w:pPr>
            <w:r w:rsidRPr="00EE558F">
              <w:t>Lighting columns</w:t>
            </w:r>
          </w:p>
          <w:p w:rsidR="00000000" w:rsidRPr="00EE558F" w:rsidP="00EE558F">
            <w:pPr>
              <w:pStyle w:val="BodyText"/>
            </w:pPr>
            <w:r w:rsidRPr="00EE558F">
              <w:t>Ring main units</w:t>
            </w:r>
          </w:p>
          <w:p w:rsidR="00000000" w:rsidRPr="00EE558F" w:rsidP="00EE558F">
            <w:pPr>
              <w:pStyle w:val="BodyText"/>
            </w:pPr>
            <w:r w:rsidRPr="00EE558F">
              <w:t>Chamber substations</w:t>
            </w:r>
          </w:p>
          <w:p w:rsidR="00000000" w:rsidRPr="00EE558F" w:rsidP="00EE558F">
            <w:pPr>
              <w:pStyle w:val="BodyText"/>
            </w:pPr>
            <w:r w:rsidRPr="00EE558F">
              <w:t>Busbar/termination boxes</w:t>
            </w:r>
          </w:p>
          <w:p w:rsidR="00000000" w:rsidRPr="00EE558F" w:rsidP="00EE558F">
            <w:pPr>
              <w:pStyle w:val="BodyText"/>
            </w:pPr>
            <w:r w:rsidRPr="00EE558F">
              <w:t>Links</w:t>
            </w:r>
          </w:p>
          <w:p w:rsidR="00000000" w:rsidRPr="00EE558F" w:rsidP="00EE558F">
            <w:pPr>
              <w:pStyle w:val="BodyText"/>
            </w:pPr>
            <w:r w:rsidRPr="00EE558F">
              <w:t>Termination boxes</w:t>
            </w:r>
          </w:p>
          <w:p w:rsidR="00000000" w:rsidP="00EE558F">
            <w:pPr>
              <w:pStyle w:val="BodyText"/>
              <w:rPr>
                <w:lang w:val="en-NZ"/>
              </w:rPr>
            </w:pPr>
            <w:r w:rsidRPr="00EE558F">
              <w:t>Control gear</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Resin filled boxes</w:t>
            </w:r>
          </w:p>
          <w:p w:rsidR="00000000" w:rsidRPr="00EE558F" w:rsidP="00EE558F">
            <w:pPr>
              <w:pStyle w:val="BodyText"/>
            </w:pPr>
            <w:r w:rsidRPr="00EE558F">
              <w:t>Compound filled boxes</w:t>
            </w:r>
          </w:p>
          <w:p w:rsidR="00000000" w:rsidRPr="00EE558F" w:rsidP="00EE558F">
            <w:pPr>
              <w:pStyle w:val="BodyText"/>
            </w:pPr>
            <w:r w:rsidRPr="00EE558F">
              <w:t>Polymeric tape</w:t>
            </w:r>
          </w:p>
          <w:p w:rsidR="00000000" w:rsidRPr="00EE558F" w:rsidP="00EE558F">
            <w:pPr>
              <w:pStyle w:val="BodyText"/>
            </w:pPr>
            <w:r w:rsidRPr="00EE558F">
              <w:t>Heat shrink</w:t>
            </w:r>
          </w:p>
          <w:p w:rsidR="00000000" w:rsidRPr="00EE558F" w:rsidP="00EE558F">
            <w:pPr>
              <w:pStyle w:val="BodyText"/>
            </w:pPr>
            <w:r w:rsidRPr="00EE558F">
              <w:t>‘slip-on’ moulds</w:t>
            </w:r>
          </w:p>
          <w:p w:rsidR="00000000" w:rsidP="00EE558F">
            <w:pPr>
              <w:pStyle w:val="BodyText"/>
              <w:rPr>
                <w:lang w:val="en-NZ"/>
              </w:rPr>
            </w:pPr>
            <w:r w:rsidRPr="00EE558F">
              <w:t>Pre-stretched polymeric</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Compression joints</w:t>
            </w:r>
          </w:p>
          <w:p w:rsidR="00000000" w:rsidRPr="00EE558F" w:rsidP="00EE558F">
            <w:pPr>
              <w:pStyle w:val="BodyText"/>
            </w:pPr>
            <w:r w:rsidRPr="00EE558F">
              <w:t>Soldered joints</w:t>
            </w:r>
          </w:p>
          <w:p w:rsidR="00000000" w:rsidRPr="00EE558F" w:rsidP="00EE558F">
            <w:pPr>
              <w:pStyle w:val="BodyText"/>
            </w:pPr>
            <w:r w:rsidRPr="00EE558F">
              <w:t>Mechanical connectors</w:t>
            </w:r>
          </w:p>
          <w:p w:rsidR="00000000" w:rsidRPr="00EE558F" w:rsidP="00EE558F">
            <w:pPr>
              <w:pStyle w:val="BodyText"/>
            </w:pPr>
            <w:r w:rsidRPr="00EE558F">
              <w:t>Soldered lugs</w:t>
            </w:r>
          </w:p>
          <w:p w:rsidR="00000000" w:rsidP="00EE558F">
            <w:pPr>
              <w:pStyle w:val="BodyText"/>
              <w:rPr>
                <w:lang w:val="en-NZ"/>
              </w:rPr>
            </w:pPr>
            <w:r w:rsidRPr="00EE558F">
              <w:t>Compression lugs</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Voltage detecting instruments</w:t>
            </w:r>
          </w:p>
          <w:p w:rsidR="00000000" w:rsidRPr="00EE558F" w:rsidP="00EE558F">
            <w:pPr>
              <w:pStyle w:val="BodyText"/>
            </w:pPr>
            <w:r w:rsidRPr="00EE558F">
              <w:t>Insulation resistance testers</w:t>
            </w:r>
          </w:p>
          <w:p w:rsidR="00000000" w:rsidRPr="00EE558F" w:rsidP="00EE558F">
            <w:pPr>
              <w:pStyle w:val="BodyText"/>
            </w:pPr>
            <w:r w:rsidRPr="00EE558F">
              <w:t>Cable identification equipment</w:t>
            </w:r>
          </w:p>
          <w:p w:rsidR="00000000" w:rsidRPr="00EE558F" w:rsidP="00EE558F">
            <w:pPr>
              <w:pStyle w:val="BodyText"/>
            </w:pPr>
            <w:r w:rsidRPr="00EE558F">
              <w:t>Moisture testing equipment</w:t>
            </w:r>
          </w:p>
          <w:p w:rsidR="00000000" w:rsidRPr="00EE558F" w:rsidP="00EE558F">
            <w:pPr>
              <w:pStyle w:val="BodyText"/>
            </w:pPr>
            <w:r w:rsidRPr="00EE558F">
              <w:t>Phase rotation instruments</w:t>
            </w:r>
          </w:p>
          <w:p w:rsidR="00000000" w:rsidP="00EE558F">
            <w:pPr>
              <w:pStyle w:val="BodyText"/>
              <w:rPr>
                <w:lang w:val="en-NZ"/>
              </w:rPr>
            </w:pPr>
            <w:r w:rsidRPr="00EE558F">
              <w:t>Specialised live working equipment/tools</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Temporary earth bonding/bridging,</w:t>
            </w:r>
          </w:p>
          <w:p w:rsidR="00000000" w:rsidRPr="00EE558F" w:rsidP="00EE558F">
            <w:pPr>
              <w:pStyle w:val="BodyText"/>
            </w:pPr>
            <w:r w:rsidRPr="00EE558F">
              <w:t>Insulating covers/matting</w:t>
            </w:r>
          </w:p>
          <w:p w:rsidR="00000000" w:rsidP="00EE558F">
            <w:pPr>
              <w:pStyle w:val="BodyText"/>
              <w:rPr>
                <w:lang w:val="en-NZ"/>
              </w:rPr>
            </w:pPr>
            <w:r w:rsidRPr="00EE558F">
              <w:t>Insulating tooling/ gloves</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F">
            <w:pPr>
              <w:pStyle w:val="BodyText"/>
              <w:rPr>
                <w:lang w:val="en-NZ"/>
              </w:rPr>
            </w:pPr>
            <w:r w:rsidRPr="00EE558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F" w:rsidP="00EE558F">
            <w:pPr>
              <w:pStyle w:val="BodyText"/>
            </w:pPr>
            <w:r w:rsidRPr="00EE558F">
              <w:t xml:space="preserve">Dealing with an unplanned event by drawing on essential </w:t>
            </w:r>
            <w:r w:rsidRPr="00EE558F">
              <w:t xml:space="preserve">knowledge and associated skills to provide appropriate solutions incorporated in the holistic assessment with the above </w:t>
            </w:r>
            <w:r w:rsidRPr="00EE558F">
              <w:t>listed items.</w:t>
            </w:r>
          </w:p>
        </w:tc>
      </w:tr>
    </w:tbl>
    <w:p w:rsidR="00000000" w:rsidRPr="00EE558F" w:rsidP="00EE558F">
      <w:pPr>
        <w:pStyle w:val="BodyText"/>
      </w:pPr>
    </w:p>
    <w:tbl>
      <w:tblPr>
        <w:tblW w:w="0" w:type="auto"/>
        <w:tblLayout w:type="fixed"/>
        <w:tblCellMar>
          <w:left w:w="62" w:type="dxa"/>
          <w:right w:w="62" w:type="dxa"/>
        </w:tblCellMar>
        <w:tblLook w:val="0000"/>
      </w:tblPr>
      <w:tblGrid>
        <w:gridCol w:w="1890"/>
        <w:gridCol w:w="6570"/>
      </w:tblGrid>
      <w:tr w:rsidTr="005A5A8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9.3)</w:t>
            </w:r>
          </w:p>
        </w:tc>
      </w:tr>
      <w:tr w:rsidTr="005A5A8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This unit should be assessed as it relates to normal work practice using procedures, information and resources typical of a workplace. This should include:</w:t>
            </w:r>
          </w:p>
          <w:p w:rsidR="00000000" w:rsidRPr="00EE558F" w:rsidP="00EE558F">
            <w:pPr>
              <w:pStyle w:val="ListBullet"/>
            </w:pPr>
            <w:r w:rsidRPr="00EE558F">
              <w:t>OHS policy and work procedures and instructions.</w:t>
            </w:r>
          </w:p>
          <w:p w:rsidR="00000000" w:rsidRPr="00EE558F" w:rsidP="00EE558F">
            <w:pPr>
              <w:pStyle w:val="ListBullet"/>
            </w:pPr>
            <w:r w:rsidRPr="00EE558F">
              <w:t>Suitable work environment, facilities, equipment and materials to undertake actual work as prescribed by this Competency Standard Unit.</w:t>
            </w:r>
          </w:p>
          <w:p w:rsidR="00000000" w:rsidRPr="00EE558F" w:rsidP="00EE558F">
            <w:pPr>
              <w:pStyle w:val="BodyText"/>
            </w:pPr>
            <w:r w:rsidRPr="00EE558F">
              <w:t>In addition to the resources listed above, in context of and specific r</w:t>
            </w:r>
            <w:r w:rsidRPr="00EE558F">
              <w:t xml:space="preserve">esources for assessment, evidence should show demonstrated competency working below ground, in limited spaces, with different structural/construction types and method and in a variety of environments. </w:t>
            </w:r>
          </w:p>
        </w:tc>
      </w:tr>
    </w:tbl>
    <w:p w:rsidR="00000000" w:rsidRPr="00EE558F" w:rsidP="00EE558F">
      <w:pPr>
        <w:pStyle w:val="BodyText"/>
      </w:pPr>
    </w:p>
    <w:tbl>
      <w:tblPr>
        <w:tblW w:w="0" w:type="auto"/>
        <w:tblLayout w:type="fixed"/>
        <w:tblCellMar>
          <w:left w:w="62" w:type="dxa"/>
          <w:right w:w="62" w:type="dxa"/>
        </w:tblCellMar>
        <w:tblLook w:val="0000"/>
      </w:tblPr>
      <w:tblGrid>
        <w:gridCol w:w="1890"/>
        <w:gridCol w:w="6570"/>
      </w:tblGrid>
      <w:tr w:rsidTr="005A5A8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9.4)</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This Competency Standard Unit shall be assessed by methods given in Volume 1, Part 3 “Assessment Guidelines”.</w:t>
            </w:r>
          </w:p>
          <w:p w:rsidR="00000000" w:rsidRPr="00EE558F" w:rsidP="00EE558F">
            <w:pPr>
              <w:pStyle w:val="BodyText"/>
            </w:pPr>
            <w:r w:rsidRPr="00EE558F">
              <w:t>Note:</w:t>
            </w:r>
          </w:p>
          <w:p w:rsidR="00000000" w:rsidRPr="00EE558F" w:rsidP="00EE558F">
            <w:pPr>
              <w:pStyle w:val="BodyText"/>
            </w:pPr>
            <w:r w:rsidRPr="00EE558F">
              <w:t xml:space="preserve">Competent performance with inherent safe working practices is expected in the Industry to which this Competency Standard Unit applies. This </w:t>
            </w:r>
            <w:r w:rsidRPr="00EE558F">
              <w:t>requires that the specified essential knowledge and associated skills are assessed in a structured environment which is primarily intended for learning/assessment and incorporates all necessary equipment and facilities for learners to develop and demonstra</w:t>
            </w:r>
            <w:r w:rsidRPr="00EE558F">
              <w:t>te the essential knowledge and associated skills described in this unit.</w:t>
            </w:r>
          </w:p>
        </w:tc>
      </w:tr>
    </w:tbl>
    <w:p w:rsidR="00000000" w:rsidRPr="00EE558F" w:rsidP="00EE558F">
      <w:pPr>
        <w:pStyle w:val="BodyText"/>
      </w:pPr>
    </w:p>
    <w:tbl>
      <w:tblPr>
        <w:tblW w:w="0" w:type="auto"/>
        <w:tblLayout w:type="fixed"/>
        <w:tblCellMar>
          <w:left w:w="62" w:type="dxa"/>
          <w:right w:w="62" w:type="dxa"/>
        </w:tblCellMar>
        <w:tblLook w:val="0000"/>
      </w:tblPr>
      <w:tblGrid>
        <w:gridCol w:w="1890"/>
        <w:gridCol w:w="1530"/>
        <w:gridCol w:w="5040"/>
      </w:tblGrid>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9.5)</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For optimisation of training and assessment effort, competence in this unit may be assessed concurrently with the fo</w:t>
            </w:r>
            <w:r w:rsidRPr="00EE558F">
              <w:t xml:space="preserve">llowing units: </w:t>
            </w:r>
          </w:p>
        </w:tc>
      </w:tr>
      <w:tr w:rsidTr="005A5A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t>UETTDRCJ28A</w:t>
            </w:r>
          </w:p>
        </w:tc>
        <w:tc>
          <w:tcPr>
            <w:tcW w:w="504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 xml:space="preserve">Joint and maintain energised low voltage underground polymeric cables </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11" w:name="O_461675"/>
      <w:bookmarkEnd w:id="11"/>
      <w:r w:rsidRPr="00EE558F">
        <w:t>Range Statement</w:t>
      </w:r>
    </w:p>
    <w:tbl>
      <w:tblPr>
        <w:tblW w:w="0" w:type="auto"/>
        <w:tblLayout w:type="fixed"/>
        <w:tblCellMar>
          <w:left w:w="62" w:type="dxa"/>
          <w:right w:w="62" w:type="dxa"/>
        </w:tblCellMar>
        <w:tblLook w:val="0000"/>
      </w:tblPr>
      <w:tblGrid>
        <w:gridCol w:w="8460"/>
      </w:tblGrid>
      <w:tr w:rsidTr="005A5A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RANGE STATEMENT</w:t>
            </w:r>
          </w:p>
        </w:tc>
      </w:tr>
      <w:tr w:rsidTr="005A5A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10)</w:t>
            </w:r>
            <w:r w:rsidRPr="00EE558F">
              <w:t xml:space="preserve"> This relates to the unit of competency as a whole providing the range of contexts and conditions </w:t>
            </w:r>
            <w:r w:rsidRPr="00EE558F">
              <w:t>to which the performance criteria apply. It allows for different work environments and situations that will affect performance.</w:t>
            </w:r>
          </w:p>
          <w:p w:rsidR="00000000" w:rsidRPr="00EE558F" w:rsidP="00EE558F">
            <w:pPr>
              <w:pStyle w:val="BodyText"/>
            </w:pPr>
            <w:r w:rsidRPr="00EE558F">
              <w:t>This Competency Standard Unit shall be demonstrated in relation to the jointing and maintenance of energised low voltage undergr</w:t>
            </w:r>
            <w:r w:rsidRPr="00EE558F">
              <w:t>ound paper insulated cables and covers the jointing, repair and replacement of cables using specialised live working equipment, tools and devices.</w:t>
            </w:r>
          </w:p>
          <w:p w:rsidR="00000000" w:rsidRPr="00EE558F" w:rsidP="00EE558F">
            <w:pPr>
              <w:pStyle w:val="BodyText"/>
            </w:pPr>
            <w:r w:rsidRPr="00EE558F">
              <w:t>Installation and Maintenance may include the repair and replacement of cables and associated hardware.</w:t>
            </w:r>
          </w:p>
          <w:p w:rsidR="00000000" w:rsidRPr="00EE558F" w:rsidP="00EE558F">
            <w:pPr>
              <w:pStyle w:val="BodyText"/>
            </w:pPr>
            <w:r w:rsidRPr="00EE558F">
              <w:t xml:space="preserve">Types </w:t>
            </w:r>
            <w:r w:rsidRPr="00EE558F">
              <w:t>of cables includes: Paper-Insulated which refers to LV solid paper insulated metal sheathed.</w:t>
            </w:r>
          </w:p>
          <w:p w:rsidR="00000000" w:rsidRPr="00EE558F" w:rsidP="00EE558F">
            <w:pPr>
              <w:pStyle w:val="BodyText"/>
            </w:pPr>
            <w:r w:rsidRPr="00EE558F">
              <w:t xml:space="preserve">Underground equipment may include straight and branch joints, ring main units, distribution fuse boxes, pad mount and ground transformers, chamber substations, LV </w:t>
            </w:r>
            <w:r w:rsidRPr="00EE558F">
              <w:t>switchboards, pillars/turrets, busbar/termination boxes, street lighting control gear and street lighting columns.</w:t>
            </w:r>
          </w:p>
          <w:p w:rsidR="00000000" w:rsidRPr="00EE558F" w:rsidP="00EE558F">
            <w:pPr>
              <w:pStyle w:val="BodyText"/>
            </w:pPr>
            <w:r w:rsidRPr="00EE558F">
              <w:t>Test and recording equipment includes voltage detectors, tong ammeters, cable identification equipment and insulation resistance testers.</w:t>
            </w:r>
          </w:p>
          <w:p w:rsidR="00000000" w:rsidRPr="00EE558F" w:rsidP="00EE558F">
            <w:pPr>
              <w:pStyle w:val="BodyText"/>
            </w:pPr>
            <w:r w:rsidRPr="00EE558F">
              <w:t>Joi</w:t>
            </w:r>
            <w:r w:rsidRPr="00EE558F">
              <w:t>nting and terminating materials include compound and resin filled boxes, paper tape materials, polymeric tape materials, polymeric heat shrink materials, "slip-on" moulded components and pre-stretched polymeric materials, compression and solder lugs and fe</w:t>
            </w:r>
            <w:r w:rsidRPr="00EE558F">
              <w:t>rrules and mechanical connectors.</w:t>
            </w:r>
          </w:p>
          <w:p w:rsidR="00000000" w:rsidRPr="00EE558F" w:rsidP="00EE558F">
            <w:pPr>
              <w:pStyle w:val="BodyText"/>
            </w:pPr>
            <w:r w:rsidRPr="00EE558F">
              <w:t>Jointing and terminating locations include, ring main units, distribution fuse boxes, pad mount and ground transformers, chamber substations, LV switchboards, pillars/turrets, busbar/termination boxes, street lighting cont</w:t>
            </w:r>
            <w:r w:rsidRPr="00EE558F">
              <w:t>rol points and street lighting columns.</w:t>
            </w:r>
          </w:p>
          <w:p w:rsidR="00000000" w:rsidRPr="00EE558F" w:rsidP="00EE558F">
            <w:pPr>
              <w:pStyle w:val="BodyText"/>
            </w:pPr>
            <w:r w:rsidRPr="00EE558F">
              <w:t>The following constants and variables included in the element/performance criteria in this unit are fully described in the Definitions Section 1 of this volume and form an integral part of the Range Statement of this</w:t>
            </w:r>
            <w:r w:rsidRPr="00EE558F">
              <w:t xml:space="preserve"> unit:</w:t>
            </w:r>
          </w:p>
          <w:p w:rsidR="00000000" w:rsidRPr="00EE558F" w:rsidP="00EE558F">
            <w:pPr>
              <w:pStyle w:val="ListBullet3"/>
            </w:pPr>
            <w:r w:rsidRPr="00EE558F">
              <w:t>Appropriate and relevant persons (see Personnel)</w:t>
            </w:r>
          </w:p>
          <w:p w:rsidR="00000000" w:rsidRPr="00EE558F" w:rsidP="00EE558F">
            <w:pPr>
              <w:pStyle w:val="ListBullet3"/>
            </w:pPr>
            <w:r w:rsidRPr="00EE558F">
              <w:t xml:space="preserve">Appropriate authorities </w:t>
            </w:r>
          </w:p>
          <w:p w:rsidR="00000000" w:rsidRPr="00EE558F" w:rsidP="00EE558F">
            <w:pPr>
              <w:pStyle w:val="ListBullet3"/>
            </w:pPr>
            <w:r w:rsidRPr="00EE558F">
              <w:t>Appropriate work platform.</w:t>
            </w:r>
          </w:p>
          <w:p w:rsidR="00000000" w:rsidRPr="00EE558F" w:rsidP="00EE558F">
            <w:pPr>
              <w:pStyle w:val="ListBullet3"/>
            </w:pPr>
            <w:r w:rsidRPr="00EE558F">
              <w:t>Assessing risk</w:t>
            </w:r>
          </w:p>
          <w:p w:rsidR="00000000" w:rsidRPr="00EE558F" w:rsidP="00EE558F">
            <w:pPr>
              <w:pStyle w:val="ListBullet3"/>
            </w:pPr>
            <w:r w:rsidRPr="00EE558F">
              <w:t>Assessment</w:t>
            </w:r>
          </w:p>
          <w:p w:rsidR="00000000" w:rsidRPr="00EE558F" w:rsidP="00EE558F">
            <w:pPr>
              <w:pStyle w:val="ListBullet3"/>
            </w:pPr>
            <w:r w:rsidRPr="00EE558F">
              <w:t xml:space="preserve">Authorisation </w:t>
            </w:r>
          </w:p>
          <w:p w:rsidR="00000000" w:rsidRPr="00EE558F" w:rsidP="00EE558F">
            <w:pPr>
              <w:pStyle w:val="ListBullet3"/>
            </w:pPr>
            <w:r w:rsidRPr="00EE558F">
              <w:t>Confined space</w:t>
            </w:r>
          </w:p>
          <w:p w:rsidR="00000000" w:rsidRPr="00EE558F" w:rsidP="00EE558F">
            <w:pPr>
              <w:pStyle w:val="ListBullet3"/>
            </w:pPr>
            <w:r w:rsidRPr="00EE558F">
              <w:t>Diagnostic, testing and restoration.</w:t>
            </w:r>
          </w:p>
          <w:p w:rsidR="00000000" w:rsidRPr="00EE558F" w:rsidP="00EE558F">
            <w:pPr>
              <w:pStyle w:val="ListBullet3"/>
            </w:pPr>
            <w:r w:rsidRPr="00EE558F">
              <w:t>Documenting detail work events, record keeping and or storage of information.</w:t>
            </w:r>
          </w:p>
          <w:p w:rsidR="00000000" w:rsidRPr="00EE558F" w:rsidP="00EE558F">
            <w:pPr>
              <w:pStyle w:val="ListBullet3"/>
            </w:pPr>
            <w:r w:rsidRPr="00EE558F">
              <w:t xml:space="preserve">Drawings and specifications </w:t>
            </w:r>
          </w:p>
          <w:p w:rsidR="00000000" w:rsidRPr="00EE558F" w:rsidP="00EE558F">
            <w:pPr>
              <w:pStyle w:val="ListBullet3"/>
            </w:pPr>
            <w:r w:rsidRPr="00EE558F">
              <w:t>Emergency</w:t>
            </w:r>
          </w:p>
          <w:p w:rsidR="00000000" w:rsidRPr="00EE558F" w:rsidP="00EE558F">
            <w:pPr>
              <w:pStyle w:val="ListBullet3"/>
            </w:pPr>
            <w:r w:rsidRPr="00EE558F">
              <w:t>Environmental and sustainable energy procedures</w:t>
            </w:r>
          </w:p>
          <w:p w:rsidR="00000000" w:rsidRPr="00EE558F" w:rsidP="00EE558F">
            <w:pPr>
              <w:pStyle w:val="ListBullet3"/>
            </w:pPr>
            <w:r w:rsidRPr="00EE558F">
              <w:t>Environmental legislation.</w:t>
            </w:r>
          </w:p>
          <w:p w:rsidR="00000000" w:rsidRPr="00EE558F" w:rsidP="00EE558F">
            <w:pPr>
              <w:pStyle w:val="ListBullet3"/>
            </w:pPr>
            <w:r w:rsidRPr="00EE558F">
              <w:t>Environmental management documentation.</w:t>
            </w:r>
          </w:p>
          <w:p w:rsidR="00000000" w:rsidRPr="00EE558F" w:rsidP="00EE558F">
            <w:pPr>
              <w:pStyle w:val="ListBullet3"/>
            </w:pPr>
            <w:r w:rsidRPr="00EE558F">
              <w:t>Established procedures.</w:t>
            </w:r>
          </w:p>
          <w:p w:rsidR="00000000" w:rsidRPr="00EE558F" w:rsidP="00EE558F">
            <w:pPr>
              <w:pStyle w:val="ListBullet3"/>
            </w:pPr>
            <w:r w:rsidRPr="00EE558F">
              <w:t>Fall prevention</w:t>
            </w:r>
          </w:p>
          <w:p w:rsidR="00000000" w:rsidRPr="00EE558F" w:rsidP="00EE558F">
            <w:pPr>
              <w:pStyle w:val="ListBullet3"/>
            </w:pPr>
            <w:r w:rsidRPr="00EE558F">
              <w:t>Hazards</w:t>
            </w:r>
          </w:p>
          <w:p w:rsidR="00000000" w:rsidRPr="00EE558F" w:rsidP="00EE558F">
            <w:pPr>
              <w:pStyle w:val="ListBullet3"/>
            </w:pPr>
            <w:r w:rsidRPr="00EE558F">
              <w:t>Identifying hazards</w:t>
            </w:r>
          </w:p>
          <w:p w:rsidR="00000000" w:rsidRPr="00EE558F" w:rsidP="00EE558F">
            <w:pPr>
              <w:pStyle w:val="ListBullet3"/>
            </w:pPr>
            <w:r w:rsidRPr="00EE558F">
              <w:t>Inspect</w:t>
            </w:r>
          </w:p>
          <w:p w:rsidR="00000000" w:rsidRPr="00EE558F" w:rsidP="00EE558F">
            <w:pPr>
              <w:pStyle w:val="ListBullet3"/>
            </w:pPr>
            <w:r w:rsidRPr="00EE558F">
              <w:t>Legislation</w:t>
            </w:r>
          </w:p>
          <w:p w:rsidR="00000000" w:rsidRPr="00EE558F" w:rsidP="00EE558F">
            <w:pPr>
              <w:pStyle w:val="ListBullet3"/>
            </w:pPr>
            <w:r w:rsidRPr="00EE558F">
              <w:t>MSDS</w:t>
            </w:r>
          </w:p>
          <w:p w:rsidR="00000000" w:rsidRPr="00EE558F" w:rsidP="00EE558F">
            <w:pPr>
              <w:pStyle w:val="ListBullet3"/>
            </w:pPr>
            <w:r w:rsidRPr="00EE558F">
              <w:t>Notification.</w:t>
            </w:r>
          </w:p>
          <w:p w:rsidR="00000000" w:rsidRPr="00EE558F" w:rsidP="00EE558F">
            <w:pPr>
              <w:pStyle w:val="ListBullet3"/>
            </w:pPr>
            <w:r w:rsidRPr="00EE558F">
              <w:t>OHS practices</w:t>
            </w:r>
          </w:p>
          <w:p w:rsidR="00000000" w:rsidRPr="00EE558F" w:rsidP="00EE558F">
            <w:pPr>
              <w:pStyle w:val="ListBullet3"/>
            </w:pPr>
            <w:r w:rsidRPr="00EE558F">
              <w:t>OHS issues</w:t>
            </w:r>
          </w:p>
          <w:p w:rsidR="00000000" w:rsidRPr="00EE558F" w:rsidP="00EE558F">
            <w:pPr>
              <w:pStyle w:val="ListBullet3"/>
            </w:pPr>
            <w:r w:rsidRPr="00EE558F">
              <w:t>Permits and/or permits to work</w:t>
            </w:r>
          </w:p>
          <w:p w:rsidR="00000000" w:rsidRPr="00EE558F" w:rsidP="00EE558F">
            <w:pPr>
              <w:pStyle w:val="ListBullet3"/>
            </w:pPr>
            <w:r w:rsidRPr="00EE558F">
              <w:t>Personnel.</w:t>
            </w:r>
          </w:p>
          <w:p w:rsidR="00000000" w:rsidRPr="00EE558F" w:rsidP="00EE558F">
            <w:pPr>
              <w:pStyle w:val="ListBullet3"/>
            </w:pPr>
            <w:r w:rsidRPr="00EE558F">
              <w:t>Quality assurance systems.</w:t>
            </w:r>
          </w:p>
          <w:p w:rsidR="00000000" w:rsidRPr="00EE558F" w:rsidP="00EE558F">
            <w:pPr>
              <w:pStyle w:val="ListBullet3"/>
            </w:pPr>
            <w:r w:rsidRPr="00EE558F">
              <w:t>Requirements.</w:t>
            </w:r>
          </w:p>
          <w:p w:rsidR="00000000" w:rsidRPr="00EE558F" w:rsidP="00EE558F">
            <w:pPr>
              <w:pStyle w:val="ListBullet3"/>
            </w:pPr>
            <w:r w:rsidRPr="00EE558F">
              <w:t>Testing procedures</w:t>
            </w:r>
          </w:p>
          <w:p w:rsidR="00000000" w:rsidRPr="00EE558F" w:rsidP="00EE558F">
            <w:pPr>
              <w:pStyle w:val="ListBullet3"/>
            </w:pPr>
            <w:r w:rsidRPr="00EE558F">
              <w:t>Work clearance systems.</w:t>
            </w:r>
          </w:p>
        </w:tc>
      </w:tr>
    </w:tbl>
    <w:p w:rsidR="00000000" w:rsidRPr="00EE558F" w:rsidP="00EE558F">
      <w:pPr>
        <w:pStyle w:val="BodyText"/>
      </w:pPr>
    </w:p>
    <w:p w:rsidR="00000000" w:rsidRPr="00EE558F" w:rsidP="00EE558F">
      <w:pPr>
        <w:pStyle w:val="AllowPageBreak"/>
      </w:pPr>
    </w:p>
    <w:p w:rsidR="00000000" w:rsidRPr="00EE558F" w:rsidP="00EE558F">
      <w:pPr>
        <w:pStyle w:val="Heading1"/>
      </w:pPr>
      <w:bookmarkStart w:id="12" w:name="O_461678"/>
      <w:bookmarkEnd w:id="12"/>
      <w:r w:rsidRPr="00EE558F">
        <w:t>Unit Sector(s)</w:t>
      </w:r>
    </w:p>
    <w:p w:rsidR="00000000" w:rsidRPr="00EE558F" w:rsidP="00EE558F">
      <w:pPr>
        <w:pStyle w:val="BodyText"/>
      </w:pPr>
      <w:r w:rsidRPr="00EE558F">
        <w:t>Not applicable.</w:t>
      </w:r>
    </w:p>
    <w:p w:rsidR="00000000" w:rsidRPr="00EE558F" w:rsidP="00EE558F">
      <w:pPr>
        <w:pStyle w:val="AllowPageBreak"/>
      </w:pPr>
    </w:p>
    <w:p w:rsidR="00000000" w:rsidRPr="00EE558F" w:rsidP="00EE558F">
      <w:pPr>
        <w:pStyle w:val="Heading1"/>
      </w:pPr>
      <w:bookmarkStart w:id="13" w:name="O_461667"/>
      <w:bookmarkEnd w:id="13"/>
      <w:r w:rsidRPr="00EE558F">
        <w:t>Competency Field</w:t>
      </w:r>
    </w:p>
    <w:tbl>
      <w:tblPr>
        <w:tblW w:w="0" w:type="auto"/>
        <w:tblLayout w:type="fixed"/>
        <w:tblCellMar>
          <w:left w:w="62" w:type="dxa"/>
          <w:right w:w="62" w:type="dxa"/>
        </w:tblCellMar>
        <w:tblLook w:val="0000"/>
      </w:tblPr>
      <w:tblGrid>
        <w:gridCol w:w="2700"/>
        <w:gridCol w:w="5760"/>
      </w:tblGrid>
      <w:tr w:rsidTr="005A5A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558F">
            <w:pPr>
              <w:pStyle w:val="BodyText"/>
              <w:rPr>
                <w:lang w:val="en-NZ"/>
              </w:rPr>
            </w:pPr>
            <w:r w:rsidRPr="00EE558F">
              <w:rPr>
                <w:rStyle w:val="SpecialBold"/>
              </w:rPr>
              <w:t xml:space="preserve">11) </w:t>
            </w:r>
          </w:p>
        </w:tc>
      </w:tr>
      <w:tr w:rsidTr="005A5A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558F" w:rsidP="00EE558F">
            <w:pPr>
              <w:pStyle w:val="BodyText"/>
            </w:pPr>
            <w:r w:rsidRPr="00EE558F">
              <w:t>Cable Jointing</w:t>
            </w:r>
          </w:p>
        </w:tc>
      </w:tr>
    </w:tbl>
    <w:p w:rsidR="00000000" w:rsidRPr="00EE558F" w:rsidP="00EE558F">
      <w:pPr>
        <w:pStyle w:val="BodyText"/>
      </w:pPr>
    </w:p>
    <w:p w:rsidR="00000000" w:rsidRPr="00EE558F" w:rsidP="00EE558F"/>
    <w:sectPr w:rsidSect="00EE5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A8E" w:rsidP="005A5A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E" w:rsidP="00EE55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A5A8E" w:rsidP="00EE55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A5A8E" w:rsidP="00EE55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F" w:rsidRPr="005A5A8E" w:rsidP="005A5A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8E" w:rsidRPr="002D2AF8" w:rsidP="00EE558F">
    <w:pPr>
      <w:pStyle w:val="Header"/>
      <w:framePr w:wrap="around"/>
    </w:pPr>
    <w:r>
      <w:fldChar w:fldCharType="begin"/>
    </w:r>
    <w:r>
      <w:instrText xml:space="preserve"> TITLE   \* MERGEFORMAT </w:instrText>
    </w:r>
    <w:r>
      <w:fldChar w:fldCharType="separate"/>
    </w:r>
    <w:r>
      <w:t>UETTDRCJ24A Joint and maintain energised low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A5A8E" w:rsidP="00EE5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C5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09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84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58F"/>
    <w:pPr>
      <w:spacing w:before="360" w:after="60"/>
      <w:outlineLvl w:val="0"/>
    </w:pPr>
    <w:rPr>
      <w:sz w:val="32"/>
    </w:rPr>
  </w:style>
  <w:style w:type="paragraph" w:styleId="Heading2">
    <w:name w:val="heading 2"/>
    <w:basedOn w:val="HeadingBase"/>
    <w:next w:val="BodyText"/>
    <w:link w:val="Heading2Char"/>
    <w:qFormat/>
    <w:rsid w:val="00EE558F"/>
    <w:pPr>
      <w:keepLines/>
      <w:spacing w:before="240" w:after="120"/>
      <w:outlineLvl w:val="1"/>
    </w:pPr>
    <w:rPr>
      <w:sz w:val="28"/>
      <w:szCs w:val="40"/>
    </w:rPr>
  </w:style>
  <w:style w:type="paragraph" w:styleId="Heading3">
    <w:name w:val="heading 3"/>
    <w:basedOn w:val="HeadingBase"/>
    <w:next w:val="BodyText"/>
    <w:link w:val="Heading3Char"/>
    <w:qFormat/>
    <w:rsid w:val="00EE558F"/>
    <w:pPr>
      <w:spacing w:before="180" w:after="120"/>
      <w:outlineLvl w:val="2"/>
    </w:pPr>
    <w:rPr>
      <w:spacing w:val="-10"/>
      <w:kern w:val="32"/>
    </w:rPr>
  </w:style>
  <w:style w:type="paragraph" w:styleId="Heading4">
    <w:name w:val="heading 4"/>
    <w:basedOn w:val="HeadingBase"/>
    <w:next w:val="BodyText"/>
    <w:link w:val="Heading4Char"/>
    <w:qFormat/>
    <w:rsid w:val="00EE558F"/>
    <w:pPr>
      <w:spacing w:before="160" w:after="120"/>
      <w:outlineLvl w:val="3"/>
    </w:pPr>
    <w:rPr>
      <w:sz w:val="22"/>
    </w:rPr>
  </w:style>
  <w:style w:type="paragraph" w:styleId="Heading5">
    <w:name w:val="heading 5"/>
    <w:basedOn w:val="HeadingBase"/>
    <w:next w:val="Normal"/>
    <w:link w:val="Heading5Char"/>
    <w:qFormat/>
    <w:rsid w:val="00EE558F"/>
    <w:pPr>
      <w:spacing w:before="80"/>
      <w:outlineLvl w:val="4"/>
    </w:pPr>
    <w:rPr>
      <w:color w:val="918585"/>
      <w:sz w:val="20"/>
    </w:rPr>
  </w:style>
  <w:style w:type="paragraph" w:styleId="Heading6">
    <w:name w:val="heading 6"/>
    <w:basedOn w:val="HeadingBase"/>
    <w:next w:val="Normal"/>
    <w:link w:val="Heading6Char"/>
    <w:qFormat/>
    <w:rsid w:val="00EE558F"/>
    <w:pPr>
      <w:spacing w:before="60"/>
      <w:outlineLvl w:val="5"/>
    </w:pPr>
    <w:rPr>
      <w:color w:val="918585"/>
      <w:sz w:val="20"/>
    </w:rPr>
  </w:style>
  <w:style w:type="paragraph" w:styleId="Heading7">
    <w:name w:val="heading 7"/>
    <w:basedOn w:val="Normal"/>
    <w:next w:val="Normal"/>
    <w:link w:val="Heading7Char"/>
    <w:qFormat/>
    <w:rsid w:val="00EE558F"/>
    <w:pPr>
      <w:ind w:left="720"/>
      <w:outlineLvl w:val="6"/>
    </w:pPr>
    <w:rPr>
      <w:i/>
    </w:rPr>
  </w:style>
  <w:style w:type="paragraph" w:styleId="Heading8">
    <w:name w:val="heading 8"/>
    <w:basedOn w:val="Normal"/>
    <w:next w:val="Normal"/>
    <w:link w:val="Heading8Char"/>
    <w:qFormat/>
    <w:rsid w:val="00EE558F"/>
    <w:pPr>
      <w:ind w:left="720"/>
      <w:outlineLvl w:val="7"/>
    </w:pPr>
    <w:rPr>
      <w:i/>
    </w:rPr>
  </w:style>
  <w:style w:type="paragraph" w:styleId="Heading9">
    <w:name w:val="heading 9"/>
    <w:basedOn w:val="Normal"/>
    <w:next w:val="Normal"/>
    <w:link w:val="Heading9Char"/>
    <w:qFormat/>
    <w:rsid w:val="00EE558F"/>
    <w:pPr>
      <w:ind w:left="720"/>
      <w:outlineLvl w:val="8"/>
    </w:pPr>
    <w:rPr>
      <w:i/>
    </w:rPr>
  </w:style>
  <w:style w:type="character" w:default="1" w:styleId="DefaultParagraphFont">
    <w:name w:val="Default Paragraph Font"/>
    <w:uiPriority w:val="1"/>
    <w:unhideWhenUsed/>
    <w:rsid w:val="00EE5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58F"/>
  </w:style>
  <w:style w:type="character" w:customStyle="1" w:styleId="Heading1Char">
    <w:name w:val="Heading 1 Char"/>
    <w:basedOn w:val="DefaultParagraphFont"/>
    <w:link w:val="Heading1"/>
    <w:rsid w:val="00EE558F"/>
    <w:rPr>
      <w:rFonts w:ascii="Times New Roman" w:eastAsia="Times New Roman" w:hAnsi="Times New Roman" w:cs="Times New Roman"/>
      <w:b/>
      <w:sz w:val="32"/>
      <w:szCs w:val="20"/>
      <w:lang w:eastAsia="en-US"/>
    </w:rPr>
  </w:style>
  <w:style w:type="paragraph" w:styleId="BodyText">
    <w:name w:val="Body Text"/>
    <w:basedOn w:val="Normal"/>
    <w:link w:val="BodyTextChar"/>
    <w:rsid w:val="00EE55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58F"/>
    <w:rPr>
      <w:rFonts w:ascii="Times New Roman" w:eastAsia="Times New Roman" w:hAnsi="Times New Roman" w:cs="Times New Roman"/>
      <w:sz w:val="24"/>
      <w:lang w:eastAsia="en-US"/>
    </w:rPr>
  </w:style>
  <w:style w:type="paragraph" w:styleId="Footer">
    <w:name w:val="footer"/>
    <w:basedOn w:val="Normal"/>
    <w:link w:val="FooterChar"/>
    <w:rsid w:val="00EE5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58F"/>
    <w:rPr>
      <w:rFonts w:ascii="Times New Roman" w:eastAsia="Times New Roman" w:hAnsi="Times New Roman" w:cs="Times New Roman"/>
      <w:sz w:val="16"/>
      <w:lang w:eastAsia="en-US"/>
    </w:rPr>
  </w:style>
  <w:style w:type="paragraph" w:styleId="ListBullet">
    <w:name w:val="List Bullet"/>
    <w:basedOn w:val="List"/>
    <w:rsid w:val="00EE558F"/>
    <w:pPr>
      <w:numPr>
        <w:numId w:val="14"/>
      </w:numPr>
      <w:tabs>
        <w:tab w:val="clear" w:pos="340"/>
      </w:tabs>
      <w:spacing w:before="40" w:after="40"/>
    </w:pPr>
  </w:style>
  <w:style w:type="character" w:customStyle="1" w:styleId="SpecialBold">
    <w:name w:val="Special Bold"/>
    <w:basedOn w:val="DefaultParagraphFont"/>
    <w:rsid w:val="00EE558F"/>
    <w:rPr>
      <w:b/>
      <w:spacing w:val="0"/>
    </w:rPr>
  </w:style>
  <w:style w:type="paragraph" w:styleId="ListBullet2">
    <w:name w:val="List Bullet 2"/>
    <w:basedOn w:val="List2"/>
    <w:rsid w:val="00EE558F"/>
    <w:pPr>
      <w:numPr>
        <w:numId w:val="15"/>
      </w:numPr>
      <w:tabs>
        <w:tab w:val="clear" w:pos="680"/>
      </w:tabs>
    </w:pPr>
  </w:style>
  <w:style w:type="paragraph" w:customStyle="1" w:styleId="SuperHeading">
    <w:name w:val="SuperHeading"/>
    <w:basedOn w:val="Normal"/>
    <w:rsid w:val="00EE558F"/>
    <w:pPr>
      <w:spacing w:before="240" w:after="120"/>
      <w:outlineLvl w:val="0"/>
    </w:pPr>
    <w:rPr>
      <w:rFonts w:ascii="Times New Roman" w:hAnsi="Times New Roman"/>
      <w:b/>
      <w:sz w:val="28"/>
    </w:rPr>
  </w:style>
  <w:style w:type="paragraph" w:customStyle="1" w:styleId="AllowPageBreak">
    <w:name w:val="AllowPageBreak"/>
    <w:rsid w:val="00EE55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558F"/>
    <w:pPr>
      <w:numPr>
        <w:numId w:val="3"/>
      </w:numPr>
      <w:tabs>
        <w:tab w:val="clear" w:pos="1021"/>
      </w:tabs>
      <w:ind w:left="1037" w:hanging="357"/>
    </w:pPr>
  </w:style>
  <w:style w:type="character" w:customStyle="1" w:styleId="Heading2Char">
    <w:name w:val="Heading 2 Char"/>
    <w:basedOn w:val="DefaultParagraphFont"/>
    <w:link w:val="Heading2"/>
    <w:rsid w:val="00EE5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58F"/>
    <w:rPr>
      <w:rFonts w:ascii="Courier New" w:eastAsia="Times New Roman" w:hAnsi="Courier New" w:cs="Times New Roman"/>
      <w:i/>
      <w:szCs w:val="20"/>
      <w:lang w:eastAsia="en-US"/>
    </w:rPr>
  </w:style>
  <w:style w:type="paragraph" w:customStyle="1" w:styleId="HeadingBase">
    <w:name w:val="Heading Base"/>
    <w:rsid w:val="00EE5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58F"/>
    <w:pPr>
      <w:tabs>
        <w:tab w:val="right" w:leader="dot" w:pos="9072"/>
      </w:tabs>
      <w:ind w:left="567"/>
    </w:pPr>
    <w:rPr>
      <w:szCs w:val="22"/>
    </w:rPr>
  </w:style>
  <w:style w:type="paragraph" w:customStyle="1" w:styleId="TOCBase">
    <w:name w:val="TOC Base"/>
    <w:rsid w:val="00EE5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58F"/>
    <w:pPr>
      <w:tabs>
        <w:tab w:val="right" w:leader="dot" w:pos="9072"/>
      </w:tabs>
      <w:spacing w:before="40" w:after="40"/>
      <w:ind w:left="284"/>
    </w:pPr>
    <w:rPr>
      <w:rFonts w:ascii="Times New Roman" w:hAnsi="Times New Roman"/>
    </w:rPr>
  </w:style>
  <w:style w:type="paragraph" w:styleId="TOC1">
    <w:name w:val="toc 1"/>
    <w:basedOn w:val="TOCBase"/>
    <w:next w:val="Normal"/>
    <w:rsid w:val="00EE55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58F"/>
    <w:pPr>
      <w:spacing w:before="5040"/>
      <w:jc w:val="center"/>
    </w:pPr>
    <w:rPr>
      <w:sz w:val="48"/>
      <w:szCs w:val="72"/>
      <w:lang w:val="en-US"/>
    </w:rPr>
  </w:style>
  <w:style w:type="character" w:customStyle="1" w:styleId="TitleChar">
    <w:name w:val="Title Char"/>
    <w:basedOn w:val="DefaultParagraphFont"/>
    <w:link w:val="Title"/>
    <w:rsid w:val="00EE5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58F"/>
    <w:pPr>
      <w:tabs>
        <w:tab w:val="left" w:pos="3600"/>
        <w:tab w:val="left" w:pos="3958"/>
      </w:tabs>
    </w:pPr>
  </w:style>
  <w:style w:type="paragraph" w:styleId="List">
    <w:name w:val="List"/>
    <w:basedOn w:val="BodyText"/>
    <w:next w:val="BodyText"/>
    <w:rsid w:val="00EE558F"/>
    <w:pPr>
      <w:tabs>
        <w:tab w:val="left" w:pos="340"/>
      </w:tabs>
      <w:spacing w:before="60" w:after="60"/>
      <w:ind w:left="340" w:hanging="340"/>
    </w:pPr>
  </w:style>
  <w:style w:type="paragraph" w:customStyle="1" w:styleId="Note">
    <w:name w:val="Note"/>
    <w:basedOn w:val="BodyText"/>
    <w:rsid w:val="00EE5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58F"/>
    <w:pPr>
      <w:framePr w:wrap="auto" w:hAnchor="text" w:y="6049"/>
    </w:pPr>
    <w:rPr>
      <w:color w:val="000000"/>
      <w:sz w:val="40"/>
    </w:rPr>
  </w:style>
  <w:style w:type="paragraph" w:customStyle="1" w:styleId="TOCTitle">
    <w:name w:val="TOCTitle"/>
    <w:basedOn w:val="Heading1"/>
    <w:rsid w:val="00EE558F"/>
    <w:pPr>
      <w:spacing w:after="240"/>
      <w:jc w:val="center"/>
      <w:outlineLvl w:val="9"/>
    </w:pPr>
    <w:rPr>
      <w:caps/>
    </w:rPr>
  </w:style>
  <w:style w:type="paragraph" w:customStyle="1" w:styleId="Version">
    <w:name w:val="Version"/>
    <w:rsid w:val="00EE5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58F"/>
    <w:pPr>
      <w:keepNext w:val="0"/>
      <w:tabs>
        <w:tab w:val="right" w:pos="4176"/>
      </w:tabs>
      <w:ind w:left="198" w:hanging="198"/>
    </w:pPr>
    <w:rPr>
      <w:rFonts w:ascii="Garamond" w:hAnsi="Garamond"/>
    </w:rPr>
  </w:style>
  <w:style w:type="paragraph" w:styleId="IndexHeading">
    <w:name w:val="index heading"/>
    <w:basedOn w:val="Normal"/>
    <w:next w:val="Index1"/>
    <w:semiHidden/>
    <w:rsid w:val="00EE558F"/>
    <w:pPr>
      <w:spacing w:before="120" w:after="120"/>
    </w:pPr>
    <w:rPr>
      <w:rFonts w:ascii="Arial" w:hAnsi="Arial"/>
      <w:b/>
      <w:color w:val="918585"/>
      <w:sz w:val="24"/>
    </w:rPr>
  </w:style>
  <w:style w:type="paragraph" w:styleId="Header">
    <w:name w:val="header"/>
    <w:basedOn w:val="Normal"/>
    <w:link w:val="HeaderChar"/>
    <w:rsid w:val="00EE5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58F"/>
    <w:rPr>
      <w:rFonts w:ascii="Times New Roman" w:eastAsia="Times New Roman" w:hAnsi="Times New Roman" w:cs="Times New Roman"/>
      <w:sz w:val="16"/>
      <w:szCs w:val="20"/>
      <w:lang w:val="en-GB" w:eastAsia="en-US"/>
    </w:rPr>
  </w:style>
  <w:style w:type="paragraph" w:customStyle="1" w:styleId="Chapter">
    <w:name w:val="Chapter"/>
    <w:basedOn w:val="Normal"/>
    <w:rsid w:val="00EE558F"/>
    <w:pPr>
      <w:spacing w:before="240"/>
    </w:pPr>
    <w:rPr>
      <w:rFonts w:ascii="Times New Roman" w:hAnsi="Times New Roman"/>
      <w:smallCaps/>
      <w:spacing w:val="80"/>
      <w:sz w:val="28"/>
    </w:rPr>
  </w:style>
  <w:style w:type="paragraph" w:customStyle="1" w:styleId="InChapter">
    <w:name w:val="InChapter"/>
    <w:basedOn w:val="Heading3"/>
    <w:rsid w:val="00EE558F"/>
    <w:pPr>
      <w:spacing w:after="240"/>
      <w:outlineLvl w:val="9"/>
    </w:pPr>
    <w:rPr>
      <w:noProof/>
    </w:rPr>
  </w:style>
  <w:style w:type="paragraph" w:styleId="Index2">
    <w:name w:val="index 2"/>
    <w:basedOn w:val="Normal"/>
    <w:next w:val="Normal"/>
    <w:semiHidden/>
    <w:rsid w:val="00EE558F"/>
    <w:pPr>
      <w:tabs>
        <w:tab w:val="right" w:pos="4176"/>
      </w:tabs>
      <w:ind w:left="568" w:hanging="284"/>
    </w:pPr>
    <w:rPr>
      <w:rFonts w:ascii="Garamond" w:hAnsi="Garamond"/>
    </w:rPr>
  </w:style>
  <w:style w:type="paragraph" w:customStyle="1" w:styleId="Byline">
    <w:name w:val="Byline"/>
    <w:rsid w:val="00EE5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58F"/>
    <w:pPr>
      <w:tabs>
        <w:tab w:val="clear" w:pos="3600"/>
        <w:tab w:val="clear" w:pos="3958"/>
      </w:tabs>
      <w:jc w:val="right"/>
    </w:pPr>
  </w:style>
  <w:style w:type="character" w:styleId="Emphasis">
    <w:name w:val="Emphasis"/>
    <w:basedOn w:val="DefaultParagraphFont"/>
    <w:qFormat/>
    <w:rsid w:val="00EE558F"/>
    <w:rPr>
      <w:i/>
    </w:rPr>
  </w:style>
  <w:style w:type="paragraph" w:styleId="Caption">
    <w:name w:val="caption"/>
    <w:basedOn w:val="BodyText"/>
    <w:next w:val="Normal"/>
    <w:qFormat/>
    <w:rsid w:val="00EE558F"/>
    <w:pPr>
      <w:framePr w:w="2268" w:hSpace="181" w:vSpace="181" w:wrap="around" w:vAnchor="text" w:hAnchor="page" w:x="1135" w:y="285" w:anchorLock="1"/>
    </w:pPr>
    <w:rPr>
      <w:i/>
    </w:rPr>
  </w:style>
  <w:style w:type="paragraph" w:customStyle="1" w:styleId="MiniTOCTitle">
    <w:name w:val="MiniTOCTitle"/>
    <w:basedOn w:val="Heading4"/>
    <w:rsid w:val="00EE558F"/>
    <w:pPr>
      <w:spacing w:before="240"/>
      <w:outlineLvl w:val="9"/>
    </w:pPr>
    <w:rPr>
      <w:noProof/>
      <w:sz w:val="24"/>
    </w:rPr>
  </w:style>
  <w:style w:type="paragraph" w:customStyle="1" w:styleId="MiniTOCItem">
    <w:name w:val="MiniTOCItem"/>
    <w:basedOn w:val="ListBullet"/>
    <w:rsid w:val="00EE558F"/>
    <w:pPr>
      <w:numPr>
        <w:numId w:val="0"/>
      </w:numPr>
      <w:tabs>
        <w:tab w:val="right" w:leader="dot" w:pos="6521"/>
      </w:tabs>
      <w:spacing w:before="0" w:after="0"/>
    </w:pPr>
  </w:style>
  <w:style w:type="paragraph" w:customStyle="1" w:styleId="TOFTitle">
    <w:name w:val="TOFTitle"/>
    <w:basedOn w:val="TOCTitle"/>
    <w:rsid w:val="00EE558F"/>
  </w:style>
  <w:style w:type="paragraph" w:styleId="TableofFigures">
    <w:name w:val="table of figures"/>
    <w:basedOn w:val="Normal"/>
    <w:next w:val="Normal"/>
    <w:semiHidden/>
    <w:rsid w:val="00EE558F"/>
    <w:pPr>
      <w:tabs>
        <w:tab w:val="right" w:leader="dot" w:pos="9072"/>
      </w:tabs>
      <w:ind w:left="970" w:hanging="403"/>
    </w:pPr>
    <w:rPr>
      <w:rFonts w:ascii="Times New Roman" w:hAnsi="Times New Roman"/>
      <w:b/>
    </w:rPr>
  </w:style>
  <w:style w:type="paragraph" w:styleId="ListNumber">
    <w:name w:val="List Number"/>
    <w:basedOn w:val="List"/>
    <w:rsid w:val="00EE558F"/>
    <w:pPr>
      <w:numPr>
        <w:numId w:val="12"/>
      </w:numPr>
    </w:pPr>
  </w:style>
  <w:style w:type="character" w:customStyle="1" w:styleId="WingdingSymbols">
    <w:name w:val="Wingding Symbols"/>
    <w:rsid w:val="00EE558F"/>
    <w:rPr>
      <w:rFonts w:ascii="Wingdings" w:hAnsi="Wingdings"/>
    </w:rPr>
  </w:style>
  <w:style w:type="paragraph" w:customStyle="1" w:styleId="TableHeading">
    <w:name w:val="Table Heading"/>
    <w:basedOn w:val="HeadingBase"/>
    <w:rsid w:val="00EE558F"/>
    <w:pPr>
      <w:keepLines/>
      <w:pBdr>
        <w:bottom w:val="single" w:sz="6" w:space="1" w:color="918585"/>
      </w:pBdr>
      <w:spacing w:before="240"/>
    </w:pPr>
  </w:style>
  <w:style w:type="character" w:customStyle="1" w:styleId="HotSpot">
    <w:name w:val="HotSpot"/>
    <w:rsid w:val="00EE558F"/>
    <w:rPr>
      <w:color w:val="0033CC"/>
      <w:u w:val="none"/>
    </w:rPr>
  </w:style>
  <w:style w:type="paragraph" w:customStyle="1" w:styleId="BodyTextRight">
    <w:name w:val="Body Text Right"/>
    <w:basedOn w:val="BodyText"/>
    <w:rsid w:val="00EE558F"/>
    <w:pPr>
      <w:spacing w:before="0" w:after="0"/>
      <w:jc w:val="right"/>
    </w:pPr>
  </w:style>
  <w:style w:type="paragraph" w:styleId="Index3">
    <w:name w:val="index 3"/>
    <w:basedOn w:val="ListNumber2"/>
    <w:next w:val="Normal"/>
    <w:semiHidden/>
    <w:rsid w:val="00EE558F"/>
    <w:pPr>
      <w:numPr>
        <w:numId w:val="0"/>
      </w:numPr>
      <w:tabs>
        <w:tab w:val="right" w:leader="dot" w:pos="4176"/>
      </w:tabs>
    </w:pPr>
  </w:style>
  <w:style w:type="paragraph" w:styleId="ListNumber2">
    <w:name w:val="List Number 2"/>
    <w:basedOn w:val="List2"/>
    <w:rsid w:val="00EE558F"/>
    <w:pPr>
      <w:numPr>
        <w:numId w:val="11"/>
      </w:numPr>
      <w:tabs>
        <w:tab w:val="clear" w:pos="1060"/>
      </w:tabs>
    </w:pPr>
  </w:style>
  <w:style w:type="paragraph" w:customStyle="1" w:styleId="MarginNote">
    <w:name w:val="Margin Note"/>
    <w:basedOn w:val="BodyText"/>
    <w:rsid w:val="00EE5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58F"/>
    <w:rPr>
      <w:sz w:val="32"/>
    </w:rPr>
  </w:style>
  <w:style w:type="paragraph" w:customStyle="1" w:styleId="HeadingProcedure">
    <w:name w:val="Heading Procedure"/>
    <w:basedOn w:val="HeadingBase"/>
    <w:next w:val="Normal"/>
    <w:rsid w:val="00EE558F"/>
    <w:pPr>
      <w:tabs>
        <w:tab w:val="left" w:pos="0"/>
      </w:tabs>
      <w:spacing w:before="120" w:after="60"/>
    </w:pPr>
    <w:rPr>
      <w:i/>
      <w:color w:val="918585"/>
      <w:sz w:val="22"/>
    </w:rPr>
  </w:style>
  <w:style w:type="paragraph" w:customStyle="1" w:styleId="TableBodyText">
    <w:name w:val="Table Body Text"/>
    <w:basedOn w:val="BodyText"/>
    <w:rsid w:val="00EE558F"/>
    <w:pPr>
      <w:spacing w:before="60" w:after="60"/>
    </w:pPr>
  </w:style>
  <w:style w:type="paragraph" w:styleId="ListContinue">
    <w:name w:val="List Continue"/>
    <w:basedOn w:val="List"/>
    <w:rsid w:val="00EE558F"/>
    <w:pPr>
      <w:ind w:firstLine="0"/>
    </w:pPr>
  </w:style>
  <w:style w:type="paragraph" w:customStyle="1" w:styleId="ListNote">
    <w:name w:val="List Note"/>
    <w:basedOn w:val="List"/>
    <w:rsid w:val="00EE558F"/>
    <w:pPr>
      <w:pBdr>
        <w:top w:val="single" w:sz="6" w:space="2" w:color="918585"/>
        <w:bottom w:val="single" w:sz="6" w:space="2" w:color="918585"/>
      </w:pBdr>
      <w:tabs>
        <w:tab w:val="left" w:pos="1021"/>
      </w:tabs>
      <w:ind w:firstLine="0"/>
    </w:pPr>
  </w:style>
  <w:style w:type="paragraph" w:customStyle="1" w:styleId="Warning">
    <w:name w:val="Warning"/>
    <w:basedOn w:val="BodyText"/>
    <w:rsid w:val="00EE558F"/>
    <w:pPr>
      <w:shd w:val="clear" w:color="auto" w:fill="D9D9D9"/>
      <w:tabs>
        <w:tab w:val="left" w:pos="992"/>
      </w:tabs>
      <w:ind w:left="119" w:right="119"/>
    </w:pPr>
    <w:rPr>
      <w:sz w:val="20"/>
    </w:rPr>
  </w:style>
  <w:style w:type="paragraph" w:customStyle="1" w:styleId="MarginIcons">
    <w:name w:val="Margin Icons"/>
    <w:basedOn w:val="BodyText"/>
    <w:rsid w:val="00EE5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58F"/>
    <w:rPr>
      <w:rFonts w:ascii="Courier New" w:hAnsi="Courier New"/>
    </w:rPr>
  </w:style>
  <w:style w:type="paragraph" w:customStyle="1" w:styleId="NoteBullet">
    <w:name w:val="Note Bullet"/>
    <w:basedOn w:val="Note"/>
    <w:rsid w:val="00EE558F"/>
    <w:pPr>
      <w:tabs>
        <w:tab w:val="clear" w:pos="680"/>
      </w:tabs>
      <w:spacing w:before="60" w:after="60"/>
    </w:pPr>
  </w:style>
  <w:style w:type="paragraph" w:customStyle="1" w:styleId="SubHeading2">
    <w:name w:val="SubHeading2"/>
    <w:basedOn w:val="HeadingBase"/>
    <w:rsid w:val="00EE558F"/>
    <w:pPr>
      <w:spacing w:before="240" w:after="60"/>
    </w:pPr>
    <w:rPr>
      <w:sz w:val="20"/>
    </w:rPr>
  </w:style>
  <w:style w:type="paragraph" w:customStyle="1" w:styleId="SubHeading1">
    <w:name w:val="SubHeading1"/>
    <w:basedOn w:val="HeadingBase"/>
    <w:rsid w:val="00EE558F"/>
    <w:pPr>
      <w:spacing w:before="240" w:after="60"/>
    </w:pPr>
    <w:rPr>
      <w:color w:val="918585"/>
      <w:sz w:val="22"/>
    </w:rPr>
  </w:style>
  <w:style w:type="paragraph" w:customStyle="1" w:styleId="SideHeading">
    <w:name w:val="Side Heading"/>
    <w:basedOn w:val="HeadingBase"/>
    <w:rsid w:val="00EE5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58F"/>
    <w:pPr>
      <w:numPr>
        <w:numId w:val="13"/>
      </w:numPr>
    </w:pPr>
  </w:style>
  <w:style w:type="paragraph" w:styleId="PlainText">
    <w:name w:val="Plain Text"/>
    <w:basedOn w:val="Normal"/>
    <w:link w:val="PlainTextChar"/>
    <w:rsid w:val="00EE558F"/>
    <w:rPr>
      <w:sz w:val="20"/>
    </w:rPr>
  </w:style>
  <w:style w:type="character" w:customStyle="1" w:styleId="PlainTextChar">
    <w:name w:val="Plain Text Char"/>
    <w:basedOn w:val="DefaultParagraphFont"/>
    <w:link w:val="PlainText"/>
    <w:rsid w:val="00EE558F"/>
    <w:rPr>
      <w:rFonts w:ascii="Courier New" w:eastAsia="Times New Roman" w:hAnsi="Courier New" w:cs="Times New Roman"/>
      <w:sz w:val="20"/>
      <w:szCs w:val="20"/>
      <w:lang w:eastAsia="en-US"/>
    </w:rPr>
  </w:style>
  <w:style w:type="character" w:customStyle="1" w:styleId="MenuOption">
    <w:name w:val="Menu Option"/>
    <w:basedOn w:val="DefaultParagraphFont"/>
    <w:rsid w:val="00EE558F"/>
    <w:rPr>
      <w:b/>
      <w:smallCaps/>
    </w:rPr>
  </w:style>
  <w:style w:type="paragraph" w:customStyle="1" w:styleId="TableListNumber">
    <w:name w:val="Table List Number"/>
    <w:basedOn w:val="ListNumber"/>
    <w:rsid w:val="00EE558F"/>
    <w:pPr>
      <w:numPr>
        <w:numId w:val="0"/>
      </w:numPr>
    </w:pPr>
  </w:style>
  <w:style w:type="paragraph" w:styleId="TOC4">
    <w:name w:val="toc 4"/>
    <w:basedOn w:val="TOCBase"/>
    <w:next w:val="Normal"/>
    <w:semiHidden/>
    <w:rsid w:val="00EE558F"/>
    <w:pPr>
      <w:tabs>
        <w:tab w:val="right" w:leader="dot" w:pos="9071"/>
      </w:tabs>
      <w:ind w:left="1701"/>
    </w:pPr>
  </w:style>
  <w:style w:type="paragraph" w:customStyle="1" w:styleId="ListAlpha">
    <w:name w:val="List Alpha"/>
    <w:basedOn w:val="List"/>
    <w:rsid w:val="00EE558F"/>
    <w:pPr>
      <w:numPr>
        <w:numId w:val="10"/>
      </w:numPr>
    </w:pPr>
  </w:style>
  <w:style w:type="paragraph" w:customStyle="1" w:styleId="ListAlpha2">
    <w:name w:val="List Alpha 2"/>
    <w:basedOn w:val="List2"/>
    <w:rsid w:val="00EE558F"/>
    <w:pPr>
      <w:numPr>
        <w:numId w:val="9"/>
      </w:numPr>
    </w:pPr>
  </w:style>
  <w:style w:type="paragraph" w:styleId="List2">
    <w:name w:val="List 2"/>
    <w:basedOn w:val="BodyText"/>
    <w:rsid w:val="00EE558F"/>
    <w:pPr>
      <w:tabs>
        <w:tab w:val="left" w:pos="680"/>
      </w:tabs>
      <w:spacing w:before="60" w:after="60"/>
      <w:ind w:left="680" w:hanging="340"/>
    </w:pPr>
  </w:style>
  <w:style w:type="paragraph" w:styleId="List3">
    <w:name w:val="List 3"/>
    <w:basedOn w:val="BodyText"/>
    <w:rsid w:val="00EE558F"/>
    <w:pPr>
      <w:tabs>
        <w:tab w:val="left" w:pos="1021"/>
      </w:tabs>
      <w:spacing w:before="60" w:after="60"/>
      <w:ind w:left="1020" w:hanging="340"/>
    </w:pPr>
  </w:style>
  <w:style w:type="paragraph" w:styleId="List4">
    <w:name w:val="List 4"/>
    <w:basedOn w:val="BodyText"/>
    <w:rsid w:val="00EE558F"/>
    <w:pPr>
      <w:tabs>
        <w:tab w:val="left" w:pos="1361"/>
      </w:tabs>
      <w:spacing w:before="60" w:after="60"/>
      <w:ind w:left="1361" w:hanging="340"/>
    </w:pPr>
  </w:style>
  <w:style w:type="paragraph" w:styleId="List5">
    <w:name w:val="List 5"/>
    <w:basedOn w:val="BodyText"/>
    <w:rsid w:val="00EE558F"/>
    <w:pPr>
      <w:tabs>
        <w:tab w:val="left" w:pos="1701"/>
      </w:tabs>
      <w:spacing w:before="60" w:after="60"/>
      <w:ind w:left="1701" w:hanging="340"/>
    </w:pPr>
  </w:style>
  <w:style w:type="paragraph" w:styleId="ListBullet4">
    <w:name w:val="List Bullet 4"/>
    <w:basedOn w:val="List4"/>
    <w:rsid w:val="00EE558F"/>
    <w:pPr>
      <w:numPr>
        <w:numId w:val="4"/>
      </w:numPr>
    </w:pPr>
  </w:style>
  <w:style w:type="paragraph" w:styleId="ListBullet5">
    <w:name w:val="List Bullet 5"/>
    <w:basedOn w:val="List5"/>
    <w:rsid w:val="00EE558F"/>
    <w:pPr>
      <w:numPr>
        <w:numId w:val="5"/>
      </w:numPr>
    </w:pPr>
  </w:style>
  <w:style w:type="paragraph" w:styleId="ListContinue2">
    <w:name w:val="List Continue 2"/>
    <w:basedOn w:val="List2"/>
    <w:rsid w:val="00EE558F"/>
    <w:pPr>
      <w:ind w:firstLine="0"/>
    </w:pPr>
  </w:style>
  <w:style w:type="paragraph" w:styleId="ListContinue3">
    <w:name w:val="List Continue 3"/>
    <w:basedOn w:val="List3"/>
    <w:rsid w:val="00EE558F"/>
    <w:pPr>
      <w:ind w:left="1021" w:firstLine="0"/>
    </w:pPr>
  </w:style>
  <w:style w:type="paragraph" w:styleId="ListContinue4">
    <w:name w:val="List Continue 4"/>
    <w:basedOn w:val="List4"/>
    <w:rsid w:val="00EE558F"/>
    <w:pPr>
      <w:ind w:firstLine="0"/>
    </w:pPr>
  </w:style>
  <w:style w:type="paragraph" w:styleId="ListContinue5">
    <w:name w:val="List Continue 5"/>
    <w:basedOn w:val="List5"/>
    <w:rsid w:val="00EE558F"/>
    <w:pPr>
      <w:ind w:firstLine="0"/>
    </w:pPr>
  </w:style>
  <w:style w:type="paragraph" w:styleId="ListNumber3">
    <w:name w:val="List Number 3"/>
    <w:basedOn w:val="List3"/>
    <w:rsid w:val="00EE558F"/>
    <w:pPr>
      <w:numPr>
        <w:numId w:val="6"/>
      </w:numPr>
    </w:pPr>
  </w:style>
  <w:style w:type="paragraph" w:styleId="ListNumber4">
    <w:name w:val="List Number 4"/>
    <w:basedOn w:val="List4"/>
    <w:rsid w:val="00EE558F"/>
    <w:pPr>
      <w:numPr>
        <w:numId w:val="7"/>
      </w:numPr>
    </w:pPr>
  </w:style>
  <w:style w:type="paragraph" w:styleId="ListNumber5">
    <w:name w:val="List Number 5"/>
    <w:basedOn w:val="List5"/>
    <w:rsid w:val="00EE558F"/>
    <w:pPr>
      <w:numPr>
        <w:numId w:val="8"/>
      </w:numPr>
    </w:pPr>
  </w:style>
  <w:style w:type="paragraph" w:styleId="BlockText">
    <w:name w:val="Block Text"/>
    <w:basedOn w:val="Normal"/>
    <w:rsid w:val="00EE558F"/>
    <w:pPr>
      <w:spacing w:after="120"/>
      <w:ind w:left="1440" w:right="1440"/>
    </w:pPr>
  </w:style>
  <w:style w:type="character" w:customStyle="1" w:styleId="Subscript">
    <w:name w:val="Subscript"/>
    <w:basedOn w:val="DefaultParagraphFont"/>
    <w:rsid w:val="00EE558F"/>
    <w:rPr>
      <w:sz w:val="16"/>
      <w:vertAlign w:val="subscript"/>
    </w:rPr>
  </w:style>
  <w:style w:type="character" w:customStyle="1" w:styleId="Superscript">
    <w:name w:val="Superscript"/>
    <w:basedOn w:val="DefaultParagraphFont"/>
    <w:rsid w:val="00EE558F"/>
    <w:rPr>
      <w:sz w:val="16"/>
      <w:vertAlign w:val="superscript"/>
    </w:rPr>
  </w:style>
  <w:style w:type="character" w:customStyle="1" w:styleId="Symbols">
    <w:name w:val="Symbols"/>
    <w:basedOn w:val="DefaultParagraphFont"/>
    <w:rsid w:val="00EE558F"/>
    <w:rPr>
      <w:rFonts w:ascii="Symbol" w:hAnsi="Symbol"/>
    </w:rPr>
  </w:style>
  <w:style w:type="character" w:customStyle="1" w:styleId="MenuOptions">
    <w:name w:val="Menu Options"/>
    <w:basedOn w:val="DefaultParagraphFont"/>
    <w:rsid w:val="00EE558F"/>
    <w:rPr>
      <w:rFonts w:ascii="Arial Narrow" w:hAnsi="Arial Narrow"/>
      <w:smallCaps/>
    </w:rPr>
  </w:style>
  <w:style w:type="character" w:customStyle="1" w:styleId="Buttons">
    <w:name w:val="Buttons"/>
    <w:basedOn w:val="DefaultParagraphFont"/>
    <w:rsid w:val="00EE558F"/>
    <w:rPr>
      <w:b/>
    </w:rPr>
  </w:style>
  <w:style w:type="character" w:customStyle="1" w:styleId="Underlined">
    <w:name w:val="Underlined"/>
    <w:basedOn w:val="DefaultParagraphFont"/>
    <w:rsid w:val="00EE558F"/>
    <w:rPr>
      <w:u w:val="single"/>
    </w:rPr>
  </w:style>
  <w:style w:type="paragraph" w:customStyle="1" w:styleId="TableBodyTextRight">
    <w:name w:val="Table Body Text Right"/>
    <w:basedOn w:val="TableBodyText"/>
    <w:rsid w:val="00EE558F"/>
    <w:pPr>
      <w:widowControl w:val="0"/>
      <w:autoSpaceDE w:val="0"/>
      <w:autoSpaceDN w:val="0"/>
      <w:adjustRightInd w:val="0"/>
      <w:jc w:val="right"/>
    </w:pPr>
    <w:rPr>
      <w:rFonts w:cs="Arial"/>
      <w:szCs w:val="18"/>
    </w:rPr>
  </w:style>
  <w:style w:type="paragraph" w:customStyle="1" w:styleId="CopyrightText">
    <w:name w:val="Copyright Text"/>
    <w:basedOn w:val="BodyText"/>
    <w:rsid w:val="00EE558F"/>
    <w:rPr>
      <w:sz w:val="18"/>
    </w:rPr>
  </w:style>
  <w:style w:type="paragraph" w:customStyle="1" w:styleId="BodySmallRight">
    <w:name w:val="Body Small Right"/>
    <w:basedOn w:val="BodyTextRight"/>
    <w:rsid w:val="00EE558F"/>
    <w:rPr>
      <w:sz w:val="18"/>
      <w:szCs w:val="18"/>
    </w:rPr>
  </w:style>
  <w:style w:type="paragraph" w:customStyle="1" w:styleId="MarginEdition">
    <w:name w:val="Margin Edition"/>
    <w:basedOn w:val="MarginNote"/>
    <w:rsid w:val="00EE558F"/>
    <w:pPr>
      <w:spacing w:before="0" w:after="0"/>
    </w:pPr>
    <w:rPr>
      <w:rFonts w:ascii="Times New Roman" w:hAnsi="Times New Roman"/>
      <w:color w:val="999999"/>
    </w:rPr>
  </w:style>
  <w:style w:type="paragraph" w:customStyle="1" w:styleId="Spacer">
    <w:name w:val="Spacer"/>
    <w:basedOn w:val="Normal"/>
    <w:rsid w:val="00EE558F"/>
    <w:rPr>
      <w:sz w:val="2"/>
      <w:szCs w:val="2"/>
    </w:rPr>
  </w:style>
  <w:style w:type="character" w:customStyle="1" w:styleId="Small">
    <w:name w:val="Small"/>
    <w:basedOn w:val="DefaultParagraphFont"/>
    <w:rsid w:val="00EE558F"/>
    <w:rPr>
      <w:sz w:val="16"/>
    </w:rPr>
  </w:style>
  <w:style w:type="paragraph" w:customStyle="1" w:styleId="WideTable">
    <w:name w:val="Wide Table"/>
    <w:basedOn w:val="Normal"/>
    <w:rsid w:val="00EE558F"/>
    <w:pPr>
      <w:ind w:left="-1418"/>
    </w:pPr>
    <w:rPr>
      <w:sz w:val="2"/>
      <w:szCs w:val="2"/>
    </w:rPr>
  </w:style>
  <w:style w:type="character" w:styleId="PageNumber">
    <w:name w:val="page number"/>
    <w:basedOn w:val="DefaultParagraphFont"/>
    <w:rsid w:val="00EE558F"/>
  </w:style>
  <w:style w:type="paragraph" w:styleId="Quote">
    <w:name w:val="Quote"/>
    <w:basedOn w:val="Heading1"/>
    <w:link w:val="QuoteChar"/>
    <w:qFormat/>
    <w:rsid w:val="00EE558F"/>
    <w:rPr>
      <w:b w:val="0"/>
      <w:sz w:val="72"/>
      <w:szCs w:val="72"/>
      <w:lang w:val="en-NZ"/>
    </w:rPr>
  </w:style>
  <w:style w:type="character" w:customStyle="1" w:styleId="QuoteChar">
    <w:name w:val="Quote Char"/>
    <w:basedOn w:val="DefaultParagraphFont"/>
    <w:link w:val="Quote"/>
    <w:rsid w:val="00EE5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58F"/>
    <w:pPr>
      <w:pageBreakBefore/>
    </w:pPr>
  </w:style>
  <w:style w:type="paragraph" w:customStyle="1" w:styleId="Border">
    <w:name w:val="Border"/>
    <w:basedOn w:val="Normal"/>
    <w:qFormat/>
    <w:rsid w:val="00EE5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58F"/>
    <w:rPr>
      <w:b/>
      <w:bCs/>
      <w:i/>
      <w:iCs/>
      <w:color w:val="auto"/>
    </w:rPr>
  </w:style>
  <w:style w:type="paragraph" w:styleId="IntenseQuote">
    <w:name w:val="Intense Quote"/>
    <w:basedOn w:val="Normal"/>
    <w:next w:val="Normal"/>
    <w:link w:val="IntenseQuoteChar"/>
    <w:uiPriority w:val="30"/>
    <w:qFormat/>
    <w:rsid w:val="00EE5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58F"/>
    <w:rPr>
      <w:smallCaps/>
      <w:color w:val="auto"/>
      <w:u w:val="single"/>
    </w:rPr>
  </w:style>
  <w:style w:type="character" w:styleId="IntenseReference">
    <w:name w:val="Intense Reference"/>
    <w:basedOn w:val="DefaultParagraphFont"/>
    <w:uiPriority w:val="32"/>
    <w:qFormat/>
    <w:rsid w:val="00EE558F"/>
    <w:rPr>
      <w:b/>
      <w:bCs/>
      <w:smallCaps/>
      <w:color w:val="auto"/>
      <w:spacing w:val="5"/>
      <w:u w:val="single"/>
    </w:rPr>
  </w:style>
  <w:style w:type="paragraph" w:customStyle="1" w:styleId="2ColumnHeading">
    <w:name w:val="2Column Heading"/>
    <w:basedOn w:val="BodyText"/>
    <w:qFormat/>
    <w:rsid w:val="00EE558F"/>
    <w:pPr>
      <w:spacing w:after="60"/>
      <w:ind w:left="-2268"/>
    </w:pPr>
    <w:rPr>
      <w:b/>
    </w:rPr>
  </w:style>
  <w:style w:type="paragraph" w:customStyle="1" w:styleId="Heading1TOC">
    <w:name w:val="Heading1 TOC"/>
    <w:basedOn w:val="Normal"/>
    <w:qFormat/>
    <w:rsid w:val="00EE558F"/>
    <w:pPr>
      <w:spacing w:before="240" w:after="120"/>
    </w:pPr>
    <w:rPr>
      <w:rFonts w:ascii="Times New Roman" w:hAnsi="Times New Roman"/>
      <w:b/>
      <w:sz w:val="32"/>
    </w:rPr>
  </w:style>
  <w:style w:type="paragraph" w:customStyle="1" w:styleId="Heading2TOC">
    <w:name w:val="Heading2 TOC"/>
    <w:basedOn w:val="Normal"/>
    <w:qFormat/>
    <w:rsid w:val="00EE558F"/>
    <w:pPr>
      <w:spacing w:before="240" w:after="60"/>
    </w:pPr>
    <w:rPr>
      <w:rFonts w:ascii="Times New Roman" w:hAnsi="Times New Roman"/>
      <w:b/>
      <w:sz w:val="28"/>
    </w:rPr>
  </w:style>
  <w:style w:type="character" w:customStyle="1" w:styleId="Underline">
    <w:name w:val="Underline"/>
    <w:basedOn w:val="DefaultParagraphFont"/>
    <w:qFormat/>
    <w:rsid w:val="00EE558F"/>
    <w:rPr>
      <w:u w:val="single"/>
    </w:rPr>
  </w:style>
  <w:style w:type="character" w:customStyle="1" w:styleId="BoldandItalics">
    <w:name w:val="Bold and Italics"/>
    <w:qFormat/>
    <w:rsid w:val="00EE558F"/>
    <w:rPr>
      <w:b/>
      <w:i/>
      <w:u w:val="none"/>
    </w:rPr>
  </w:style>
  <w:style w:type="paragraph" w:styleId="BalloonText">
    <w:name w:val="Balloon Text"/>
    <w:basedOn w:val="Normal"/>
    <w:link w:val="BalloonTextChar"/>
    <w:rsid w:val="00EE558F"/>
    <w:rPr>
      <w:rFonts w:ascii="Tahoma" w:hAnsi="Tahoma" w:cs="Tahoma"/>
      <w:sz w:val="16"/>
      <w:szCs w:val="16"/>
    </w:rPr>
  </w:style>
  <w:style w:type="character" w:customStyle="1" w:styleId="BalloonTextChar">
    <w:name w:val="Balloon Text Char"/>
    <w:basedOn w:val="DefaultParagraphFont"/>
    <w:link w:val="BalloonText"/>
    <w:rsid w:val="00EE5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5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58F"/>
    <w:rPr>
      <w:b/>
      <w:color w:val="660033"/>
      <w:spacing w:val="0"/>
    </w:rPr>
  </w:style>
  <w:style w:type="paragraph" w:customStyle="1" w:styleId="Nameditemlist">
    <w:name w:val="Named item list"/>
    <w:basedOn w:val="BodyText"/>
    <w:qFormat/>
    <w:rsid w:val="00EE55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2771</Words>
  <Characters>17456</Characters>
  <Application>Microsoft Office Word</Application>
  <DocSecurity>0</DocSecurity>
  <Lines>736</Lines>
  <Paragraphs>300</Paragraphs>
  <ScaleCrop>false</ScaleCrop>
  <Company>Author-it Software Corporation Ltd.</Company>
  <LinksUpToDate>false</LinksUpToDate>
  <CharactersWithSpaces>19995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UETTDRCJ24A Joint and maintain energised low voltage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2012-10-11T22:57:00Z</dcterms:created>
  <dcterms:modified xsi:type="dcterms:W3CDTF">2012-10-11T22:57:00Z</dcterms:modified>
</cp:coreProperties>
</file>