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944" w:rsidP="00476944">
      <w:pPr>
        <w:pStyle w:val="Title"/>
      </w:pPr>
      <w:bookmarkStart w:id="0" w:name="_GoBack"/>
      <w:bookmarkEnd w:id="0"/>
      <w:r>
        <w:fldChar w:fldCharType="begin"/>
      </w:r>
      <w:r>
        <w:instrText xml:space="preserve"> TITLE   \* MERGEFORMAT </w:instrText>
      </w:r>
      <w:r>
        <w:fldChar w:fldCharType="separate"/>
      </w:r>
      <w:r>
        <w:t>UETTDRCJ22A Install and maintain de-energised low voltage underground paper insulated cables</w:t>
      </w:r>
      <w:r>
        <w:fldChar w:fldCharType="end"/>
      </w:r>
    </w:p>
    <w:p w:rsidR="00476944" w:rsidP="00476944">
      <w:pPr>
        <w:pStyle w:val="Version"/>
        <w:sectPr w:rsidSect="00BD0E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E11" w:rsidP="00BD0E11">
      <w:pPr>
        <w:pStyle w:val="SuperHeading"/>
      </w:pPr>
      <w:r w:rsidRPr="00BD0E11">
        <w:t>UETTDRCJ22A Install and maintain de-energised low voltage underground paper insulated cables</w:t>
      </w:r>
    </w:p>
    <w:p w:rsidR="00000000" w:rsidRPr="00BD0E11" w:rsidP="00BD0E11">
      <w:pPr>
        <w:pStyle w:val="Heading1"/>
      </w:pPr>
      <w:bookmarkStart w:id="1" w:name="O_461572"/>
      <w:bookmarkEnd w:id="1"/>
      <w:r w:rsidRPr="00BD0E11">
        <w:t>Modification History</w:t>
      </w:r>
    </w:p>
    <w:p w:rsidR="00000000" w:rsidRPr="00BD0E11" w:rsidP="00BD0E11">
      <w:pPr>
        <w:pStyle w:val="BodyText"/>
      </w:pPr>
      <w:r w:rsidRPr="00BD0E11">
        <w:t>Not applicable.</w:t>
      </w:r>
    </w:p>
    <w:p w:rsidR="00000000" w:rsidRPr="00BD0E11" w:rsidP="00BD0E11">
      <w:pPr>
        <w:pStyle w:val="AllowPageBreak"/>
      </w:pPr>
    </w:p>
    <w:p w:rsidR="00000000" w:rsidRPr="00BD0E11" w:rsidP="00BD0E11">
      <w:pPr>
        <w:pStyle w:val="Heading1"/>
      </w:pPr>
      <w:bookmarkStart w:id="2" w:name="O_461570"/>
      <w:bookmarkEnd w:id="2"/>
      <w:r w:rsidRPr="00BD0E11">
        <w:t>Uni</w:t>
      </w:r>
      <w:r w:rsidRPr="00BD0E11">
        <w:t>t Descriptor</w:t>
      </w:r>
    </w:p>
    <w:tbl>
      <w:tblPr>
        <w:tblW w:w="0" w:type="auto"/>
        <w:tblLayout w:type="fixed"/>
        <w:tblCellMar>
          <w:left w:w="62" w:type="dxa"/>
          <w:right w:w="62" w:type="dxa"/>
        </w:tblCellMar>
        <w:tblLook w:val="0000"/>
      </w:tblPr>
      <w:tblGrid>
        <w:gridCol w:w="2700"/>
        <w:gridCol w:w="5760"/>
      </w:tblGrid>
      <w:tr w:rsidTr="004769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1)</w:t>
            </w:r>
            <w:r w:rsidRPr="00BD0E11">
              <w:t xml:space="preserve"> </w:t>
            </w:r>
            <w:r w:rsidRPr="00BD0E11">
              <w:rPr>
                <w:rStyle w:val="SpecialBold"/>
              </w:rPr>
              <w:t>Scope:</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0E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1.1) Descriptor</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 xml:space="preserve">This Competency Standard Unit covers the installation and maintenance of de-energised low voltage underground paper insulated cables and covers </w:t>
            </w:r>
            <w:r w:rsidRPr="00BD0E11">
              <w:t>the jointing, terminating, repair and replacement of cables. It includes the isolation of systems and circuits, the procedure of issuing/accepting electrical access permits, the undertaking of pre-commissioning tests and the updating of system data/mainten</w:t>
            </w:r>
            <w:r w:rsidRPr="00BD0E11">
              <w:t>ance records.</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3" w:name="O_461559"/>
      <w:bookmarkEnd w:id="3"/>
      <w:r w:rsidRPr="00BD0E11">
        <w:t>Application of the Unit</w:t>
      </w:r>
    </w:p>
    <w:tbl>
      <w:tblPr>
        <w:tblW w:w="0" w:type="auto"/>
        <w:tblLayout w:type="fixed"/>
        <w:tblCellMar>
          <w:left w:w="62" w:type="dxa"/>
          <w:right w:w="62" w:type="dxa"/>
        </w:tblCellMar>
        <w:tblLook w:val="0000"/>
      </w:tblPr>
      <w:tblGrid>
        <w:gridCol w:w="2672"/>
        <w:gridCol w:w="5699"/>
      </w:tblGrid>
      <w:tr w:rsidTr="004769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2)</w:t>
            </w:r>
          </w:p>
        </w:tc>
      </w:tr>
      <w:tr w:rsidTr="004769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This Competency Standard Unit is intended to augment formally acquired competencies. It is suitable for employment-based programs under an approved contract of training.</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4" w:name="O_461566"/>
      <w:bookmarkEnd w:id="4"/>
      <w:r w:rsidRPr="00BD0E11">
        <w:t>Licensing/Regulatory Information</w:t>
      </w:r>
    </w:p>
    <w:tbl>
      <w:tblPr>
        <w:tblW w:w="0" w:type="auto"/>
        <w:tblLayout w:type="fixed"/>
        <w:tblCellMar>
          <w:left w:w="62" w:type="dxa"/>
          <w:right w:w="62" w:type="dxa"/>
        </w:tblCellMar>
        <w:tblLook w:val="0000"/>
      </w:tblPr>
      <w:tblGrid>
        <w:gridCol w:w="2700"/>
        <w:gridCol w:w="5760"/>
      </w:tblGrid>
      <w:tr w:rsidTr="004769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 xml:space="preserve">3) </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The skills and knowledge described in this unit may require a licence/registration to practice in the work place subject to regulations for undertaking of electrical work. Practi</w:t>
            </w:r>
            <w:r w:rsidRPr="00BD0E11">
              <w:t xml:space="preserve">ce in workplace and during training is also subject to regulations directly related to Occupational Health and Safety, electricity/telecommunications/gas/water industry safety and compliance, industrial relations, environmental </w:t>
            </w:r>
            <w:r w:rsidRPr="00BD0E11">
              <w:t>protection, anti discriminat</w:t>
            </w:r>
            <w:r w:rsidRPr="00BD0E11">
              <w:t>ion and training. Commonwealth, State/Territory or Local Government legislation and regulations may exist that limits the age of operating certain equipment.</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5" w:name="O_461567"/>
      <w:bookmarkEnd w:id="5"/>
      <w:r w:rsidRPr="00BD0E11">
        <w:t>Pre-Requisites</w:t>
      </w:r>
    </w:p>
    <w:tbl>
      <w:tblPr>
        <w:tblW w:w="0" w:type="auto"/>
        <w:tblLayout w:type="fixed"/>
        <w:tblCellMar>
          <w:left w:w="62" w:type="dxa"/>
          <w:right w:w="62" w:type="dxa"/>
        </w:tblCellMar>
        <w:tblLook w:val="0000"/>
      </w:tblPr>
      <w:tblGrid>
        <w:gridCol w:w="2705"/>
        <w:gridCol w:w="1980"/>
        <w:gridCol w:w="3780"/>
        <w:gridCol w:w="15"/>
      </w:tblGrid>
      <w:tr w:rsidTr="00476944">
        <w:tblPrEx>
          <w:tblW w:w="0" w:type="auto"/>
          <w:tblLayout w:type="fixed"/>
          <w:tblCellMar>
            <w:left w:w="62" w:type="dxa"/>
            <w:right w:w="62" w:type="dxa"/>
          </w:tblCellMar>
          <w:tblLook w:val="0000"/>
        </w:tblPrEx>
        <w:trPr>
          <w:gridAfter w:val="1"/>
          <w:wAfter w:w="15" w:type="dxa"/>
          <w:tblHeader/>
        </w:trPr>
        <w:tc>
          <w:tcPr>
            <w:tcW w:w="2705"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 xml:space="preserve">4)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4.1)</w:t>
            </w:r>
          </w:p>
        </w:tc>
      </w:tr>
      <w:tr w:rsidTr="00476944">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Granting of competency in this unit shall be made only after competency in the following unit(s) has/have been confirmed.</w:t>
            </w:r>
          </w:p>
          <w:p w:rsidR="00000000" w:rsidRPr="00BD0E11" w:rsidP="00BD0E11">
            <w:pPr>
              <w:pStyle w:val="BodyText"/>
            </w:pPr>
            <w:r w:rsidRPr="00BD0E11">
              <w:t xml:space="preserve">Where pre-requisite pathways have been identified. All competencies in the Common Unit Group must be have been completed plus all the </w:t>
            </w:r>
            <w:r w:rsidRPr="00BD0E11">
              <w:t>competencies in one (1) of the identified Pathway Unit Group(s):</w:t>
            </w:r>
          </w:p>
          <w:p w:rsidR="00000000" w:rsidP="00BD0E11">
            <w:pPr>
              <w:pStyle w:val="BodyText"/>
              <w:rPr>
                <w:lang w:val="en-NZ"/>
              </w:rPr>
            </w:pPr>
            <w:r w:rsidRPr="00BD0E11">
              <w:t>Common Unit Group</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Unit Code</w:t>
            </w:r>
            <w:r w:rsidRPr="00BD0E11">
              <w:tab/>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Unit Title</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Apply Occupational Health and Safety regulations, codes and practices in the workplace</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Fabricate, assemble and dismantle utilities industry components</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Solve problems in d.c. Circuits</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Fix and secure electrotechnology equipment</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Use drawings, diagrams, schedules, standards, codes and specifications</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w:t>
            </w:r>
            <w:r w:rsidRPr="00BD0E11">
              <w:t>ENEEG101A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Solve problems in electromagnetic devices and related circuits</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Solve problems in low voltage a.c. Circuits</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Lay ESI electrical cables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Install and maintain de-energised low voltage underground polymeric cables.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Install and maintain de-energised high voltage underground polymeric cables.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Apply sustainable energy and environmental procedures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Operate plant and equipment near live electrical conductors and apparatus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Working safely near live electrical apparatus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 xml:space="preserve">Install network infrastructure electrical equipment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BD0E11">
            <w:pPr>
              <w:pStyle w:val="BodyText"/>
              <w:rPr>
                <w:lang w:val="en-NZ"/>
              </w:rPr>
            </w:pPr>
            <w:r w:rsidRPr="00BD0E11">
              <w:t>Maintain network infrastructure electri</w:t>
            </w:r>
            <w:r w:rsidRPr="00BD0E11">
              <w:t xml:space="preserve">cal equipment </w:t>
            </w:r>
          </w:p>
        </w:tc>
      </w:tr>
      <w:tr w:rsidTr="00476944">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BD0E11" w:rsidP="00BD0E11">
            <w:pPr>
              <w:pStyle w:val="BodyText"/>
            </w:pPr>
            <w:r w:rsidRPr="00BD0E11">
              <w:t xml:space="preserve">Install and maintain low voltage underground services </w:t>
            </w:r>
          </w:p>
        </w:tc>
      </w:tr>
    </w:tbl>
    <w:p w:rsidR="00000000" w:rsidRPr="00BD0E11" w:rsidP="00BD0E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7694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 xml:space="preserve">4.2) </w:t>
            </w:r>
          </w:p>
        </w:tc>
      </w:tr>
      <w:tr w:rsidTr="00476944">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Participants are best equipped to achieve this unit if they have reading, writing and numeracy skills indicated by the following scales. Description of each scale is given in Volume 2, Part 3 “Literacy and Numeracy”.</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Reading</w:t>
            </w:r>
          </w:p>
        </w:tc>
        <w:tc>
          <w:tcPr>
            <w:tcW w:w="81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w:t>
            </w:r>
          </w:p>
        </w:tc>
        <w:tc>
          <w:tcPr>
            <w:tcW w:w="99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Writing</w:t>
            </w:r>
          </w:p>
        </w:tc>
        <w:tc>
          <w:tcPr>
            <w:tcW w:w="90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w:t>
            </w:r>
          </w:p>
        </w:tc>
        <w:tc>
          <w:tcPr>
            <w:tcW w:w="12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Numeracy</w:t>
            </w:r>
          </w:p>
        </w:tc>
        <w:tc>
          <w:tcPr>
            <w:tcW w:w="72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3</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6" w:name="O_461563"/>
      <w:bookmarkEnd w:id="6"/>
      <w:r w:rsidRPr="00BD0E11">
        <w:t>Employability Skills Information</w:t>
      </w:r>
    </w:p>
    <w:tbl>
      <w:tblPr>
        <w:tblW w:w="0" w:type="auto"/>
        <w:tblLayout w:type="fixed"/>
        <w:tblCellMar>
          <w:left w:w="62" w:type="dxa"/>
          <w:right w:w="62" w:type="dxa"/>
        </w:tblCellMar>
        <w:tblLook w:val="0000"/>
      </w:tblPr>
      <w:tblGrid>
        <w:gridCol w:w="2700"/>
        <w:gridCol w:w="5760"/>
      </w:tblGrid>
      <w:tr w:rsidTr="004769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 xml:space="preserve">5) </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 xml:space="preserve">The required outcomes described in this unit of competency contain applicable facets of Employability Skills. The Employability Skills Summary of the qualification in which this </w:t>
            </w:r>
            <w:r w:rsidRPr="00BD0E11">
              <w:t>unit of competency is packaged will assist in identifying Employability Skill requirements.</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7" w:name="O_461562"/>
      <w:bookmarkEnd w:id="7"/>
      <w:r w:rsidRPr="00BD0E11">
        <w:t>Elements and Performance Criteria Pre-Content</w:t>
      </w:r>
    </w:p>
    <w:tbl>
      <w:tblPr>
        <w:tblW w:w="0" w:type="auto"/>
        <w:tblLayout w:type="fixed"/>
        <w:tblCellMar>
          <w:left w:w="62" w:type="dxa"/>
          <w:right w:w="62" w:type="dxa"/>
        </w:tblCellMar>
        <w:tblLook w:val="0000"/>
      </w:tblPr>
      <w:tblGrid>
        <w:gridCol w:w="2700"/>
        <w:gridCol w:w="5760"/>
      </w:tblGrid>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6)</w:t>
            </w:r>
            <w:r w:rsidRPr="00BD0E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Performance Criteria describe the required performance needed to demonstrate achievement of the element. Assessment of performance is to be consistent with the Evidence Guide.</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8" w:name="O_461561"/>
      <w:bookmarkEnd w:id="8"/>
      <w:r w:rsidRPr="00BD0E11">
        <w:t>Elements and Performance Criteria</w:t>
      </w:r>
    </w:p>
    <w:tbl>
      <w:tblPr>
        <w:tblW w:w="0" w:type="auto"/>
        <w:tblLayout w:type="fixed"/>
        <w:tblCellMar>
          <w:left w:w="62" w:type="dxa"/>
          <w:right w:w="62" w:type="dxa"/>
        </w:tblCellMar>
        <w:tblLook w:val="0000"/>
      </w:tblPr>
      <w:tblGrid>
        <w:gridCol w:w="405"/>
        <w:gridCol w:w="2300"/>
        <w:gridCol w:w="902"/>
        <w:gridCol w:w="4858"/>
      </w:tblGrid>
      <w:tr w:rsidTr="00476944">
        <w:tblPrEx>
          <w:tblW w:w="0" w:type="auto"/>
          <w:tblLayout w:type="fixed"/>
          <w:tblCellMar>
            <w:left w:w="62" w:type="dxa"/>
            <w:right w:w="62" w:type="dxa"/>
          </w:tblCellMar>
          <w:tblLook w:val="0000"/>
        </w:tblPrEx>
        <w:trPr>
          <w:tblHeader/>
        </w:trPr>
        <w:tc>
          <w:tcPr>
            <w:tcW w:w="2705" w:type="dxa"/>
            <w:gridSpan w:val="2"/>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PERFORMANCE CRITER</w:t>
            </w:r>
            <w:r w:rsidRPr="00BD0E11">
              <w:rPr>
                <w:rStyle w:val="SpecialBold"/>
              </w:rPr>
              <w:t>IA</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w:t>
            </w:r>
          </w:p>
        </w:tc>
        <w:tc>
          <w:tcPr>
            <w:tcW w:w="2300" w:type="dxa"/>
            <w:vMerge w:val="restart"/>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Prepare for the installation and maintenance of de-energised LV underground paper insulated cables</w:t>
            </w: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1.1</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 xml:space="preserve">Works schedule(s), including drawings, plans, requirements, established procedures, and material lists, are received, analysed and confirmed, </w:t>
            </w:r>
            <w:r w:rsidRPr="00BD0E11">
              <w:t>if necessary, by site inspection</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1.2</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Relevant requirements and established procedures for the work are communicated to all personnel and identified for all work sites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1.3</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OHS policies and procedur</w:t>
            </w:r>
            <w:r w:rsidRPr="00BD0E11">
              <w:t>es related to requirements and established procedures for the installation and maintenance of de-energised LV underground paper insulated cables are obtained and confirmed for the purposes of the work to be performed and communicated</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1.4</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Work is priorit</w:t>
            </w:r>
            <w:r w:rsidRPr="00BD0E11">
              <w:t>ised and sequenced following consultation with others for completion within acceptable timeframes and in accordance with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1.5</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Hazards are identified, OHS risks assessed and control measures are prioritised, implemented and monitore</w:t>
            </w:r>
            <w:r w:rsidRPr="00BD0E11">
              <w:t>d including emergency exits kept clear according to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1.6</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Relevant work permits are obtained to access and perform work according to requirements and/or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1.7</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Resources including personnel, equipment, tools and personal protective equipment required for the job are obtained and confirmed in working order.</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1.8</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 xml:space="preserve">Relevant personnel at work site are confirmed current in First Aid and other related work procedures </w:t>
            </w:r>
            <w:r w:rsidRPr="00BD0E11">
              <w:t>according to requirements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1.9</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Liaison and communication issues with other/authorised personnel, authorities, clients and land owners are resolved to carry out work where necessary.</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1.10</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Site is prepared according to the work schedule and to minimise</w:t>
            </w:r>
            <w:r w:rsidRPr="00BD0E11">
              <w:t xml:space="preserve"> risk and damage to property, commerce, and individuals in accordance with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1.11</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Personnel participating in the work, including plant operators and contractors, are fully briefed and respective responsibilities confirmed where appl</w:t>
            </w:r>
            <w:r w:rsidRPr="00BD0E11">
              <w:t>icable in accordance with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1.12</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Traffic management plan is identified and implemented.</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w:t>
            </w:r>
          </w:p>
        </w:tc>
        <w:tc>
          <w:tcPr>
            <w:tcW w:w="2300" w:type="dxa"/>
            <w:vMerge w:val="restart"/>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Carry out installation and maintenance of de-energised LV underground paper insulated cables</w:t>
            </w: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2.1</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OHS, sustainable energy and environmental pr</w:t>
            </w:r>
            <w:r w:rsidRPr="00BD0E11">
              <w:t>inciples and practices to reduce the incidents of accidents and minimise waste are monitored and followed in accordance with requirements and/or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2.2</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Lifting, climbing, working in confined spaces and aloft, and use of power tools/equipment, techniques and practices are safely followed and, currency according to requirements confirmed</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2.3</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Systems and circuits are isolated as required, proved safe to w</w:t>
            </w:r>
            <w:r w:rsidRPr="00BD0E11">
              <w:t>ork on in accordance with the requirements/permits and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2.4</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 xml:space="preserve"> Essential knowledge and associated skills are applied in the safe installation and maintenance of de-energised LV underground paper insulated </w:t>
            </w:r>
            <w:r w:rsidRPr="00BD0E11">
              <w:t>cables to ensure completion in an agreed timeframe and, to quality standards with a minimum of waste according to requirements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2.5</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De-energised LV underground paper insulated cables are installed according to the work schedule and requirements/establish</w:t>
            </w:r>
            <w:r w:rsidRPr="00BD0E11">
              <w:t>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2.6</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Maintenance, including repair and/or replacement of de-energised LV underground paper insulated cables is carried out, in accordance with the work schedule and requirements/established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2.7</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Hazard warnings and safety signs</w:t>
            </w:r>
            <w:r w:rsidRPr="00BD0E11">
              <w:t xml:space="preserve"> are recognised and hazards and assessed OHS risks are reported to the immediate authorised persons for directions according to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2.8</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Unplanned events in the installation and maintenance of de-energised LV undergroun</w:t>
            </w:r>
            <w:r w:rsidRPr="00BD0E11">
              <w:t>d paper insulated cables are undertaken within the scope of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2.9</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Known solutions to a variety of problems are applied using acquired essential knowledge and associated skills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2.10</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Ongoing checks of quality of the work are undert</w:t>
            </w:r>
            <w:r w:rsidRPr="00BD0E11">
              <w:t>aken in accordance with instructions and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w:t>
            </w:r>
          </w:p>
        </w:tc>
        <w:tc>
          <w:tcPr>
            <w:tcW w:w="2300" w:type="dxa"/>
            <w:vMerge w:val="restart"/>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Complete the installation and maintenance of de-energised LV underground paper insulated cables</w:t>
            </w: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3.1</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Work undertaken is visually checked/tested against works schedule for confirmation of pha</w:t>
            </w:r>
            <w:r w:rsidRPr="00BD0E11">
              <w:t>sing and conformance with requirements and, anomalies reported in accordance with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3.2</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Accidents and/or injuries are reported in accordance with requirements/established procedures, where applicable.</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3.3</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Work site is rehabilitated, cleaned up and made safe in accordance with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3.4</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Tools, equipment and any surplus resources and materials are, where appropriate, cleaned, checked and returned to storage or disposed of in accordance wi</w:t>
            </w:r>
            <w:r w:rsidRPr="00BD0E11">
              <w:t>th established procedures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3.5</w:t>
            </w:r>
          </w:p>
        </w:tc>
        <w:tc>
          <w:tcPr>
            <w:tcW w:w="4858"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Relevant work permit(s) are signed off and, the LV underground paper insulated cables are returned to service in accordance with requirements</w:t>
            </w:r>
          </w:p>
        </w:tc>
      </w:tr>
      <w:tr w:rsidTr="0047694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3.6</w:t>
            </w:r>
          </w:p>
        </w:tc>
        <w:tc>
          <w:tcPr>
            <w:tcW w:w="4858"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Works completion records, reports, as installed /modified drawing and/or documentation and information are finalised and processed and appropriate personnel notified</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9" w:name="O_461569"/>
      <w:bookmarkEnd w:id="9"/>
      <w:r w:rsidRPr="00BD0E11">
        <w:t>Required Skills and Knowledge</w:t>
      </w:r>
    </w:p>
    <w:tbl>
      <w:tblPr>
        <w:tblW w:w="0" w:type="auto"/>
        <w:tblLayout w:type="fixed"/>
        <w:tblCellMar>
          <w:left w:w="62" w:type="dxa"/>
          <w:right w:w="62" w:type="dxa"/>
        </w:tblCellMar>
        <w:tblLook w:val="0000"/>
      </w:tblPr>
      <w:tblGrid>
        <w:gridCol w:w="8460"/>
      </w:tblGrid>
      <w:tr w:rsidTr="004769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REQUIRED SKILLS AND KNOWLEDGE</w:t>
            </w:r>
          </w:p>
        </w:tc>
      </w:tr>
      <w:tr w:rsidTr="0047694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8)</w:t>
            </w:r>
            <w:r w:rsidRPr="00BD0E11">
              <w:t xml:space="preserve"> Essential knowledge and associated skills (EKAS): This describes the essential skills and knowledge and their level, required for this unit.</w:t>
            </w:r>
          </w:p>
          <w:p w:rsidR="00000000" w:rsidRPr="00BD0E11" w:rsidP="00BD0E11">
            <w:pPr>
              <w:pStyle w:val="BodyText"/>
            </w:pPr>
            <w:r w:rsidRPr="00BD0E11">
              <w:t>Evidence shall show that knowledge has been acquired of installing and maintaining de-energised LV underground pap</w:t>
            </w:r>
            <w:r w:rsidRPr="00BD0E11">
              <w:t>er insulated cables.</w:t>
            </w:r>
          </w:p>
          <w:p w:rsidR="00000000" w:rsidRPr="00BD0E11" w:rsidP="00BD0E11">
            <w:pPr>
              <w:pStyle w:val="BodyText"/>
            </w:pPr>
            <w:r w:rsidRPr="00BD0E11">
              <w:t>All knowledge and skills detailed in this unit should be contextualised to current industry practices and technologies.</w:t>
            </w:r>
          </w:p>
          <w:p w:rsidR="00000000" w:rsidRPr="00BD0E11" w:rsidP="00BD0E11">
            <w:pPr>
              <w:pStyle w:val="BodyText"/>
            </w:pPr>
            <w:r w:rsidRPr="00BD0E11">
              <w:t>KS01-TCJ22A</w:t>
            </w:r>
            <w:r w:rsidRPr="00BD0E11">
              <w:tab/>
              <w:t>LV Aluminium and lead sheathed cable jointing</w:t>
            </w:r>
          </w:p>
          <w:p w:rsidR="00000000" w:rsidRPr="00BD0E11" w:rsidP="00BD0E11">
            <w:pPr>
              <w:pStyle w:val="BodyText"/>
            </w:pPr>
            <w:r w:rsidRPr="00BD0E11">
              <w:t xml:space="preserve">Evidence shall show an understanding of the construction </w:t>
            </w:r>
            <w:r w:rsidRPr="00BD0E11">
              <w:t>and types of underground cables to an extent indicated by the following aspects:</w:t>
            </w:r>
          </w:p>
          <w:p w:rsidR="00000000" w:rsidRPr="00BD0E11" w:rsidP="00BD0E11">
            <w:pPr>
              <w:pStyle w:val="BodyText"/>
            </w:pPr>
            <w:r w:rsidRPr="00BD0E11">
              <w:t>T1</w:t>
            </w:r>
            <w:r w:rsidRPr="00BD0E11">
              <w:tab/>
              <w:t xml:space="preserve">Safety precautions specific to handling and jointing underground aluminium and lead cable including provision of OHS information such as material safety data sheets (MSDS) </w:t>
            </w:r>
          </w:p>
          <w:p w:rsidR="00000000" w:rsidRPr="00BD0E11" w:rsidP="00BD0E11">
            <w:pPr>
              <w:pStyle w:val="BodyText"/>
            </w:pPr>
            <w:r w:rsidRPr="00BD0E11">
              <w:t>T2</w:t>
            </w:r>
            <w:r w:rsidRPr="00BD0E11">
              <w:tab/>
              <w:t xml:space="preserve">Requirements for the use of enterprise manuals, system diagrams/plans and drawings </w:t>
            </w:r>
          </w:p>
          <w:p w:rsidR="00000000" w:rsidRPr="00BD0E11" w:rsidP="00BD0E11">
            <w:pPr>
              <w:pStyle w:val="BodyText"/>
            </w:pPr>
            <w:r w:rsidRPr="00BD0E11">
              <w:t>T3</w:t>
            </w:r>
            <w:r w:rsidRPr="00BD0E11">
              <w:tab/>
              <w:t xml:space="preserve">Construction and structure(s) of aluminium and lead cable underground cables </w:t>
            </w:r>
          </w:p>
          <w:p w:rsidR="00000000" w:rsidRPr="00BD0E11" w:rsidP="00BD0E11">
            <w:pPr>
              <w:pStyle w:val="BodyText"/>
            </w:pPr>
            <w:r w:rsidRPr="00BD0E11">
              <w:t>T4</w:t>
            </w:r>
            <w:r w:rsidRPr="00BD0E11">
              <w:tab/>
              <w:t xml:space="preserve">Characteristics of aluminium and lead cable </w:t>
            </w:r>
          </w:p>
          <w:p w:rsidR="00000000" w:rsidRPr="00BD0E11" w:rsidP="00BD0E11">
            <w:pPr>
              <w:pStyle w:val="BodyText"/>
            </w:pPr>
            <w:r w:rsidRPr="00BD0E11">
              <w:t>T5</w:t>
            </w:r>
            <w:r w:rsidRPr="00BD0E11">
              <w:tab/>
              <w:t xml:space="preserve">Ratings </w:t>
            </w:r>
          </w:p>
          <w:p w:rsidR="00000000" w:rsidRPr="00BD0E11" w:rsidP="00BD0E11">
            <w:pPr>
              <w:pStyle w:val="BodyText"/>
            </w:pPr>
            <w:r w:rsidRPr="00BD0E11">
              <w:t>T6</w:t>
            </w:r>
            <w:r w:rsidRPr="00BD0E11">
              <w:tab/>
              <w:t>Techniques in the jointi</w:t>
            </w:r>
            <w:r w:rsidRPr="00BD0E11">
              <w:t xml:space="preserve">ng of aluminium and lead sheathed cable </w:t>
            </w:r>
          </w:p>
          <w:p w:rsidR="00000000" w:rsidRPr="00BD0E11" w:rsidP="00BD0E11">
            <w:pPr>
              <w:pStyle w:val="BodyText"/>
            </w:pPr>
            <w:r w:rsidRPr="00BD0E11">
              <w:t>T7</w:t>
            </w:r>
            <w:r w:rsidRPr="00BD0E11">
              <w:tab/>
              <w:t xml:space="preserve">Methods of testing cable after jointing </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10" w:name="O_461564"/>
      <w:bookmarkEnd w:id="10"/>
      <w:r w:rsidRPr="00BD0E11">
        <w:t>Evidence Guide</w:t>
      </w:r>
    </w:p>
    <w:tbl>
      <w:tblPr>
        <w:tblW w:w="0" w:type="auto"/>
        <w:tblLayout w:type="fixed"/>
        <w:tblCellMar>
          <w:left w:w="62" w:type="dxa"/>
          <w:right w:w="62" w:type="dxa"/>
        </w:tblCellMar>
        <w:tblLook w:val="0000"/>
      </w:tblPr>
      <w:tblGrid>
        <w:gridCol w:w="8460"/>
      </w:tblGrid>
      <w:tr w:rsidTr="004769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EVIDENCE GUIDE</w:t>
            </w:r>
          </w:p>
        </w:tc>
      </w:tr>
      <w:tr w:rsidTr="004769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9)</w:t>
            </w:r>
            <w:r w:rsidRPr="00BD0E11">
              <w:t xml:space="preserve"> This provides essential advice for assessment of the unit of competency and must be read in conjunction </w:t>
            </w:r>
            <w:r w:rsidRPr="00BD0E11">
              <w:t>with the performance criteria and the range statement of the unit of competency and the Training Package Assessment Guidelines.</w:t>
            </w:r>
          </w:p>
          <w:p w:rsidR="00000000" w:rsidRPr="00BD0E11" w:rsidP="00BD0E11">
            <w:pPr>
              <w:pStyle w:val="BodyText"/>
            </w:pPr>
            <w:r w:rsidRPr="00BD0E11">
              <w:t>The Evidence Guide forms an integral part of this Competency Standard Unit and shall be used in conjunction with all component p</w:t>
            </w:r>
            <w:r w:rsidRPr="00BD0E11">
              <w:t>arts of this unit and, performed in accordance with the Assessment Guidelines of this Training Package.</w:t>
            </w:r>
          </w:p>
        </w:tc>
      </w:tr>
    </w:tbl>
    <w:p w:rsidR="00000000" w:rsidRPr="00BD0E11" w:rsidP="00BD0E11">
      <w:pPr>
        <w:pStyle w:val="BodyText"/>
      </w:pPr>
    </w:p>
    <w:tbl>
      <w:tblPr>
        <w:tblW w:w="0" w:type="auto"/>
        <w:tblLayout w:type="fixed"/>
        <w:tblCellMar>
          <w:left w:w="62" w:type="dxa"/>
          <w:right w:w="62" w:type="dxa"/>
        </w:tblCellMar>
        <w:tblLook w:val="0000"/>
      </w:tblPr>
      <w:tblGrid>
        <w:gridCol w:w="1890"/>
        <w:gridCol w:w="6570"/>
      </w:tblGrid>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9.1)</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Longitudinal competency development approaches to assessment, such as Profiling, require data to be reliably gathered in</w:t>
            </w:r>
            <w:r w:rsidRPr="00BD0E11">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BD0E11">
              <w:t>is used it is to include the application of the competency in the normal work environment or, at a minimum, the application of the competency in a realistically simulated work environment. It is recognised that, in some circumstances, assessment in part or</w:t>
            </w:r>
            <w:r w:rsidRPr="00BD0E11">
              <w:t xml:space="preserve"> full can occur outside the workplace. However, it must be in accord with Industry and, Regulatory policy in this regard.</w:t>
            </w:r>
          </w:p>
          <w:p w:rsidR="00000000" w:rsidRPr="00BD0E11" w:rsidP="00BD0E11">
            <w:pPr>
              <w:pStyle w:val="BodyText"/>
            </w:pPr>
            <w:r w:rsidRPr="00BD0E11">
              <w:t>Methods chosen for a particular assessment will be influenced by various factors. These include the extent of the assessment, the most effective locations for the assessment activities to take place, access to physical resources, additional safety measures</w:t>
            </w:r>
            <w:r w:rsidRPr="00BD0E11">
              <w:t xml:space="preserve"> that may be required and the critical nature of the competencies being assessed.</w:t>
            </w:r>
          </w:p>
          <w:p w:rsidR="00000000" w:rsidRPr="00BD0E11" w:rsidP="00BD0E11">
            <w:pPr>
              <w:pStyle w:val="BodyText"/>
            </w:pPr>
            <w:r w:rsidRPr="00BD0E11">
              <w:t>The critical safety nature of working with electricity, electrical equipment, gas or any other hazardous substance/material carries risk in deeming a person competent. Hence,</w:t>
            </w:r>
            <w:r w:rsidRPr="00BD0E11">
              <w:t xml:space="preserve"> sources of evidence need to be ‘rich’ in nature so as to minimise error in judgment.</w:t>
            </w:r>
          </w:p>
          <w:p w:rsidR="00000000" w:rsidRPr="00BD0E11" w:rsidP="00BD0E11">
            <w:pPr>
              <w:pStyle w:val="BodyText"/>
            </w:pPr>
            <w:r w:rsidRPr="00BD0E11">
              <w:t xml:space="preserve">Activities associated with normal every day work have a bearing on the decision as to how much and how detailed the data gathered will contribute to its ‘richness’. Some </w:t>
            </w:r>
            <w:r w:rsidRPr="00BD0E11">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BD0E11">
              <w:t>Sample assessment instruments are included for Assessors in the Assessment Guidelines of this Training Package.</w:t>
            </w:r>
          </w:p>
        </w:tc>
      </w:tr>
    </w:tbl>
    <w:p w:rsidR="00000000" w:rsidRPr="00BD0E11" w:rsidP="00BD0E11">
      <w:pPr>
        <w:pStyle w:val="BodyText"/>
      </w:pPr>
    </w:p>
    <w:tbl>
      <w:tblPr>
        <w:tblW w:w="0" w:type="auto"/>
        <w:tblLayout w:type="fixed"/>
        <w:tblCellMar>
          <w:left w:w="62" w:type="dxa"/>
          <w:right w:w="62" w:type="dxa"/>
        </w:tblCellMar>
        <w:tblLook w:val="0000"/>
      </w:tblPr>
      <w:tblGrid>
        <w:gridCol w:w="1890"/>
        <w:gridCol w:w="735"/>
        <w:gridCol w:w="1245"/>
        <w:gridCol w:w="2160"/>
        <w:gridCol w:w="2430"/>
      </w:tblGrid>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9.2)</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 xml:space="preserve">Before the critical aspects of evidence are considered </w:t>
            </w:r>
            <w:r w:rsidRPr="00BD0E11">
              <w:t>all prerequisites shall be met.</w:t>
            </w:r>
          </w:p>
          <w:p w:rsidR="00000000" w:rsidRPr="00BD0E11" w:rsidP="00BD0E11">
            <w:pPr>
              <w:pStyle w:val="BodyText"/>
            </w:pPr>
            <w:r w:rsidRPr="00BD0E11">
              <w:t xml:space="preserve">Evidence for competence in this unit shall be considered holistically. Each element and associated performance criteria shall be demonstrated on at least two occasions in accordance with the “Assessment Guidelines – UET12”. </w:t>
            </w:r>
            <w:r w:rsidRPr="00BD0E11">
              <w:t>Evidence shall also comprise:</w:t>
            </w:r>
          </w:p>
          <w:p w:rsidR="00000000" w:rsidRPr="00BD0E11" w:rsidP="00BD0E11">
            <w:pPr>
              <w:pStyle w:val="ListBullet"/>
            </w:pPr>
            <w:r w:rsidRPr="00BD0E11">
              <w:t>A representative body of performance criteria demonstrated within the timeframes typically expected of the discipline, work function and industrial environment. In particular this shall incorporate evidence that shows a candid</w:t>
            </w:r>
            <w:r w:rsidRPr="00BD0E11">
              <w:t>ate is able to:</w:t>
            </w:r>
          </w:p>
          <w:p w:rsidR="00000000" w:rsidRPr="00BD0E11" w:rsidP="00BD0E11">
            <w:pPr>
              <w:pStyle w:val="ListBullet2"/>
            </w:pPr>
            <w:r w:rsidRPr="00BD0E11">
              <w:t>Implement Occupational Health and Safety workplace procedures and practices including the use of risk control measures as specified in the performance criteria and range; and</w:t>
            </w:r>
          </w:p>
          <w:p w:rsidR="00000000" w:rsidRPr="00BD0E11" w:rsidP="00BD0E11">
            <w:pPr>
              <w:pStyle w:val="ListBullet2"/>
            </w:pPr>
            <w:r w:rsidRPr="00BD0E11">
              <w:t>Apply sustainable energy principles and practices as specified in the performance criteria and range; and</w:t>
            </w:r>
          </w:p>
          <w:p w:rsidR="00000000" w:rsidRPr="00BD0E11" w:rsidP="00BD0E11">
            <w:pPr>
              <w:pStyle w:val="ListBullet2"/>
            </w:pPr>
            <w:r w:rsidRPr="00BD0E11">
              <w:t>Demonstrate an understanding of the essential knowledge and associated skills as described in this unit to such an extent that the learner’s performan</w:t>
            </w:r>
            <w:r w:rsidRPr="00BD0E11">
              <w:t>ce outcome is reported in accordance with the preferred approach; namely a percentile graded result, where required by the regulated environment; and</w:t>
            </w:r>
          </w:p>
          <w:p w:rsidR="00000000" w:rsidRPr="00BD0E11" w:rsidP="00BD0E11">
            <w:pPr>
              <w:pStyle w:val="ListBullet2"/>
            </w:pPr>
            <w:r w:rsidRPr="00BD0E11">
              <w:t>Demonstrate an appropriate level of employability skills; and</w:t>
            </w:r>
          </w:p>
          <w:p w:rsidR="00000000" w:rsidRPr="00BD0E11" w:rsidP="00BD0E11">
            <w:pPr>
              <w:pStyle w:val="ListBullet"/>
            </w:pPr>
            <w:r w:rsidRPr="00BD0E11">
              <w:t>Conduct work observing the relevant Anti Dis</w:t>
            </w:r>
            <w:r w:rsidRPr="00BD0E11">
              <w:t>crimination legislation, regulations, policies and workplace procedures; and</w:t>
            </w:r>
          </w:p>
          <w:p w:rsidR="00000000" w:rsidP="00BD0E11">
            <w:pPr>
              <w:pStyle w:val="ListBullet2"/>
              <w:rPr>
                <w:lang w:val="en-NZ"/>
              </w:rPr>
            </w:pPr>
            <w:r w:rsidRPr="00BD0E11">
              <w:t>Demonstrated performance across a representative range of contexts from the prescribed items below:</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rsidRPr="00BD0E11">
            <w:pPr>
              <w:pStyle w:val="BodyText"/>
              <w:keepNext w:val="0"/>
              <w:keepLines w:val="0"/>
              <w:contextualSpacing w:val="0"/>
            </w:pPr>
          </w:p>
        </w:tc>
        <w:tc>
          <w:tcPr>
            <w:tcW w:w="583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rPr>
                <w:rStyle w:val="SpecialBold"/>
              </w:rPr>
              <w:t>Range of tools, equipment, materials, procedures, workplaces or other variables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rsidRPr="00BD0E11">
            <w:pPr>
              <w:pStyle w:val="BodyText"/>
              <w:keepNext w:val="0"/>
              <w:keepLines w:val="0"/>
              <w:contextualSpacing w:val="0"/>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rPr>
                <w:rStyle w:val="SpecialBold"/>
              </w:rPr>
              <w:t>Item List</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LV paper/lead sheathed</w:t>
            </w:r>
          </w:p>
          <w:p w:rsidR="00000000" w:rsidP="00BD0E11">
            <w:pPr>
              <w:pStyle w:val="BodyText"/>
              <w:rPr>
                <w:lang w:val="en-NZ"/>
              </w:rPr>
            </w:pPr>
            <w:r w:rsidRPr="00BD0E11">
              <w:t>LV paper/aluminium sheathed</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Tee-off joints</w:t>
            </w:r>
          </w:p>
          <w:p w:rsidR="00000000" w:rsidRPr="00BD0E11" w:rsidP="00BD0E11">
            <w:pPr>
              <w:pStyle w:val="BodyText"/>
            </w:pPr>
            <w:r w:rsidRPr="00BD0E11">
              <w:t>Straight through joints</w:t>
            </w:r>
          </w:p>
          <w:p w:rsidR="00000000" w:rsidRPr="00BD0E11" w:rsidP="00BD0E11">
            <w:pPr>
              <w:pStyle w:val="BodyText"/>
            </w:pPr>
            <w:r w:rsidRPr="00BD0E11">
              <w:t>Parallel branch joints</w:t>
            </w:r>
          </w:p>
          <w:p w:rsidR="00000000" w:rsidP="00BD0E11">
            <w:pPr>
              <w:pStyle w:val="BodyText"/>
              <w:rPr>
                <w:lang w:val="en-NZ"/>
              </w:rPr>
            </w:pPr>
            <w:r w:rsidRPr="00BD0E11">
              <w:t>Parallel joints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Transformers</w:t>
            </w:r>
          </w:p>
          <w:p w:rsidR="00000000" w:rsidRPr="00BD0E11" w:rsidP="00BD0E11">
            <w:pPr>
              <w:pStyle w:val="BodyText"/>
            </w:pPr>
            <w:r w:rsidRPr="00BD0E11">
              <w:t>LV switchboards</w:t>
            </w:r>
          </w:p>
          <w:p w:rsidR="00000000" w:rsidRPr="00BD0E11" w:rsidP="00BD0E11">
            <w:pPr>
              <w:pStyle w:val="BodyText"/>
            </w:pPr>
            <w:r w:rsidRPr="00BD0E11">
              <w:t>Pillars/turrets</w:t>
            </w:r>
          </w:p>
          <w:p w:rsidR="00000000" w:rsidRPr="00BD0E11" w:rsidP="00BD0E11">
            <w:pPr>
              <w:pStyle w:val="BodyText"/>
            </w:pPr>
            <w:r w:rsidRPr="00BD0E11">
              <w:t>Lighting columns</w:t>
            </w:r>
          </w:p>
          <w:p w:rsidR="00000000" w:rsidRPr="00BD0E11" w:rsidP="00BD0E11">
            <w:pPr>
              <w:pStyle w:val="BodyText"/>
            </w:pPr>
            <w:r w:rsidRPr="00BD0E11">
              <w:t>Ring main units</w:t>
            </w:r>
          </w:p>
          <w:p w:rsidR="00000000" w:rsidRPr="00BD0E11" w:rsidP="00BD0E11">
            <w:pPr>
              <w:pStyle w:val="BodyText"/>
            </w:pPr>
            <w:r w:rsidRPr="00BD0E11">
              <w:t>Chamber substations</w:t>
            </w:r>
          </w:p>
          <w:p w:rsidR="00000000" w:rsidRPr="00BD0E11" w:rsidP="00BD0E11">
            <w:pPr>
              <w:pStyle w:val="BodyText"/>
            </w:pPr>
            <w:r w:rsidRPr="00BD0E11">
              <w:t>UG/OH terminations</w:t>
            </w:r>
          </w:p>
          <w:p w:rsidR="00000000" w:rsidP="00BD0E11">
            <w:pPr>
              <w:pStyle w:val="BodyText"/>
              <w:rPr>
                <w:lang w:val="en-NZ"/>
              </w:rPr>
            </w:pPr>
            <w:r w:rsidRPr="00BD0E11">
              <w:t>Circuit breakers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Busbar/termination boxes</w:t>
            </w:r>
          </w:p>
          <w:p w:rsidR="00000000" w:rsidRPr="00BD0E11" w:rsidP="00BD0E11">
            <w:pPr>
              <w:pStyle w:val="BodyText"/>
            </w:pPr>
            <w:r w:rsidRPr="00BD0E11">
              <w:t xml:space="preserve">Links/Fuses </w:t>
            </w:r>
          </w:p>
          <w:p w:rsidR="00000000" w:rsidRPr="00BD0E11" w:rsidP="00BD0E11">
            <w:pPr>
              <w:pStyle w:val="BodyText"/>
            </w:pPr>
            <w:r w:rsidRPr="00BD0E11">
              <w:t>Disconnect boxes</w:t>
            </w:r>
          </w:p>
          <w:p w:rsidR="00000000" w:rsidRPr="00BD0E11" w:rsidP="00BD0E11">
            <w:pPr>
              <w:pStyle w:val="BodyText"/>
            </w:pPr>
            <w:r w:rsidRPr="00BD0E11">
              <w:t>Termination boxes</w:t>
            </w:r>
          </w:p>
          <w:p w:rsidR="00000000" w:rsidP="00BD0E11">
            <w:pPr>
              <w:pStyle w:val="BodyText"/>
              <w:rPr>
                <w:lang w:val="en-NZ"/>
              </w:rPr>
            </w:pPr>
            <w:r w:rsidRPr="00BD0E11">
              <w:t>Control gear</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Resin filled boxes</w:t>
            </w:r>
          </w:p>
          <w:p w:rsidR="00000000" w:rsidRPr="00BD0E11" w:rsidP="00BD0E11">
            <w:pPr>
              <w:pStyle w:val="BodyText"/>
            </w:pPr>
            <w:r w:rsidRPr="00BD0E11">
              <w:t>Polymeric tape</w:t>
            </w:r>
          </w:p>
          <w:p w:rsidR="00000000" w:rsidRPr="00BD0E11" w:rsidP="00BD0E11">
            <w:pPr>
              <w:pStyle w:val="BodyText"/>
            </w:pPr>
            <w:r w:rsidRPr="00BD0E11">
              <w:t>Heat shrink</w:t>
            </w:r>
          </w:p>
          <w:p w:rsidR="00000000" w:rsidRPr="00BD0E11" w:rsidP="00BD0E11">
            <w:pPr>
              <w:pStyle w:val="BodyText"/>
            </w:pPr>
            <w:r w:rsidRPr="00BD0E11">
              <w:t>‘slip-on’ moulds</w:t>
            </w:r>
          </w:p>
          <w:p w:rsidR="00000000" w:rsidRPr="00BD0E11" w:rsidP="00BD0E11">
            <w:pPr>
              <w:pStyle w:val="BodyText"/>
            </w:pPr>
            <w:r w:rsidRPr="00BD0E11">
              <w:t>Pre-stretched polymeric</w:t>
            </w:r>
          </w:p>
          <w:p w:rsidR="00000000" w:rsidP="00BD0E11">
            <w:pPr>
              <w:pStyle w:val="BodyText"/>
              <w:rPr>
                <w:lang w:val="en-NZ"/>
              </w:rPr>
            </w:pPr>
            <w:r w:rsidRPr="00BD0E11">
              <w:t>Compound filled boxes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Compression lugs</w:t>
            </w:r>
          </w:p>
          <w:p w:rsidR="00000000" w:rsidRPr="00BD0E11" w:rsidP="00BD0E11">
            <w:pPr>
              <w:pStyle w:val="BodyText"/>
            </w:pPr>
            <w:r w:rsidRPr="00BD0E11">
              <w:t>Soldered lugs</w:t>
            </w:r>
          </w:p>
          <w:p w:rsidR="00000000" w:rsidP="00BD0E11">
            <w:pPr>
              <w:pStyle w:val="BodyText"/>
              <w:rPr>
                <w:lang w:val="en-NZ"/>
              </w:rPr>
            </w:pPr>
            <w:r w:rsidRPr="00BD0E11">
              <w:t>Mechanical connectors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Voltage detectors</w:t>
            </w:r>
          </w:p>
          <w:p w:rsidR="00000000" w:rsidP="00BD0E11">
            <w:pPr>
              <w:pStyle w:val="BodyText"/>
              <w:rPr>
                <w:lang w:val="en-NZ"/>
              </w:rPr>
            </w:pPr>
            <w:r w:rsidRPr="00BD0E11">
              <w:t>Insulation resistance testers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E11">
            <w:pPr>
              <w:pStyle w:val="BodyText"/>
              <w:rPr>
                <w:lang w:val="en-NZ"/>
              </w:rPr>
            </w:pPr>
            <w:r w:rsidRPr="00BD0E1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E11" w:rsidP="00BD0E11">
            <w:pPr>
              <w:pStyle w:val="BodyText"/>
            </w:pPr>
            <w:r w:rsidRPr="00BD0E11">
              <w:t>Dealing with an unplanned event by drawing on essential knowledge and associated skills to provide appropriate solutions incorporated in the holistic assessment with the above listed items.</w:t>
            </w:r>
          </w:p>
        </w:tc>
      </w:tr>
    </w:tbl>
    <w:p w:rsidR="00000000" w:rsidRPr="00BD0E11" w:rsidP="00BD0E11">
      <w:pPr>
        <w:pStyle w:val="BodyText"/>
      </w:pPr>
    </w:p>
    <w:tbl>
      <w:tblPr>
        <w:tblW w:w="0" w:type="auto"/>
        <w:tblLayout w:type="fixed"/>
        <w:tblCellMar>
          <w:left w:w="62" w:type="dxa"/>
          <w:right w:w="62" w:type="dxa"/>
        </w:tblCellMar>
        <w:tblLook w:val="0000"/>
      </w:tblPr>
      <w:tblGrid>
        <w:gridCol w:w="1890"/>
        <w:gridCol w:w="6570"/>
      </w:tblGrid>
      <w:tr w:rsidTr="0047694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9.3)</w:t>
            </w:r>
          </w:p>
        </w:tc>
      </w:tr>
      <w:tr w:rsidTr="0047694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This unit should be assessed as it relates to normal work practice using procedures, information and resources typical of a workplace. This should include:</w:t>
            </w:r>
          </w:p>
          <w:p w:rsidR="00000000" w:rsidRPr="00BD0E11" w:rsidP="00BD0E11">
            <w:pPr>
              <w:pStyle w:val="ListBullet"/>
            </w:pPr>
            <w:r w:rsidRPr="00BD0E11">
              <w:t>OHS policy and work procedures and instructions.</w:t>
            </w:r>
          </w:p>
          <w:p w:rsidR="00000000" w:rsidRPr="00BD0E11" w:rsidP="00BD0E11">
            <w:pPr>
              <w:pStyle w:val="ListBullet"/>
            </w:pPr>
            <w:r w:rsidRPr="00BD0E11">
              <w:t>Suitable work environment, facilities, equipment an</w:t>
            </w:r>
            <w:r w:rsidRPr="00BD0E11">
              <w:t>d materials to undertake actual work as prescribed by this Competency Standard Unit.</w:t>
            </w:r>
          </w:p>
          <w:p w:rsidR="00000000" w:rsidRPr="00BD0E11" w:rsidP="00BD0E11">
            <w:pPr>
              <w:pStyle w:val="BodyText"/>
            </w:pPr>
            <w:r w:rsidRPr="00BD0E11">
              <w:t>In addition to the resources listed above, in context of and specific resources for assessment, evidence should show demonstrated competency working below ground, in limit</w:t>
            </w:r>
            <w:r w:rsidRPr="00BD0E11">
              <w:t>ed spaces, with different structural/construction types and method and in a variety of environments.</w:t>
            </w:r>
          </w:p>
        </w:tc>
      </w:tr>
    </w:tbl>
    <w:p w:rsidR="00000000" w:rsidRPr="00BD0E11" w:rsidP="00BD0E11">
      <w:pPr>
        <w:pStyle w:val="BodyText"/>
      </w:pPr>
    </w:p>
    <w:tbl>
      <w:tblPr>
        <w:tblW w:w="0" w:type="auto"/>
        <w:tblLayout w:type="fixed"/>
        <w:tblCellMar>
          <w:left w:w="62" w:type="dxa"/>
          <w:right w:w="62" w:type="dxa"/>
        </w:tblCellMar>
        <w:tblLook w:val="0000"/>
      </w:tblPr>
      <w:tblGrid>
        <w:gridCol w:w="1890"/>
        <w:gridCol w:w="6570"/>
      </w:tblGrid>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9.4)</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This Competency Standard Unit shall be assessed by methods given in Volume 1, Part 3 “Assessment Guidelines”.</w:t>
            </w:r>
          </w:p>
          <w:p w:rsidR="00000000" w:rsidRPr="00BD0E11" w:rsidP="00BD0E11">
            <w:pPr>
              <w:pStyle w:val="BodyText"/>
            </w:pPr>
            <w:r w:rsidRPr="00BD0E11">
              <w:t>Note:</w:t>
            </w:r>
          </w:p>
          <w:p w:rsidR="00000000" w:rsidRPr="00BD0E11" w:rsidP="00BD0E11">
            <w:pPr>
              <w:pStyle w:val="BodyText"/>
            </w:pPr>
            <w:r w:rsidRPr="00BD0E11">
              <w:t>Competent performance with inherent safe working practices is expected in the Industry to which this Competency Standard Unit applies. This requires that the specified essential knowledge and associated skills are assessed in a structured environment which</w:t>
            </w:r>
            <w:r w:rsidRPr="00BD0E11">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BD0E11" w:rsidP="00BD0E11">
      <w:pPr>
        <w:pStyle w:val="BodyText"/>
      </w:pPr>
    </w:p>
    <w:tbl>
      <w:tblPr>
        <w:tblW w:w="0" w:type="auto"/>
        <w:tblLayout w:type="fixed"/>
        <w:tblCellMar>
          <w:left w:w="62" w:type="dxa"/>
          <w:right w:w="62" w:type="dxa"/>
        </w:tblCellMar>
        <w:tblLook w:val="0000"/>
      </w:tblPr>
      <w:tblGrid>
        <w:gridCol w:w="1890"/>
        <w:gridCol w:w="1530"/>
        <w:gridCol w:w="5040"/>
      </w:tblGrid>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Concurrent assessment and relationship wi</w:t>
            </w:r>
            <w:r w:rsidRPr="00BD0E11">
              <w:rPr>
                <w:rStyle w:val="SpecialBold"/>
              </w:rPr>
              <w:t>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9.5)</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 xml:space="preserve">For optimisation of training and assessment effort, competence in this unit may be assessed concurrently with the following units: </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UETTDRCJ21A</w:t>
            </w:r>
          </w:p>
        </w:tc>
        <w:tc>
          <w:tcPr>
            <w:tcW w:w="504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Lay ESI electrical cables</w:t>
            </w:r>
          </w:p>
        </w:tc>
      </w:tr>
      <w:tr w:rsidTr="004769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t>UETTDRCJ23A</w:t>
            </w:r>
          </w:p>
        </w:tc>
        <w:tc>
          <w:tcPr>
            <w:tcW w:w="504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 xml:space="preserve">Install and maintain de-energised high voltage underground paper insulated cables. </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11" w:name="O_461568"/>
      <w:bookmarkEnd w:id="11"/>
      <w:r w:rsidRPr="00BD0E11">
        <w:t>Range Statement</w:t>
      </w:r>
    </w:p>
    <w:tbl>
      <w:tblPr>
        <w:tblW w:w="0" w:type="auto"/>
        <w:tblLayout w:type="fixed"/>
        <w:tblCellMar>
          <w:left w:w="62" w:type="dxa"/>
          <w:right w:w="62" w:type="dxa"/>
        </w:tblCellMar>
        <w:tblLook w:val="0000"/>
      </w:tblPr>
      <w:tblGrid>
        <w:gridCol w:w="8460"/>
      </w:tblGrid>
      <w:tr w:rsidTr="004769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RANGE STATEMENT</w:t>
            </w:r>
          </w:p>
        </w:tc>
      </w:tr>
      <w:tr w:rsidTr="004769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10)</w:t>
            </w:r>
            <w:r w:rsidRPr="00BD0E11">
              <w:t xml:space="preserve"> This relates to the unit of competency as a whole providing the range of contexts and conditions </w:t>
            </w:r>
            <w:r w:rsidRPr="00BD0E11">
              <w:t>to which the performance criteria apply. It allows for different work environments and situations that will affect performance.</w:t>
            </w:r>
          </w:p>
          <w:p w:rsidR="00000000" w:rsidRPr="00BD0E11" w:rsidP="00BD0E11">
            <w:pPr>
              <w:pStyle w:val="BodyText"/>
            </w:pPr>
            <w:r w:rsidRPr="00BD0E11">
              <w:t xml:space="preserve">This Competency Standard Unit shall be demonstrated in relation to the installation and maintenance of de-energised low voltage </w:t>
            </w:r>
            <w:r w:rsidRPr="00BD0E11">
              <w:t xml:space="preserve">underground paper insulated cables and covers the jointing, terminating, repair and replacement of cables. </w:t>
            </w:r>
          </w:p>
          <w:p w:rsidR="00000000" w:rsidRPr="00BD0E11" w:rsidP="00BD0E11">
            <w:pPr>
              <w:pStyle w:val="BodyText"/>
            </w:pPr>
            <w:r w:rsidRPr="00BD0E11">
              <w:t>Installation and Maintenance may include the repair and replacement of cables and associated hardware.</w:t>
            </w:r>
          </w:p>
          <w:p w:rsidR="00000000" w:rsidRPr="00BD0E11" w:rsidP="00BD0E11">
            <w:pPr>
              <w:pStyle w:val="BodyText"/>
            </w:pPr>
            <w:r w:rsidRPr="00BD0E11">
              <w:t>Types of cables includes: Paper-Insulated whi</w:t>
            </w:r>
            <w:r w:rsidRPr="00BD0E11">
              <w:t>ch refers to LV solid paper insulated metal sheathed.</w:t>
            </w:r>
          </w:p>
          <w:p w:rsidR="00000000" w:rsidRPr="00BD0E11" w:rsidP="00BD0E11">
            <w:pPr>
              <w:pStyle w:val="BodyText"/>
            </w:pPr>
            <w:r w:rsidRPr="00BD0E11">
              <w:t>Underground equipment may include links, fuses, disconnect boxes, ring main units, distribution fuse boxes, pad mount and ground transformers, chamber substations, LV switchboards, pillars/turrets, busbar/termination boxes, street lighting control gear and</w:t>
            </w:r>
            <w:r w:rsidRPr="00BD0E11">
              <w:t xml:space="preserve"> street lighting columns.</w:t>
            </w:r>
          </w:p>
          <w:p w:rsidR="00000000" w:rsidRPr="00BD0E11" w:rsidP="00BD0E11">
            <w:pPr>
              <w:pStyle w:val="BodyText"/>
            </w:pPr>
            <w:r w:rsidRPr="00BD0E11">
              <w:t>Test and recording equipment may include voltage detectors, tong ammeters, cable identification equipment, cable fault locating equipment and insulation resistance testers.</w:t>
            </w:r>
          </w:p>
          <w:p w:rsidR="00000000" w:rsidRPr="00BD0E11" w:rsidP="00BD0E11">
            <w:pPr>
              <w:pStyle w:val="BodyText"/>
            </w:pPr>
            <w:r w:rsidRPr="00BD0E11">
              <w:t>Jointing and terminating materials may include compound a</w:t>
            </w:r>
            <w:r w:rsidRPr="00BD0E11">
              <w:t>nd resin filled boxes, paper tape materials, polymeric tape materials, polymeric heat shrink materials, "slip-on" moulded components and pre-stretched polymeric materials, compression, mechanical, welded and solder lugs and ferrules.</w:t>
            </w:r>
          </w:p>
          <w:p w:rsidR="00000000" w:rsidRPr="00BD0E11" w:rsidP="00BD0E11">
            <w:pPr>
              <w:pStyle w:val="BodyText"/>
            </w:pPr>
            <w:r w:rsidRPr="00BD0E11">
              <w:t>Jointing and terminati</w:t>
            </w:r>
            <w:r w:rsidRPr="00BD0E11">
              <w:t>ng locations may include links, fuses, disconnect boxes, ring main units, distribution fuse boxes, pad mount and ground transformers, chamber substations, LV switchboards, pillars/turrets, busbar/termination boxes, street lighting control points and street</w:t>
            </w:r>
            <w:r w:rsidRPr="00BD0E11">
              <w:t xml:space="preserve"> lighting columns.</w:t>
            </w:r>
          </w:p>
          <w:p w:rsidR="00000000" w:rsidRPr="00BD0E11" w:rsidP="00BD0E11">
            <w:pPr>
              <w:pStyle w:val="BodyText"/>
            </w:pPr>
            <w:r w:rsidRPr="00BD0E11">
              <w:t>The following constants and variables included in the element/performance criteria in this unit are fully described in the Definitions Section 1 of this volume and form an integral part of the Range Statement of this unit:</w:t>
            </w:r>
          </w:p>
          <w:p w:rsidR="00000000" w:rsidRPr="00BD0E11" w:rsidP="00BD0E11">
            <w:pPr>
              <w:pStyle w:val="ListBullet3"/>
            </w:pPr>
            <w:r w:rsidRPr="00BD0E11">
              <w:t>Appropriate a</w:t>
            </w:r>
            <w:r w:rsidRPr="00BD0E11">
              <w:t>nd relevant persons (see Personnel)</w:t>
            </w:r>
          </w:p>
          <w:p w:rsidR="00000000" w:rsidRPr="00BD0E11" w:rsidP="00BD0E11">
            <w:pPr>
              <w:pStyle w:val="ListBullet3"/>
            </w:pPr>
            <w:r w:rsidRPr="00BD0E11">
              <w:t xml:space="preserve">Appropriate authorities </w:t>
            </w:r>
          </w:p>
          <w:p w:rsidR="00000000" w:rsidRPr="00BD0E11" w:rsidP="00BD0E11">
            <w:pPr>
              <w:pStyle w:val="ListBullet3"/>
            </w:pPr>
            <w:r w:rsidRPr="00BD0E11">
              <w:t>Appropriate work platform.</w:t>
            </w:r>
          </w:p>
          <w:p w:rsidR="00000000" w:rsidRPr="00BD0E11" w:rsidP="00BD0E11">
            <w:pPr>
              <w:pStyle w:val="ListBullet3"/>
            </w:pPr>
            <w:r w:rsidRPr="00BD0E11">
              <w:t>Assessing risk</w:t>
            </w:r>
          </w:p>
          <w:p w:rsidR="00000000" w:rsidRPr="00BD0E11" w:rsidP="00BD0E11">
            <w:pPr>
              <w:pStyle w:val="ListBullet3"/>
            </w:pPr>
            <w:r w:rsidRPr="00BD0E11">
              <w:t>Assessment</w:t>
            </w:r>
          </w:p>
          <w:p w:rsidR="00000000" w:rsidRPr="00BD0E11" w:rsidP="00BD0E11">
            <w:pPr>
              <w:pStyle w:val="ListBullet3"/>
            </w:pPr>
            <w:r w:rsidRPr="00BD0E11">
              <w:t xml:space="preserve">Authorisation </w:t>
            </w:r>
          </w:p>
          <w:p w:rsidR="00000000" w:rsidRPr="00BD0E11" w:rsidP="00BD0E11">
            <w:pPr>
              <w:pStyle w:val="ListBullet3"/>
            </w:pPr>
            <w:r w:rsidRPr="00BD0E11">
              <w:t>Confined space</w:t>
            </w:r>
          </w:p>
          <w:p w:rsidR="00000000" w:rsidRPr="00BD0E11" w:rsidP="00BD0E11">
            <w:pPr>
              <w:pStyle w:val="ListBullet3"/>
            </w:pPr>
            <w:r w:rsidRPr="00BD0E11">
              <w:t>Diagnostic, testing and restoration.</w:t>
            </w:r>
          </w:p>
          <w:p w:rsidR="00000000" w:rsidRPr="00BD0E11" w:rsidP="00BD0E11">
            <w:pPr>
              <w:pStyle w:val="ListBullet3"/>
            </w:pPr>
            <w:r w:rsidRPr="00BD0E11">
              <w:t>Documenting detail work events, record keeping and or storage of informatio</w:t>
            </w:r>
            <w:r w:rsidRPr="00BD0E11">
              <w:t>n</w:t>
            </w:r>
          </w:p>
          <w:p w:rsidR="00000000" w:rsidRPr="00BD0E11" w:rsidP="00BD0E11">
            <w:pPr>
              <w:pStyle w:val="ListBullet3"/>
            </w:pPr>
            <w:r w:rsidRPr="00BD0E11">
              <w:t>Drawings and specifications</w:t>
            </w:r>
          </w:p>
          <w:p w:rsidR="00000000" w:rsidRPr="00BD0E11" w:rsidP="00BD0E11">
            <w:pPr>
              <w:pStyle w:val="ListBullet3"/>
            </w:pPr>
            <w:r w:rsidRPr="00BD0E11">
              <w:t>Emergency</w:t>
            </w:r>
          </w:p>
          <w:p w:rsidR="00000000" w:rsidRPr="00BD0E11" w:rsidP="00BD0E11">
            <w:pPr>
              <w:pStyle w:val="ListBullet3"/>
            </w:pPr>
            <w:r w:rsidRPr="00BD0E11">
              <w:t>Environmental and sustainable energy procedures</w:t>
            </w:r>
          </w:p>
          <w:p w:rsidR="00000000" w:rsidRPr="00BD0E11" w:rsidP="00BD0E11">
            <w:pPr>
              <w:pStyle w:val="ListBullet3"/>
            </w:pPr>
            <w:r w:rsidRPr="00BD0E11">
              <w:t>Environmental legislation</w:t>
            </w:r>
          </w:p>
          <w:p w:rsidR="00000000" w:rsidRPr="00BD0E11" w:rsidP="00BD0E11">
            <w:pPr>
              <w:pStyle w:val="ListBullet3"/>
            </w:pPr>
            <w:r w:rsidRPr="00BD0E11">
              <w:t>Environmental management documentation</w:t>
            </w:r>
          </w:p>
          <w:p w:rsidR="00000000" w:rsidRPr="00BD0E11" w:rsidP="00BD0E11">
            <w:pPr>
              <w:pStyle w:val="ListBullet3"/>
            </w:pPr>
            <w:r w:rsidRPr="00BD0E11">
              <w:t>Established procedures</w:t>
            </w:r>
          </w:p>
          <w:p w:rsidR="00000000" w:rsidRPr="00BD0E11" w:rsidP="00BD0E11">
            <w:pPr>
              <w:pStyle w:val="ListBullet3"/>
            </w:pPr>
            <w:r w:rsidRPr="00BD0E11">
              <w:t>Fall prevention</w:t>
            </w:r>
          </w:p>
          <w:p w:rsidR="00000000" w:rsidRPr="00BD0E11" w:rsidP="00BD0E11">
            <w:pPr>
              <w:pStyle w:val="ListBullet3"/>
            </w:pPr>
            <w:r w:rsidRPr="00BD0E11">
              <w:t>Hazards</w:t>
            </w:r>
          </w:p>
          <w:p w:rsidR="00000000" w:rsidRPr="00BD0E11" w:rsidP="00BD0E11">
            <w:pPr>
              <w:pStyle w:val="ListBullet3"/>
            </w:pPr>
            <w:r w:rsidRPr="00BD0E11">
              <w:t>Identifying hazards</w:t>
            </w:r>
          </w:p>
          <w:p w:rsidR="00000000" w:rsidRPr="00BD0E11" w:rsidP="00BD0E11">
            <w:pPr>
              <w:pStyle w:val="ListBullet3"/>
            </w:pPr>
            <w:r w:rsidRPr="00BD0E11">
              <w:t>Inspect</w:t>
            </w:r>
          </w:p>
          <w:p w:rsidR="00000000" w:rsidRPr="00BD0E11" w:rsidP="00BD0E11">
            <w:pPr>
              <w:pStyle w:val="ListBullet3"/>
            </w:pPr>
            <w:r w:rsidRPr="00BD0E11">
              <w:t>Legislation</w:t>
            </w:r>
          </w:p>
          <w:p w:rsidR="00000000" w:rsidRPr="00BD0E11" w:rsidP="00BD0E11">
            <w:pPr>
              <w:pStyle w:val="ListBullet3"/>
            </w:pPr>
            <w:r w:rsidRPr="00BD0E11">
              <w:t>MSDS</w:t>
            </w:r>
          </w:p>
          <w:p w:rsidR="00000000" w:rsidRPr="00BD0E11" w:rsidP="00BD0E11">
            <w:pPr>
              <w:pStyle w:val="ListBullet3"/>
            </w:pPr>
            <w:r w:rsidRPr="00BD0E11">
              <w:t>Notification</w:t>
            </w:r>
          </w:p>
          <w:p w:rsidR="00000000" w:rsidRPr="00BD0E11" w:rsidP="00BD0E11">
            <w:pPr>
              <w:pStyle w:val="ListBullet3"/>
            </w:pPr>
            <w:r w:rsidRPr="00BD0E11">
              <w:t>OHS practices</w:t>
            </w:r>
          </w:p>
          <w:p w:rsidR="00000000" w:rsidRPr="00BD0E11" w:rsidP="00BD0E11">
            <w:pPr>
              <w:pStyle w:val="ListBullet3"/>
            </w:pPr>
            <w:r w:rsidRPr="00BD0E11">
              <w:t>OHS issues</w:t>
            </w:r>
          </w:p>
          <w:p w:rsidR="00000000" w:rsidRPr="00BD0E11" w:rsidP="00BD0E11">
            <w:pPr>
              <w:pStyle w:val="ListBullet3"/>
            </w:pPr>
            <w:r w:rsidRPr="00BD0E11">
              <w:t>Permits and/or permits to work</w:t>
            </w:r>
          </w:p>
          <w:p w:rsidR="00000000" w:rsidRPr="00BD0E11" w:rsidP="00BD0E11">
            <w:pPr>
              <w:pStyle w:val="ListBullet3"/>
            </w:pPr>
            <w:r w:rsidRPr="00BD0E11">
              <w:t>Personnel</w:t>
            </w:r>
          </w:p>
          <w:p w:rsidR="00000000" w:rsidRPr="00BD0E11" w:rsidP="00BD0E11">
            <w:pPr>
              <w:pStyle w:val="ListBullet3"/>
            </w:pPr>
            <w:r w:rsidRPr="00BD0E11">
              <w:t>Quality assurance systems</w:t>
            </w:r>
          </w:p>
          <w:p w:rsidR="00000000" w:rsidRPr="00BD0E11" w:rsidP="00BD0E11">
            <w:pPr>
              <w:pStyle w:val="ListBullet3"/>
            </w:pPr>
            <w:r w:rsidRPr="00BD0E11">
              <w:t>Requirements</w:t>
            </w:r>
          </w:p>
          <w:p w:rsidR="00000000" w:rsidRPr="00BD0E11" w:rsidP="00BD0E11">
            <w:pPr>
              <w:pStyle w:val="ListBullet3"/>
            </w:pPr>
            <w:r w:rsidRPr="00BD0E11">
              <w:t>Testing procedures</w:t>
            </w:r>
          </w:p>
          <w:p w:rsidR="00000000" w:rsidRPr="00BD0E11" w:rsidP="00BD0E11">
            <w:pPr>
              <w:pStyle w:val="ListBullet3"/>
            </w:pPr>
            <w:r w:rsidRPr="00BD0E11">
              <w:t>Work clearance systems</w:t>
            </w:r>
          </w:p>
        </w:tc>
      </w:tr>
    </w:tbl>
    <w:p w:rsidR="00000000" w:rsidRPr="00BD0E11" w:rsidP="00BD0E11">
      <w:pPr>
        <w:pStyle w:val="BodyText"/>
      </w:pPr>
    </w:p>
    <w:p w:rsidR="00000000" w:rsidRPr="00BD0E11" w:rsidP="00BD0E11">
      <w:pPr>
        <w:pStyle w:val="AllowPageBreak"/>
      </w:pPr>
    </w:p>
    <w:p w:rsidR="00000000" w:rsidRPr="00BD0E11" w:rsidP="00BD0E11">
      <w:pPr>
        <w:pStyle w:val="Heading1"/>
      </w:pPr>
      <w:bookmarkStart w:id="12" w:name="O_461571"/>
      <w:bookmarkEnd w:id="12"/>
      <w:r w:rsidRPr="00BD0E11">
        <w:t>Unit Sector(s)</w:t>
      </w:r>
    </w:p>
    <w:p w:rsidR="00000000" w:rsidRPr="00BD0E11" w:rsidP="00BD0E11">
      <w:pPr>
        <w:pStyle w:val="BodyText"/>
      </w:pPr>
      <w:r w:rsidRPr="00BD0E11">
        <w:t>Not applicable.</w:t>
      </w:r>
    </w:p>
    <w:p w:rsidR="00000000" w:rsidRPr="00BD0E11" w:rsidP="00BD0E11">
      <w:pPr>
        <w:pStyle w:val="AllowPageBreak"/>
      </w:pPr>
    </w:p>
    <w:p w:rsidR="00000000" w:rsidRPr="00BD0E11" w:rsidP="00BD0E11">
      <w:pPr>
        <w:pStyle w:val="Heading1"/>
      </w:pPr>
      <w:bookmarkStart w:id="13" w:name="O_461560"/>
      <w:bookmarkEnd w:id="13"/>
      <w:r w:rsidRPr="00BD0E11">
        <w:t>Competency Field</w:t>
      </w:r>
    </w:p>
    <w:tbl>
      <w:tblPr>
        <w:tblW w:w="0" w:type="auto"/>
        <w:tblLayout w:type="fixed"/>
        <w:tblCellMar>
          <w:left w:w="62" w:type="dxa"/>
          <w:right w:w="62" w:type="dxa"/>
        </w:tblCellMar>
        <w:tblLook w:val="0000"/>
      </w:tblPr>
      <w:tblGrid>
        <w:gridCol w:w="2700"/>
        <w:gridCol w:w="5760"/>
      </w:tblGrid>
      <w:tr w:rsidTr="004769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0E11">
            <w:pPr>
              <w:pStyle w:val="BodyText"/>
              <w:rPr>
                <w:lang w:val="en-NZ"/>
              </w:rPr>
            </w:pPr>
            <w:r w:rsidRPr="00BD0E11">
              <w:rPr>
                <w:rStyle w:val="SpecialBold"/>
              </w:rPr>
              <w:t xml:space="preserve">11) </w:t>
            </w:r>
          </w:p>
        </w:tc>
      </w:tr>
      <w:tr w:rsidTr="004769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0E11" w:rsidP="00BD0E11">
            <w:pPr>
              <w:pStyle w:val="BodyText"/>
            </w:pPr>
            <w:r w:rsidRPr="00BD0E11">
              <w:t>Cable Jointing</w:t>
            </w:r>
          </w:p>
        </w:tc>
      </w:tr>
    </w:tbl>
    <w:p w:rsidR="00000000" w:rsidRPr="00BD0E11" w:rsidP="00BD0E11">
      <w:pPr>
        <w:pStyle w:val="BodyText"/>
      </w:pPr>
    </w:p>
    <w:p w:rsidR="00000000" w:rsidRPr="00BD0E11" w:rsidP="00BD0E11"/>
    <w:sectPr w:rsidSect="00BD0E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944" w:rsidP="004769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44" w:rsidP="00BD0E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6944" w:rsidP="00BD0E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6944" w:rsidP="00BD0E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11" w:rsidRPr="00476944" w:rsidP="004769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44" w:rsidRPr="002D2AF8" w:rsidP="00BD0E11">
    <w:pPr>
      <w:pStyle w:val="Header"/>
      <w:framePr w:wrap="around"/>
    </w:pPr>
    <w:r>
      <w:fldChar w:fldCharType="begin"/>
    </w:r>
    <w:r>
      <w:instrText xml:space="preserve"> TITLE   \* MERGEFORMAT </w:instrText>
    </w:r>
    <w:r>
      <w:fldChar w:fldCharType="separate"/>
    </w:r>
    <w:r>
      <w:t>UETTDRCJ22A Install and maintain de-energised low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76944" w:rsidP="00BD0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67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28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64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E11"/>
    <w:pPr>
      <w:spacing w:before="360" w:after="60"/>
      <w:outlineLvl w:val="0"/>
    </w:pPr>
    <w:rPr>
      <w:sz w:val="32"/>
    </w:rPr>
  </w:style>
  <w:style w:type="paragraph" w:styleId="Heading2">
    <w:name w:val="heading 2"/>
    <w:basedOn w:val="HeadingBase"/>
    <w:next w:val="BodyText"/>
    <w:link w:val="Heading2Char"/>
    <w:qFormat/>
    <w:rsid w:val="00BD0E11"/>
    <w:pPr>
      <w:keepLines/>
      <w:spacing w:before="240" w:after="120"/>
      <w:outlineLvl w:val="1"/>
    </w:pPr>
    <w:rPr>
      <w:sz w:val="28"/>
      <w:szCs w:val="40"/>
    </w:rPr>
  </w:style>
  <w:style w:type="paragraph" w:styleId="Heading3">
    <w:name w:val="heading 3"/>
    <w:basedOn w:val="HeadingBase"/>
    <w:next w:val="BodyText"/>
    <w:link w:val="Heading3Char"/>
    <w:qFormat/>
    <w:rsid w:val="00BD0E11"/>
    <w:pPr>
      <w:spacing w:before="180" w:after="120"/>
      <w:outlineLvl w:val="2"/>
    </w:pPr>
    <w:rPr>
      <w:spacing w:val="-10"/>
      <w:kern w:val="32"/>
    </w:rPr>
  </w:style>
  <w:style w:type="paragraph" w:styleId="Heading4">
    <w:name w:val="heading 4"/>
    <w:basedOn w:val="HeadingBase"/>
    <w:next w:val="BodyText"/>
    <w:link w:val="Heading4Char"/>
    <w:qFormat/>
    <w:rsid w:val="00BD0E11"/>
    <w:pPr>
      <w:spacing w:before="160" w:after="120"/>
      <w:outlineLvl w:val="3"/>
    </w:pPr>
    <w:rPr>
      <w:sz w:val="22"/>
    </w:rPr>
  </w:style>
  <w:style w:type="paragraph" w:styleId="Heading5">
    <w:name w:val="heading 5"/>
    <w:basedOn w:val="HeadingBase"/>
    <w:next w:val="Normal"/>
    <w:link w:val="Heading5Char"/>
    <w:qFormat/>
    <w:rsid w:val="00BD0E11"/>
    <w:pPr>
      <w:spacing w:before="80"/>
      <w:outlineLvl w:val="4"/>
    </w:pPr>
    <w:rPr>
      <w:color w:val="918585"/>
      <w:sz w:val="20"/>
    </w:rPr>
  </w:style>
  <w:style w:type="paragraph" w:styleId="Heading6">
    <w:name w:val="heading 6"/>
    <w:basedOn w:val="HeadingBase"/>
    <w:next w:val="Normal"/>
    <w:link w:val="Heading6Char"/>
    <w:qFormat/>
    <w:rsid w:val="00BD0E11"/>
    <w:pPr>
      <w:spacing w:before="60"/>
      <w:outlineLvl w:val="5"/>
    </w:pPr>
    <w:rPr>
      <w:color w:val="918585"/>
      <w:sz w:val="20"/>
    </w:rPr>
  </w:style>
  <w:style w:type="paragraph" w:styleId="Heading7">
    <w:name w:val="heading 7"/>
    <w:basedOn w:val="Normal"/>
    <w:next w:val="Normal"/>
    <w:link w:val="Heading7Char"/>
    <w:qFormat/>
    <w:rsid w:val="00BD0E11"/>
    <w:pPr>
      <w:ind w:left="720"/>
      <w:outlineLvl w:val="6"/>
    </w:pPr>
    <w:rPr>
      <w:i/>
    </w:rPr>
  </w:style>
  <w:style w:type="paragraph" w:styleId="Heading8">
    <w:name w:val="heading 8"/>
    <w:basedOn w:val="Normal"/>
    <w:next w:val="Normal"/>
    <w:link w:val="Heading8Char"/>
    <w:qFormat/>
    <w:rsid w:val="00BD0E11"/>
    <w:pPr>
      <w:ind w:left="720"/>
      <w:outlineLvl w:val="7"/>
    </w:pPr>
    <w:rPr>
      <w:i/>
    </w:rPr>
  </w:style>
  <w:style w:type="paragraph" w:styleId="Heading9">
    <w:name w:val="heading 9"/>
    <w:basedOn w:val="Normal"/>
    <w:next w:val="Normal"/>
    <w:link w:val="Heading9Char"/>
    <w:qFormat/>
    <w:rsid w:val="00BD0E11"/>
    <w:pPr>
      <w:ind w:left="720"/>
      <w:outlineLvl w:val="8"/>
    </w:pPr>
    <w:rPr>
      <w:i/>
    </w:rPr>
  </w:style>
  <w:style w:type="character" w:default="1" w:styleId="DefaultParagraphFont">
    <w:name w:val="Default Paragraph Font"/>
    <w:uiPriority w:val="1"/>
    <w:unhideWhenUsed/>
    <w:rsid w:val="00BD0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E11"/>
  </w:style>
  <w:style w:type="character" w:customStyle="1" w:styleId="Heading1Char">
    <w:name w:val="Heading 1 Char"/>
    <w:basedOn w:val="DefaultParagraphFont"/>
    <w:link w:val="Heading1"/>
    <w:rsid w:val="00BD0E11"/>
    <w:rPr>
      <w:rFonts w:ascii="Times New Roman" w:eastAsia="Times New Roman" w:hAnsi="Times New Roman" w:cs="Times New Roman"/>
      <w:b/>
      <w:sz w:val="32"/>
      <w:szCs w:val="20"/>
      <w:lang w:eastAsia="en-US"/>
    </w:rPr>
  </w:style>
  <w:style w:type="paragraph" w:styleId="BodyText">
    <w:name w:val="Body Text"/>
    <w:basedOn w:val="Normal"/>
    <w:link w:val="BodyTextChar"/>
    <w:rsid w:val="00BD0E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E11"/>
    <w:rPr>
      <w:rFonts w:ascii="Times New Roman" w:eastAsia="Times New Roman" w:hAnsi="Times New Roman" w:cs="Times New Roman"/>
      <w:sz w:val="24"/>
      <w:lang w:eastAsia="en-US"/>
    </w:rPr>
  </w:style>
  <w:style w:type="paragraph" w:styleId="Footer">
    <w:name w:val="footer"/>
    <w:basedOn w:val="Normal"/>
    <w:link w:val="FooterChar"/>
    <w:rsid w:val="00BD0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E11"/>
    <w:rPr>
      <w:rFonts w:ascii="Times New Roman" w:eastAsia="Times New Roman" w:hAnsi="Times New Roman" w:cs="Times New Roman"/>
      <w:sz w:val="16"/>
      <w:lang w:eastAsia="en-US"/>
    </w:rPr>
  </w:style>
  <w:style w:type="paragraph" w:styleId="ListBullet">
    <w:name w:val="List Bullet"/>
    <w:basedOn w:val="List"/>
    <w:rsid w:val="00BD0E11"/>
    <w:pPr>
      <w:numPr>
        <w:numId w:val="14"/>
      </w:numPr>
      <w:tabs>
        <w:tab w:val="clear" w:pos="340"/>
      </w:tabs>
      <w:spacing w:before="40" w:after="40"/>
    </w:pPr>
  </w:style>
  <w:style w:type="character" w:customStyle="1" w:styleId="SpecialBold">
    <w:name w:val="Special Bold"/>
    <w:basedOn w:val="DefaultParagraphFont"/>
    <w:rsid w:val="00BD0E11"/>
    <w:rPr>
      <w:b/>
      <w:spacing w:val="0"/>
    </w:rPr>
  </w:style>
  <w:style w:type="paragraph" w:styleId="ListBullet2">
    <w:name w:val="List Bullet 2"/>
    <w:basedOn w:val="List2"/>
    <w:rsid w:val="00BD0E11"/>
    <w:pPr>
      <w:numPr>
        <w:numId w:val="15"/>
      </w:numPr>
      <w:tabs>
        <w:tab w:val="clear" w:pos="680"/>
      </w:tabs>
    </w:pPr>
  </w:style>
  <w:style w:type="paragraph" w:customStyle="1" w:styleId="SuperHeading">
    <w:name w:val="SuperHeading"/>
    <w:basedOn w:val="Normal"/>
    <w:rsid w:val="00BD0E11"/>
    <w:pPr>
      <w:spacing w:before="240" w:after="120"/>
      <w:outlineLvl w:val="0"/>
    </w:pPr>
    <w:rPr>
      <w:rFonts w:ascii="Times New Roman" w:hAnsi="Times New Roman"/>
      <w:b/>
      <w:sz w:val="28"/>
    </w:rPr>
  </w:style>
  <w:style w:type="paragraph" w:customStyle="1" w:styleId="AllowPageBreak">
    <w:name w:val="AllowPageBreak"/>
    <w:rsid w:val="00BD0E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0E11"/>
    <w:pPr>
      <w:numPr>
        <w:numId w:val="3"/>
      </w:numPr>
      <w:tabs>
        <w:tab w:val="clear" w:pos="1021"/>
      </w:tabs>
      <w:ind w:left="1037" w:hanging="357"/>
    </w:pPr>
  </w:style>
  <w:style w:type="character" w:customStyle="1" w:styleId="Heading2Char">
    <w:name w:val="Heading 2 Char"/>
    <w:basedOn w:val="DefaultParagraphFont"/>
    <w:link w:val="Heading2"/>
    <w:rsid w:val="00BD0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E11"/>
    <w:rPr>
      <w:rFonts w:ascii="Courier New" w:eastAsia="Times New Roman" w:hAnsi="Courier New" w:cs="Times New Roman"/>
      <w:i/>
      <w:szCs w:val="20"/>
      <w:lang w:eastAsia="en-US"/>
    </w:rPr>
  </w:style>
  <w:style w:type="paragraph" w:customStyle="1" w:styleId="HeadingBase">
    <w:name w:val="Heading Base"/>
    <w:rsid w:val="00BD0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E11"/>
    <w:pPr>
      <w:tabs>
        <w:tab w:val="right" w:leader="dot" w:pos="9072"/>
      </w:tabs>
      <w:ind w:left="567"/>
    </w:pPr>
    <w:rPr>
      <w:szCs w:val="22"/>
    </w:rPr>
  </w:style>
  <w:style w:type="paragraph" w:customStyle="1" w:styleId="TOCBase">
    <w:name w:val="TOC Base"/>
    <w:rsid w:val="00BD0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E11"/>
    <w:pPr>
      <w:tabs>
        <w:tab w:val="right" w:leader="dot" w:pos="9072"/>
      </w:tabs>
      <w:spacing w:before="40" w:after="40"/>
      <w:ind w:left="284"/>
    </w:pPr>
    <w:rPr>
      <w:rFonts w:ascii="Times New Roman" w:hAnsi="Times New Roman"/>
    </w:rPr>
  </w:style>
  <w:style w:type="paragraph" w:styleId="TOC1">
    <w:name w:val="toc 1"/>
    <w:basedOn w:val="TOCBase"/>
    <w:next w:val="Normal"/>
    <w:rsid w:val="00BD0E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E11"/>
    <w:pPr>
      <w:spacing w:before="5040"/>
      <w:jc w:val="center"/>
    </w:pPr>
    <w:rPr>
      <w:sz w:val="48"/>
      <w:szCs w:val="72"/>
      <w:lang w:val="en-US"/>
    </w:rPr>
  </w:style>
  <w:style w:type="character" w:customStyle="1" w:styleId="TitleChar">
    <w:name w:val="Title Char"/>
    <w:basedOn w:val="DefaultParagraphFont"/>
    <w:link w:val="Title"/>
    <w:rsid w:val="00BD0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E11"/>
    <w:pPr>
      <w:tabs>
        <w:tab w:val="left" w:pos="3600"/>
        <w:tab w:val="left" w:pos="3958"/>
      </w:tabs>
    </w:pPr>
  </w:style>
  <w:style w:type="paragraph" w:styleId="List">
    <w:name w:val="List"/>
    <w:basedOn w:val="BodyText"/>
    <w:next w:val="BodyText"/>
    <w:rsid w:val="00BD0E11"/>
    <w:pPr>
      <w:tabs>
        <w:tab w:val="left" w:pos="340"/>
      </w:tabs>
      <w:spacing w:before="60" w:after="60"/>
      <w:ind w:left="340" w:hanging="340"/>
    </w:pPr>
  </w:style>
  <w:style w:type="paragraph" w:customStyle="1" w:styleId="Note">
    <w:name w:val="Note"/>
    <w:basedOn w:val="BodyText"/>
    <w:rsid w:val="00BD0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E11"/>
    <w:pPr>
      <w:framePr w:wrap="auto" w:hAnchor="text" w:y="6049"/>
    </w:pPr>
    <w:rPr>
      <w:color w:val="000000"/>
      <w:sz w:val="40"/>
    </w:rPr>
  </w:style>
  <w:style w:type="paragraph" w:customStyle="1" w:styleId="TOCTitle">
    <w:name w:val="TOCTitle"/>
    <w:basedOn w:val="Heading1"/>
    <w:rsid w:val="00BD0E11"/>
    <w:pPr>
      <w:spacing w:after="240"/>
      <w:jc w:val="center"/>
      <w:outlineLvl w:val="9"/>
    </w:pPr>
    <w:rPr>
      <w:caps/>
    </w:rPr>
  </w:style>
  <w:style w:type="paragraph" w:customStyle="1" w:styleId="Version">
    <w:name w:val="Version"/>
    <w:rsid w:val="00BD0E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E11"/>
    <w:pPr>
      <w:keepNext w:val="0"/>
      <w:tabs>
        <w:tab w:val="right" w:pos="4176"/>
      </w:tabs>
      <w:ind w:left="198" w:hanging="198"/>
    </w:pPr>
    <w:rPr>
      <w:rFonts w:ascii="Garamond" w:hAnsi="Garamond"/>
    </w:rPr>
  </w:style>
  <w:style w:type="paragraph" w:styleId="IndexHeading">
    <w:name w:val="index heading"/>
    <w:basedOn w:val="Normal"/>
    <w:next w:val="Index1"/>
    <w:semiHidden/>
    <w:rsid w:val="00BD0E11"/>
    <w:pPr>
      <w:spacing w:before="120" w:after="120"/>
    </w:pPr>
    <w:rPr>
      <w:rFonts w:ascii="Arial" w:hAnsi="Arial"/>
      <w:b/>
      <w:color w:val="918585"/>
      <w:sz w:val="24"/>
    </w:rPr>
  </w:style>
  <w:style w:type="paragraph" w:styleId="Header">
    <w:name w:val="header"/>
    <w:basedOn w:val="Normal"/>
    <w:link w:val="HeaderChar"/>
    <w:rsid w:val="00BD0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E11"/>
    <w:rPr>
      <w:rFonts w:ascii="Times New Roman" w:eastAsia="Times New Roman" w:hAnsi="Times New Roman" w:cs="Times New Roman"/>
      <w:sz w:val="16"/>
      <w:szCs w:val="20"/>
      <w:lang w:val="en-GB" w:eastAsia="en-US"/>
    </w:rPr>
  </w:style>
  <w:style w:type="paragraph" w:customStyle="1" w:styleId="Chapter">
    <w:name w:val="Chapter"/>
    <w:basedOn w:val="Normal"/>
    <w:rsid w:val="00BD0E11"/>
    <w:pPr>
      <w:spacing w:before="240"/>
    </w:pPr>
    <w:rPr>
      <w:rFonts w:ascii="Times New Roman" w:hAnsi="Times New Roman"/>
      <w:smallCaps/>
      <w:spacing w:val="80"/>
      <w:sz w:val="28"/>
    </w:rPr>
  </w:style>
  <w:style w:type="paragraph" w:customStyle="1" w:styleId="InChapter">
    <w:name w:val="InChapter"/>
    <w:basedOn w:val="Heading3"/>
    <w:rsid w:val="00BD0E11"/>
    <w:pPr>
      <w:spacing w:after="240"/>
      <w:outlineLvl w:val="9"/>
    </w:pPr>
    <w:rPr>
      <w:noProof/>
    </w:rPr>
  </w:style>
  <w:style w:type="paragraph" w:styleId="Index2">
    <w:name w:val="index 2"/>
    <w:basedOn w:val="Normal"/>
    <w:next w:val="Normal"/>
    <w:semiHidden/>
    <w:rsid w:val="00BD0E11"/>
    <w:pPr>
      <w:tabs>
        <w:tab w:val="right" w:pos="4176"/>
      </w:tabs>
      <w:ind w:left="568" w:hanging="284"/>
    </w:pPr>
    <w:rPr>
      <w:rFonts w:ascii="Garamond" w:hAnsi="Garamond"/>
    </w:rPr>
  </w:style>
  <w:style w:type="paragraph" w:customStyle="1" w:styleId="Byline">
    <w:name w:val="Byline"/>
    <w:rsid w:val="00BD0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E11"/>
    <w:pPr>
      <w:tabs>
        <w:tab w:val="clear" w:pos="3600"/>
        <w:tab w:val="clear" w:pos="3958"/>
      </w:tabs>
      <w:jc w:val="right"/>
    </w:pPr>
  </w:style>
  <w:style w:type="character" w:styleId="Emphasis">
    <w:name w:val="Emphasis"/>
    <w:basedOn w:val="DefaultParagraphFont"/>
    <w:qFormat/>
    <w:rsid w:val="00BD0E11"/>
    <w:rPr>
      <w:i/>
    </w:rPr>
  </w:style>
  <w:style w:type="paragraph" w:styleId="Caption">
    <w:name w:val="caption"/>
    <w:basedOn w:val="BodyText"/>
    <w:next w:val="Normal"/>
    <w:qFormat/>
    <w:rsid w:val="00BD0E11"/>
    <w:pPr>
      <w:framePr w:w="2268" w:hSpace="181" w:vSpace="181" w:wrap="around" w:vAnchor="text" w:hAnchor="page" w:x="1135" w:y="285" w:anchorLock="1"/>
    </w:pPr>
    <w:rPr>
      <w:i/>
    </w:rPr>
  </w:style>
  <w:style w:type="paragraph" w:customStyle="1" w:styleId="MiniTOCTitle">
    <w:name w:val="MiniTOCTitle"/>
    <w:basedOn w:val="Heading4"/>
    <w:rsid w:val="00BD0E11"/>
    <w:pPr>
      <w:spacing w:before="240"/>
      <w:outlineLvl w:val="9"/>
    </w:pPr>
    <w:rPr>
      <w:noProof/>
      <w:sz w:val="24"/>
    </w:rPr>
  </w:style>
  <w:style w:type="paragraph" w:customStyle="1" w:styleId="MiniTOCItem">
    <w:name w:val="MiniTOCItem"/>
    <w:basedOn w:val="ListBullet"/>
    <w:rsid w:val="00BD0E11"/>
    <w:pPr>
      <w:numPr>
        <w:numId w:val="0"/>
      </w:numPr>
      <w:tabs>
        <w:tab w:val="right" w:leader="dot" w:pos="6521"/>
      </w:tabs>
      <w:spacing w:before="0" w:after="0"/>
    </w:pPr>
  </w:style>
  <w:style w:type="paragraph" w:customStyle="1" w:styleId="TOFTitle">
    <w:name w:val="TOFTitle"/>
    <w:basedOn w:val="TOCTitle"/>
    <w:rsid w:val="00BD0E11"/>
  </w:style>
  <w:style w:type="paragraph" w:styleId="TableofFigures">
    <w:name w:val="table of figures"/>
    <w:basedOn w:val="Normal"/>
    <w:next w:val="Normal"/>
    <w:semiHidden/>
    <w:rsid w:val="00BD0E11"/>
    <w:pPr>
      <w:tabs>
        <w:tab w:val="right" w:leader="dot" w:pos="9072"/>
      </w:tabs>
      <w:ind w:left="970" w:hanging="403"/>
    </w:pPr>
    <w:rPr>
      <w:rFonts w:ascii="Times New Roman" w:hAnsi="Times New Roman"/>
      <w:b/>
    </w:rPr>
  </w:style>
  <w:style w:type="paragraph" w:styleId="ListNumber">
    <w:name w:val="List Number"/>
    <w:basedOn w:val="List"/>
    <w:rsid w:val="00BD0E11"/>
    <w:pPr>
      <w:numPr>
        <w:numId w:val="12"/>
      </w:numPr>
    </w:pPr>
  </w:style>
  <w:style w:type="character" w:customStyle="1" w:styleId="WingdingSymbols">
    <w:name w:val="Wingding Symbols"/>
    <w:rsid w:val="00BD0E11"/>
    <w:rPr>
      <w:rFonts w:ascii="Wingdings" w:hAnsi="Wingdings"/>
    </w:rPr>
  </w:style>
  <w:style w:type="paragraph" w:customStyle="1" w:styleId="TableHeading">
    <w:name w:val="Table Heading"/>
    <w:basedOn w:val="HeadingBase"/>
    <w:rsid w:val="00BD0E11"/>
    <w:pPr>
      <w:keepLines/>
      <w:pBdr>
        <w:bottom w:val="single" w:sz="6" w:space="1" w:color="918585"/>
      </w:pBdr>
      <w:spacing w:before="240"/>
    </w:pPr>
  </w:style>
  <w:style w:type="character" w:customStyle="1" w:styleId="HotSpot">
    <w:name w:val="HotSpot"/>
    <w:rsid w:val="00BD0E11"/>
    <w:rPr>
      <w:color w:val="0033CC"/>
      <w:u w:val="none"/>
    </w:rPr>
  </w:style>
  <w:style w:type="paragraph" w:customStyle="1" w:styleId="BodyTextRight">
    <w:name w:val="Body Text Right"/>
    <w:basedOn w:val="BodyText"/>
    <w:rsid w:val="00BD0E11"/>
    <w:pPr>
      <w:spacing w:before="0" w:after="0"/>
      <w:jc w:val="right"/>
    </w:pPr>
  </w:style>
  <w:style w:type="paragraph" w:styleId="Index3">
    <w:name w:val="index 3"/>
    <w:basedOn w:val="ListNumber2"/>
    <w:next w:val="Normal"/>
    <w:semiHidden/>
    <w:rsid w:val="00BD0E11"/>
    <w:pPr>
      <w:numPr>
        <w:numId w:val="0"/>
      </w:numPr>
      <w:tabs>
        <w:tab w:val="right" w:leader="dot" w:pos="4176"/>
      </w:tabs>
    </w:pPr>
  </w:style>
  <w:style w:type="paragraph" w:styleId="ListNumber2">
    <w:name w:val="List Number 2"/>
    <w:basedOn w:val="List2"/>
    <w:rsid w:val="00BD0E11"/>
    <w:pPr>
      <w:numPr>
        <w:numId w:val="11"/>
      </w:numPr>
      <w:tabs>
        <w:tab w:val="clear" w:pos="1060"/>
      </w:tabs>
    </w:pPr>
  </w:style>
  <w:style w:type="paragraph" w:customStyle="1" w:styleId="MarginNote">
    <w:name w:val="Margin Note"/>
    <w:basedOn w:val="BodyText"/>
    <w:rsid w:val="00BD0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E11"/>
    <w:rPr>
      <w:sz w:val="32"/>
    </w:rPr>
  </w:style>
  <w:style w:type="paragraph" w:customStyle="1" w:styleId="HeadingProcedure">
    <w:name w:val="Heading Procedure"/>
    <w:basedOn w:val="HeadingBase"/>
    <w:next w:val="Normal"/>
    <w:rsid w:val="00BD0E11"/>
    <w:pPr>
      <w:tabs>
        <w:tab w:val="left" w:pos="0"/>
      </w:tabs>
      <w:spacing w:before="120" w:after="60"/>
    </w:pPr>
    <w:rPr>
      <w:i/>
      <w:color w:val="918585"/>
      <w:sz w:val="22"/>
    </w:rPr>
  </w:style>
  <w:style w:type="paragraph" w:customStyle="1" w:styleId="TableBodyText">
    <w:name w:val="Table Body Text"/>
    <w:basedOn w:val="BodyText"/>
    <w:rsid w:val="00BD0E11"/>
    <w:pPr>
      <w:spacing w:before="60" w:after="60"/>
    </w:pPr>
  </w:style>
  <w:style w:type="paragraph" w:styleId="ListContinue">
    <w:name w:val="List Continue"/>
    <w:basedOn w:val="List"/>
    <w:rsid w:val="00BD0E11"/>
    <w:pPr>
      <w:ind w:firstLine="0"/>
    </w:pPr>
  </w:style>
  <w:style w:type="paragraph" w:customStyle="1" w:styleId="ListNote">
    <w:name w:val="List Note"/>
    <w:basedOn w:val="List"/>
    <w:rsid w:val="00BD0E11"/>
    <w:pPr>
      <w:pBdr>
        <w:top w:val="single" w:sz="6" w:space="2" w:color="918585"/>
        <w:bottom w:val="single" w:sz="6" w:space="2" w:color="918585"/>
      </w:pBdr>
      <w:tabs>
        <w:tab w:val="left" w:pos="1021"/>
      </w:tabs>
      <w:ind w:firstLine="0"/>
    </w:pPr>
  </w:style>
  <w:style w:type="paragraph" w:customStyle="1" w:styleId="Warning">
    <w:name w:val="Warning"/>
    <w:basedOn w:val="BodyText"/>
    <w:rsid w:val="00BD0E11"/>
    <w:pPr>
      <w:shd w:val="clear" w:color="auto" w:fill="D9D9D9"/>
      <w:tabs>
        <w:tab w:val="left" w:pos="992"/>
      </w:tabs>
      <w:ind w:left="119" w:right="119"/>
    </w:pPr>
    <w:rPr>
      <w:sz w:val="20"/>
    </w:rPr>
  </w:style>
  <w:style w:type="paragraph" w:customStyle="1" w:styleId="MarginIcons">
    <w:name w:val="Margin Icons"/>
    <w:basedOn w:val="BodyText"/>
    <w:rsid w:val="00BD0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E11"/>
    <w:rPr>
      <w:rFonts w:ascii="Courier New" w:hAnsi="Courier New"/>
    </w:rPr>
  </w:style>
  <w:style w:type="paragraph" w:customStyle="1" w:styleId="NoteBullet">
    <w:name w:val="Note Bullet"/>
    <w:basedOn w:val="Note"/>
    <w:rsid w:val="00BD0E11"/>
    <w:pPr>
      <w:tabs>
        <w:tab w:val="clear" w:pos="680"/>
      </w:tabs>
      <w:spacing w:before="60" w:after="60"/>
    </w:pPr>
  </w:style>
  <w:style w:type="paragraph" w:customStyle="1" w:styleId="SubHeading2">
    <w:name w:val="SubHeading2"/>
    <w:basedOn w:val="HeadingBase"/>
    <w:rsid w:val="00BD0E11"/>
    <w:pPr>
      <w:spacing w:before="240" w:after="60"/>
    </w:pPr>
    <w:rPr>
      <w:sz w:val="20"/>
    </w:rPr>
  </w:style>
  <w:style w:type="paragraph" w:customStyle="1" w:styleId="SubHeading1">
    <w:name w:val="SubHeading1"/>
    <w:basedOn w:val="HeadingBase"/>
    <w:rsid w:val="00BD0E11"/>
    <w:pPr>
      <w:spacing w:before="240" w:after="60"/>
    </w:pPr>
    <w:rPr>
      <w:color w:val="918585"/>
      <w:sz w:val="22"/>
    </w:rPr>
  </w:style>
  <w:style w:type="paragraph" w:customStyle="1" w:styleId="SideHeading">
    <w:name w:val="Side Heading"/>
    <w:basedOn w:val="HeadingBase"/>
    <w:rsid w:val="00BD0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E11"/>
    <w:pPr>
      <w:numPr>
        <w:numId w:val="13"/>
      </w:numPr>
    </w:pPr>
  </w:style>
  <w:style w:type="paragraph" w:styleId="PlainText">
    <w:name w:val="Plain Text"/>
    <w:basedOn w:val="Normal"/>
    <w:link w:val="PlainTextChar"/>
    <w:rsid w:val="00BD0E11"/>
    <w:rPr>
      <w:sz w:val="20"/>
    </w:rPr>
  </w:style>
  <w:style w:type="character" w:customStyle="1" w:styleId="PlainTextChar">
    <w:name w:val="Plain Text Char"/>
    <w:basedOn w:val="DefaultParagraphFont"/>
    <w:link w:val="PlainText"/>
    <w:rsid w:val="00BD0E11"/>
    <w:rPr>
      <w:rFonts w:ascii="Courier New" w:eastAsia="Times New Roman" w:hAnsi="Courier New" w:cs="Times New Roman"/>
      <w:sz w:val="20"/>
      <w:szCs w:val="20"/>
      <w:lang w:eastAsia="en-US"/>
    </w:rPr>
  </w:style>
  <w:style w:type="character" w:customStyle="1" w:styleId="MenuOption">
    <w:name w:val="Menu Option"/>
    <w:basedOn w:val="DefaultParagraphFont"/>
    <w:rsid w:val="00BD0E11"/>
    <w:rPr>
      <w:b/>
      <w:smallCaps/>
    </w:rPr>
  </w:style>
  <w:style w:type="paragraph" w:customStyle="1" w:styleId="TableListNumber">
    <w:name w:val="Table List Number"/>
    <w:basedOn w:val="ListNumber"/>
    <w:rsid w:val="00BD0E11"/>
    <w:pPr>
      <w:numPr>
        <w:numId w:val="0"/>
      </w:numPr>
    </w:pPr>
  </w:style>
  <w:style w:type="paragraph" w:styleId="TOC4">
    <w:name w:val="toc 4"/>
    <w:basedOn w:val="TOCBase"/>
    <w:next w:val="Normal"/>
    <w:semiHidden/>
    <w:rsid w:val="00BD0E11"/>
    <w:pPr>
      <w:tabs>
        <w:tab w:val="right" w:leader="dot" w:pos="9071"/>
      </w:tabs>
      <w:ind w:left="1701"/>
    </w:pPr>
  </w:style>
  <w:style w:type="paragraph" w:customStyle="1" w:styleId="ListAlpha">
    <w:name w:val="List Alpha"/>
    <w:basedOn w:val="List"/>
    <w:rsid w:val="00BD0E11"/>
    <w:pPr>
      <w:numPr>
        <w:numId w:val="10"/>
      </w:numPr>
    </w:pPr>
  </w:style>
  <w:style w:type="paragraph" w:customStyle="1" w:styleId="ListAlpha2">
    <w:name w:val="List Alpha 2"/>
    <w:basedOn w:val="List2"/>
    <w:rsid w:val="00BD0E11"/>
    <w:pPr>
      <w:numPr>
        <w:numId w:val="9"/>
      </w:numPr>
    </w:pPr>
  </w:style>
  <w:style w:type="paragraph" w:styleId="List2">
    <w:name w:val="List 2"/>
    <w:basedOn w:val="BodyText"/>
    <w:rsid w:val="00BD0E11"/>
    <w:pPr>
      <w:tabs>
        <w:tab w:val="left" w:pos="680"/>
      </w:tabs>
      <w:spacing w:before="60" w:after="60"/>
      <w:ind w:left="680" w:hanging="340"/>
    </w:pPr>
  </w:style>
  <w:style w:type="paragraph" w:styleId="List3">
    <w:name w:val="List 3"/>
    <w:basedOn w:val="BodyText"/>
    <w:rsid w:val="00BD0E11"/>
    <w:pPr>
      <w:tabs>
        <w:tab w:val="left" w:pos="1021"/>
      </w:tabs>
      <w:spacing w:before="60" w:after="60"/>
      <w:ind w:left="1020" w:hanging="340"/>
    </w:pPr>
  </w:style>
  <w:style w:type="paragraph" w:styleId="List4">
    <w:name w:val="List 4"/>
    <w:basedOn w:val="BodyText"/>
    <w:rsid w:val="00BD0E11"/>
    <w:pPr>
      <w:tabs>
        <w:tab w:val="left" w:pos="1361"/>
      </w:tabs>
      <w:spacing w:before="60" w:after="60"/>
      <w:ind w:left="1361" w:hanging="340"/>
    </w:pPr>
  </w:style>
  <w:style w:type="paragraph" w:styleId="List5">
    <w:name w:val="List 5"/>
    <w:basedOn w:val="BodyText"/>
    <w:rsid w:val="00BD0E11"/>
    <w:pPr>
      <w:tabs>
        <w:tab w:val="left" w:pos="1701"/>
      </w:tabs>
      <w:spacing w:before="60" w:after="60"/>
      <w:ind w:left="1701" w:hanging="340"/>
    </w:pPr>
  </w:style>
  <w:style w:type="paragraph" w:styleId="ListBullet4">
    <w:name w:val="List Bullet 4"/>
    <w:basedOn w:val="List4"/>
    <w:rsid w:val="00BD0E11"/>
    <w:pPr>
      <w:numPr>
        <w:numId w:val="4"/>
      </w:numPr>
    </w:pPr>
  </w:style>
  <w:style w:type="paragraph" w:styleId="ListBullet5">
    <w:name w:val="List Bullet 5"/>
    <w:basedOn w:val="List5"/>
    <w:rsid w:val="00BD0E11"/>
    <w:pPr>
      <w:numPr>
        <w:numId w:val="5"/>
      </w:numPr>
    </w:pPr>
  </w:style>
  <w:style w:type="paragraph" w:styleId="ListContinue2">
    <w:name w:val="List Continue 2"/>
    <w:basedOn w:val="List2"/>
    <w:rsid w:val="00BD0E11"/>
    <w:pPr>
      <w:ind w:firstLine="0"/>
    </w:pPr>
  </w:style>
  <w:style w:type="paragraph" w:styleId="ListContinue3">
    <w:name w:val="List Continue 3"/>
    <w:basedOn w:val="List3"/>
    <w:rsid w:val="00BD0E11"/>
    <w:pPr>
      <w:ind w:left="1021" w:firstLine="0"/>
    </w:pPr>
  </w:style>
  <w:style w:type="paragraph" w:styleId="ListContinue4">
    <w:name w:val="List Continue 4"/>
    <w:basedOn w:val="List4"/>
    <w:rsid w:val="00BD0E11"/>
    <w:pPr>
      <w:ind w:firstLine="0"/>
    </w:pPr>
  </w:style>
  <w:style w:type="paragraph" w:styleId="ListContinue5">
    <w:name w:val="List Continue 5"/>
    <w:basedOn w:val="List5"/>
    <w:rsid w:val="00BD0E11"/>
    <w:pPr>
      <w:ind w:firstLine="0"/>
    </w:pPr>
  </w:style>
  <w:style w:type="paragraph" w:styleId="ListNumber3">
    <w:name w:val="List Number 3"/>
    <w:basedOn w:val="List3"/>
    <w:rsid w:val="00BD0E11"/>
    <w:pPr>
      <w:numPr>
        <w:numId w:val="6"/>
      </w:numPr>
    </w:pPr>
  </w:style>
  <w:style w:type="paragraph" w:styleId="ListNumber4">
    <w:name w:val="List Number 4"/>
    <w:basedOn w:val="List4"/>
    <w:rsid w:val="00BD0E11"/>
    <w:pPr>
      <w:numPr>
        <w:numId w:val="7"/>
      </w:numPr>
    </w:pPr>
  </w:style>
  <w:style w:type="paragraph" w:styleId="ListNumber5">
    <w:name w:val="List Number 5"/>
    <w:basedOn w:val="List5"/>
    <w:rsid w:val="00BD0E11"/>
    <w:pPr>
      <w:numPr>
        <w:numId w:val="8"/>
      </w:numPr>
    </w:pPr>
  </w:style>
  <w:style w:type="paragraph" w:styleId="BlockText">
    <w:name w:val="Block Text"/>
    <w:basedOn w:val="Normal"/>
    <w:rsid w:val="00BD0E11"/>
    <w:pPr>
      <w:spacing w:after="120"/>
      <w:ind w:left="1440" w:right="1440"/>
    </w:pPr>
  </w:style>
  <w:style w:type="character" w:customStyle="1" w:styleId="Subscript">
    <w:name w:val="Subscript"/>
    <w:basedOn w:val="DefaultParagraphFont"/>
    <w:rsid w:val="00BD0E11"/>
    <w:rPr>
      <w:sz w:val="16"/>
      <w:vertAlign w:val="subscript"/>
    </w:rPr>
  </w:style>
  <w:style w:type="character" w:customStyle="1" w:styleId="Superscript">
    <w:name w:val="Superscript"/>
    <w:basedOn w:val="DefaultParagraphFont"/>
    <w:rsid w:val="00BD0E11"/>
    <w:rPr>
      <w:sz w:val="16"/>
      <w:vertAlign w:val="superscript"/>
    </w:rPr>
  </w:style>
  <w:style w:type="character" w:customStyle="1" w:styleId="Symbols">
    <w:name w:val="Symbols"/>
    <w:basedOn w:val="DefaultParagraphFont"/>
    <w:rsid w:val="00BD0E11"/>
    <w:rPr>
      <w:rFonts w:ascii="Symbol" w:hAnsi="Symbol"/>
    </w:rPr>
  </w:style>
  <w:style w:type="character" w:customStyle="1" w:styleId="MenuOptions">
    <w:name w:val="Menu Options"/>
    <w:basedOn w:val="DefaultParagraphFont"/>
    <w:rsid w:val="00BD0E11"/>
    <w:rPr>
      <w:rFonts w:ascii="Arial Narrow" w:hAnsi="Arial Narrow"/>
      <w:smallCaps/>
    </w:rPr>
  </w:style>
  <w:style w:type="character" w:customStyle="1" w:styleId="Buttons">
    <w:name w:val="Buttons"/>
    <w:basedOn w:val="DefaultParagraphFont"/>
    <w:rsid w:val="00BD0E11"/>
    <w:rPr>
      <w:b/>
    </w:rPr>
  </w:style>
  <w:style w:type="character" w:customStyle="1" w:styleId="Underlined">
    <w:name w:val="Underlined"/>
    <w:basedOn w:val="DefaultParagraphFont"/>
    <w:rsid w:val="00BD0E11"/>
    <w:rPr>
      <w:u w:val="single"/>
    </w:rPr>
  </w:style>
  <w:style w:type="paragraph" w:customStyle="1" w:styleId="TableBodyTextRight">
    <w:name w:val="Table Body Text Right"/>
    <w:basedOn w:val="TableBodyText"/>
    <w:rsid w:val="00BD0E11"/>
    <w:pPr>
      <w:widowControl w:val="0"/>
      <w:autoSpaceDE w:val="0"/>
      <w:autoSpaceDN w:val="0"/>
      <w:adjustRightInd w:val="0"/>
      <w:jc w:val="right"/>
    </w:pPr>
    <w:rPr>
      <w:rFonts w:cs="Arial"/>
      <w:szCs w:val="18"/>
    </w:rPr>
  </w:style>
  <w:style w:type="paragraph" w:customStyle="1" w:styleId="CopyrightText">
    <w:name w:val="Copyright Text"/>
    <w:basedOn w:val="BodyText"/>
    <w:rsid w:val="00BD0E11"/>
    <w:rPr>
      <w:sz w:val="18"/>
    </w:rPr>
  </w:style>
  <w:style w:type="paragraph" w:customStyle="1" w:styleId="BodySmallRight">
    <w:name w:val="Body Small Right"/>
    <w:basedOn w:val="BodyTextRight"/>
    <w:rsid w:val="00BD0E11"/>
    <w:rPr>
      <w:sz w:val="18"/>
      <w:szCs w:val="18"/>
    </w:rPr>
  </w:style>
  <w:style w:type="paragraph" w:customStyle="1" w:styleId="MarginEdition">
    <w:name w:val="Margin Edition"/>
    <w:basedOn w:val="MarginNote"/>
    <w:rsid w:val="00BD0E11"/>
    <w:pPr>
      <w:spacing w:before="0" w:after="0"/>
    </w:pPr>
    <w:rPr>
      <w:rFonts w:ascii="Times New Roman" w:hAnsi="Times New Roman"/>
      <w:color w:val="999999"/>
    </w:rPr>
  </w:style>
  <w:style w:type="paragraph" w:customStyle="1" w:styleId="Spacer">
    <w:name w:val="Spacer"/>
    <w:basedOn w:val="Normal"/>
    <w:rsid w:val="00BD0E11"/>
    <w:rPr>
      <w:sz w:val="2"/>
      <w:szCs w:val="2"/>
    </w:rPr>
  </w:style>
  <w:style w:type="character" w:customStyle="1" w:styleId="Small">
    <w:name w:val="Small"/>
    <w:basedOn w:val="DefaultParagraphFont"/>
    <w:rsid w:val="00BD0E11"/>
    <w:rPr>
      <w:sz w:val="16"/>
    </w:rPr>
  </w:style>
  <w:style w:type="paragraph" w:customStyle="1" w:styleId="WideTable">
    <w:name w:val="Wide Table"/>
    <w:basedOn w:val="Normal"/>
    <w:rsid w:val="00BD0E11"/>
    <w:pPr>
      <w:ind w:left="-1418"/>
    </w:pPr>
    <w:rPr>
      <w:sz w:val="2"/>
      <w:szCs w:val="2"/>
    </w:rPr>
  </w:style>
  <w:style w:type="character" w:styleId="PageNumber">
    <w:name w:val="page number"/>
    <w:basedOn w:val="DefaultParagraphFont"/>
    <w:rsid w:val="00BD0E11"/>
  </w:style>
  <w:style w:type="paragraph" w:styleId="Quote">
    <w:name w:val="Quote"/>
    <w:basedOn w:val="Heading1"/>
    <w:link w:val="QuoteChar"/>
    <w:qFormat/>
    <w:rsid w:val="00BD0E11"/>
    <w:rPr>
      <w:b w:val="0"/>
      <w:sz w:val="72"/>
      <w:szCs w:val="72"/>
      <w:lang w:val="en-NZ"/>
    </w:rPr>
  </w:style>
  <w:style w:type="character" w:customStyle="1" w:styleId="QuoteChar">
    <w:name w:val="Quote Char"/>
    <w:basedOn w:val="DefaultParagraphFont"/>
    <w:link w:val="Quote"/>
    <w:rsid w:val="00BD0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E11"/>
    <w:pPr>
      <w:pageBreakBefore/>
    </w:pPr>
  </w:style>
  <w:style w:type="paragraph" w:customStyle="1" w:styleId="Border">
    <w:name w:val="Border"/>
    <w:basedOn w:val="Normal"/>
    <w:qFormat/>
    <w:rsid w:val="00BD0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E11"/>
    <w:rPr>
      <w:b/>
      <w:bCs/>
      <w:i/>
      <w:iCs/>
      <w:color w:val="auto"/>
    </w:rPr>
  </w:style>
  <w:style w:type="paragraph" w:styleId="IntenseQuote">
    <w:name w:val="Intense Quote"/>
    <w:basedOn w:val="Normal"/>
    <w:next w:val="Normal"/>
    <w:link w:val="IntenseQuoteChar"/>
    <w:uiPriority w:val="30"/>
    <w:qFormat/>
    <w:rsid w:val="00BD0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E11"/>
    <w:rPr>
      <w:smallCaps/>
      <w:color w:val="auto"/>
      <w:u w:val="single"/>
    </w:rPr>
  </w:style>
  <w:style w:type="character" w:styleId="IntenseReference">
    <w:name w:val="Intense Reference"/>
    <w:basedOn w:val="DefaultParagraphFont"/>
    <w:uiPriority w:val="32"/>
    <w:qFormat/>
    <w:rsid w:val="00BD0E11"/>
    <w:rPr>
      <w:b/>
      <w:bCs/>
      <w:smallCaps/>
      <w:color w:val="auto"/>
      <w:spacing w:val="5"/>
      <w:u w:val="single"/>
    </w:rPr>
  </w:style>
  <w:style w:type="paragraph" w:customStyle="1" w:styleId="2ColumnHeading">
    <w:name w:val="2Column Heading"/>
    <w:basedOn w:val="BodyText"/>
    <w:qFormat/>
    <w:rsid w:val="00BD0E11"/>
    <w:pPr>
      <w:spacing w:after="60"/>
      <w:ind w:left="-2268"/>
    </w:pPr>
    <w:rPr>
      <w:b/>
    </w:rPr>
  </w:style>
  <w:style w:type="paragraph" w:customStyle="1" w:styleId="Heading1TOC">
    <w:name w:val="Heading1 TOC"/>
    <w:basedOn w:val="Normal"/>
    <w:qFormat/>
    <w:rsid w:val="00BD0E11"/>
    <w:pPr>
      <w:spacing w:before="240" w:after="120"/>
    </w:pPr>
    <w:rPr>
      <w:rFonts w:ascii="Times New Roman" w:hAnsi="Times New Roman"/>
      <w:b/>
      <w:sz w:val="32"/>
    </w:rPr>
  </w:style>
  <w:style w:type="paragraph" w:customStyle="1" w:styleId="Heading2TOC">
    <w:name w:val="Heading2 TOC"/>
    <w:basedOn w:val="Normal"/>
    <w:qFormat/>
    <w:rsid w:val="00BD0E11"/>
    <w:pPr>
      <w:spacing w:before="240" w:after="60"/>
    </w:pPr>
    <w:rPr>
      <w:rFonts w:ascii="Times New Roman" w:hAnsi="Times New Roman"/>
      <w:b/>
      <w:sz w:val="28"/>
    </w:rPr>
  </w:style>
  <w:style w:type="character" w:customStyle="1" w:styleId="Underline">
    <w:name w:val="Underline"/>
    <w:basedOn w:val="DefaultParagraphFont"/>
    <w:qFormat/>
    <w:rsid w:val="00BD0E11"/>
    <w:rPr>
      <w:u w:val="single"/>
    </w:rPr>
  </w:style>
  <w:style w:type="character" w:customStyle="1" w:styleId="BoldandItalics">
    <w:name w:val="Bold and Italics"/>
    <w:qFormat/>
    <w:rsid w:val="00BD0E11"/>
    <w:rPr>
      <w:b/>
      <w:i/>
      <w:u w:val="none"/>
    </w:rPr>
  </w:style>
  <w:style w:type="paragraph" w:styleId="BalloonText">
    <w:name w:val="Balloon Text"/>
    <w:basedOn w:val="Normal"/>
    <w:link w:val="BalloonTextChar"/>
    <w:rsid w:val="00BD0E11"/>
    <w:rPr>
      <w:rFonts w:ascii="Tahoma" w:hAnsi="Tahoma" w:cs="Tahoma"/>
      <w:sz w:val="16"/>
      <w:szCs w:val="16"/>
    </w:rPr>
  </w:style>
  <w:style w:type="character" w:customStyle="1" w:styleId="BalloonTextChar">
    <w:name w:val="Balloon Text Char"/>
    <w:basedOn w:val="DefaultParagraphFont"/>
    <w:link w:val="BalloonText"/>
    <w:rsid w:val="00BD0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E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E11"/>
    <w:rPr>
      <w:b/>
      <w:color w:val="660033"/>
      <w:spacing w:val="0"/>
    </w:rPr>
  </w:style>
  <w:style w:type="paragraph" w:customStyle="1" w:styleId="Nameditemlist">
    <w:name w:val="Named item list"/>
    <w:basedOn w:val="BodyText"/>
    <w:qFormat/>
    <w:rsid w:val="00BD0E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2690</Words>
  <Characters>16888</Characters>
  <Application>Microsoft Office Word</Application>
  <DocSecurity>0</DocSecurity>
  <Lines>715</Lines>
  <Paragraphs>292</Paragraphs>
  <ScaleCrop>false</ScaleCrop>
  <Company>Author-it Software Corporation Ltd.</Company>
  <LinksUpToDate>false</LinksUpToDate>
  <CharactersWithSpaces>19354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UETTDRCJ22A Install and maintain de-energised low voltage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2012-10-11T21:05:00Z</dcterms:created>
  <dcterms:modified xsi:type="dcterms:W3CDTF">2012-10-11T21:05:00Z</dcterms:modified>
</cp:coreProperties>
</file>