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7A80" w:rsidP="00AB7A80">
      <w:pPr>
        <w:pStyle w:val="Title"/>
      </w:pPr>
      <w:r>
        <w:fldChar w:fldCharType="begin"/>
      </w:r>
      <w:r>
        <w:instrText xml:space="preserve"> TITLE   \* MERGEFORMAT </w:instrText>
      </w:r>
      <w:r>
        <w:fldChar w:fldCharType="separate"/>
      </w:r>
      <w:r>
        <w:t>UET50312 Diploma of ESI - Power Systems Operations</w:t>
      </w:r>
      <w:r>
        <w:fldChar w:fldCharType="end"/>
      </w:r>
    </w:p>
    <w:p w:rsidR="00AB7A80" w:rsidP="00AB7A80">
      <w:pPr>
        <w:pStyle w:val="Version"/>
        <w:sectPr w:rsidSect="000F12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F1280" w:rsidP="000F1280">
      <w:pPr>
        <w:pStyle w:val="SuperHeading"/>
      </w:pPr>
      <w:r w:rsidRPr="000F1280">
        <w:t>UET50312 Diploma of ESI - Power Systems Operations</w:t>
      </w:r>
    </w:p>
    <w:p w:rsidR="00000000" w:rsidRPr="000F1280" w:rsidP="000F1280">
      <w:pPr>
        <w:pStyle w:val="Heading1"/>
      </w:pPr>
      <w:bookmarkStart w:id="1" w:name="O_668654"/>
      <w:bookmarkEnd w:id="1"/>
      <w:r w:rsidRPr="000F1280">
        <w:t>Modification History</w:t>
      </w:r>
    </w:p>
    <w:tbl>
      <w:tblPr>
        <w:tblW w:w="9639" w:type="dxa"/>
        <w:tblLayout w:type="fixed"/>
        <w:tblCellMar>
          <w:left w:w="62" w:type="dxa"/>
          <w:right w:w="62" w:type="dxa"/>
        </w:tblCellMar>
        <w:tblLook w:val="0000"/>
      </w:tblPr>
      <w:tblGrid>
        <w:gridCol w:w="819"/>
        <w:gridCol w:w="882"/>
        <w:gridCol w:w="1701"/>
        <w:gridCol w:w="5146"/>
        <w:gridCol w:w="1091"/>
      </w:tblGrid>
      <w:tr w:rsidTr="00AB7A8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280">
            <w:pPr>
              <w:pStyle w:val="BodyText"/>
              <w:rPr>
                <w:lang w:val="en-NZ"/>
              </w:rPr>
            </w:pPr>
            <w:r w:rsidRPr="000F1280">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280">
            <w:pPr>
              <w:pStyle w:val="BodyText"/>
              <w:rPr>
                <w:lang w:val="en-NZ"/>
              </w:rPr>
            </w:pPr>
            <w:r w:rsidRPr="000F1280">
              <w:t>Action</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280">
            <w:pPr>
              <w:pStyle w:val="BodyText"/>
              <w:rPr>
                <w:lang w:val="en-NZ"/>
              </w:rPr>
            </w:pPr>
            <w:r w:rsidRPr="000F1280">
              <w:t>Core/Elective</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280">
            <w:pPr>
              <w:pStyle w:val="BodyText"/>
              <w:rPr>
                <w:lang w:val="en-NZ"/>
              </w:rPr>
            </w:pPr>
            <w:r w:rsidRPr="000F1280">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280">
            <w:pPr>
              <w:pStyle w:val="BodyText"/>
              <w:rPr>
                <w:lang w:val="en-NZ"/>
              </w:rPr>
            </w:pPr>
            <w:r w:rsidRPr="000F1280">
              <w:t>Points</w:t>
            </w:r>
          </w:p>
        </w:tc>
      </w:tr>
      <w:tr w:rsidTr="00AB7A8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280">
            <w:pPr>
              <w:pStyle w:val="BodyText"/>
              <w:rPr>
                <w:lang w:val="en-NZ"/>
              </w:rPr>
            </w:pPr>
            <w:r w:rsidRPr="000F1280">
              <w:t>2</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280">
            <w:pPr>
              <w:pStyle w:val="BodyText"/>
              <w:rPr>
                <w:lang w:val="en-NZ"/>
              </w:rPr>
            </w:pPr>
            <w:r w:rsidRPr="000F1280">
              <w:t>Add</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280">
            <w:pPr>
              <w:pStyle w:val="BodyText"/>
              <w:rPr>
                <w:lang w:val="en-NZ"/>
              </w:rPr>
            </w:pPr>
            <w:r w:rsidRPr="000F1280">
              <w:t>Group A</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280">
            <w:pPr>
              <w:pStyle w:val="BodyText"/>
              <w:rPr>
                <w:lang w:val="en-NZ"/>
              </w:rPr>
            </w:pPr>
            <w:r w:rsidRPr="000F1280">
              <w:t>TLIF2010A Apply fatigue management strategies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280">
            <w:pPr>
              <w:pStyle w:val="BodyText"/>
              <w:rPr>
                <w:lang w:val="en-NZ"/>
              </w:rPr>
            </w:pPr>
            <w:r w:rsidRPr="000F1280">
              <w:t>30</w:t>
            </w:r>
          </w:p>
        </w:tc>
      </w:tr>
      <w:tr w:rsidTr="00AB7A8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280">
            <w:pPr>
              <w:pStyle w:val="BodyText"/>
              <w:rPr>
                <w:lang w:val="en-NZ"/>
              </w:rPr>
            </w:pPr>
            <w:r w:rsidRPr="000F1280">
              <w:t>2</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280">
            <w:pPr>
              <w:pStyle w:val="BodyText"/>
              <w:rPr>
                <w:lang w:val="en-NZ"/>
              </w:rPr>
            </w:pPr>
            <w:r w:rsidRPr="000F1280">
              <w:t>Add</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280">
            <w:pPr>
              <w:pStyle w:val="BodyText"/>
              <w:rPr>
                <w:lang w:val="en-NZ"/>
              </w:rPr>
            </w:pPr>
            <w:r w:rsidRPr="000F1280">
              <w:t>Group A</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280">
            <w:pPr>
              <w:pStyle w:val="BodyText"/>
              <w:rPr>
                <w:lang w:val="en-NZ"/>
              </w:rPr>
            </w:pPr>
            <w:r w:rsidRPr="000F1280">
              <w:t>TLIF3063A Administer the implementation of fatigue management strategies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1280" w:rsidP="000F1280">
            <w:pPr>
              <w:pStyle w:val="BodyText"/>
            </w:pPr>
            <w:r w:rsidRPr="000F1280">
              <w:t>50</w:t>
            </w:r>
          </w:p>
        </w:tc>
      </w:tr>
    </w:tbl>
    <w:p w:rsidR="00000000" w:rsidRPr="000F1280" w:rsidP="000F1280">
      <w:pPr>
        <w:pStyle w:val="BodyText"/>
      </w:pPr>
    </w:p>
    <w:p w:rsidR="00000000" w:rsidRPr="000F1280" w:rsidP="000F1280">
      <w:pPr>
        <w:pStyle w:val="AllowPageBreak"/>
      </w:pPr>
    </w:p>
    <w:p w:rsidR="00000000" w:rsidRPr="000F1280" w:rsidP="000F1280">
      <w:pPr>
        <w:pStyle w:val="Heading1"/>
      </w:pPr>
      <w:bookmarkStart w:id="2" w:name="O_668653"/>
      <w:bookmarkEnd w:id="2"/>
      <w:r w:rsidRPr="000F1280">
        <w:t>Description</w:t>
      </w:r>
    </w:p>
    <w:p w:rsidR="00000000" w:rsidRPr="000F1280" w:rsidP="000F1280">
      <w:pPr>
        <w:pStyle w:val="Heading2"/>
      </w:pPr>
      <w:r w:rsidRPr="000F1280">
        <w:t>Scope</w:t>
      </w:r>
    </w:p>
    <w:p w:rsidR="00AB7A80" w:rsidP="000F1280">
      <w:pPr>
        <w:pStyle w:val="BodyText"/>
      </w:pPr>
      <w:r w:rsidRPr="000F1280">
        <w:t>Those gaining this qualification will be able to acquire skills and knowledge needed for a career in system operation.</w:t>
      </w:r>
    </w:p>
    <w:p w:rsidR="00AB7A80" w:rsidP="000F1280">
      <w:pPr>
        <w:pStyle w:val="BodyText"/>
      </w:pPr>
    </w:p>
    <w:p w:rsidR="00000000" w:rsidRPr="000F1280" w:rsidP="000F1280">
      <w:pPr>
        <w:pStyle w:val="Heading1"/>
      </w:pPr>
      <w:bookmarkStart w:id="3" w:name="O_668652"/>
      <w:bookmarkEnd w:id="3"/>
      <w:r w:rsidRPr="000F1280">
        <w:t>Pathways Information</w:t>
      </w:r>
    </w:p>
    <w:p w:rsidR="00000000" w:rsidRPr="000F1280" w:rsidP="000F1280">
      <w:pPr>
        <w:pStyle w:val="BodyText"/>
      </w:pPr>
      <w:r w:rsidRPr="000F1280">
        <w:t>Not applicable.</w:t>
      </w:r>
    </w:p>
    <w:p w:rsidR="00000000" w:rsidRPr="000F1280" w:rsidP="000F1280">
      <w:pPr>
        <w:pStyle w:val="AllowPageBreak"/>
      </w:pPr>
    </w:p>
    <w:p w:rsidR="00000000" w:rsidRPr="000F1280" w:rsidP="000F1280">
      <w:pPr>
        <w:pStyle w:val="Heading1"/>
      </w:pPr>
      <w:bookmarkStart w:id="4" w:name="O_668651"/>
      <w:bookmarkEnd w:id="4"/>
      <w:r w:rsidRPr="000F1280">
        <w:t>Licensing/Regulatory Information</w:t>
      </w:r>
    </w:p>
    <w:p w:rsidR="00000000" w:rsidRPr="000F1280" w:rsidP="000F1280">
      <w:pPr>
        <w:pStyle w:val="BodyText"/>
      </w:pPr>
      <w:r w:rsidRPr="000F1280">
        <w:t>Not applicabl</w:t>
      </w:r>
      <w:r w:rsidRPr="000F1280">
        <w:t>e.</w:t>
      </w:r>
    </w:p>
    <w:p w:rsidR="00000000" w:rsidRPr="000F1280" w:rsidP="000F1280">
      <w:pPr>
        <w:pStyle w:val="AllowPageBreak"/>
      </w:pPr>
    </w:p>
    <w:p w:rsidR="00000000" w:rsidRPr="000F1280" w:rsidP="000F1280">
      <w:pPr>
        <w:pStyle w:val="Heading1"/>
      </w:pPr>
      <w:bookmarkStart w:id="5" w:name="O_668650"/>
      <w:bookmarkEnd w:id="5"/>
      <w:r w:rsidRPr="000F1280">
        <w:t>Entry Requirements</w:t>
      </w:r>
    </w:p>
    <w:p w:rsidR="00000000" w:rsidRPr="000F1280" w:rsidP="000F1280">
      <w:pPr>
        <w:pStyle w:val="BodyText"/>
      </w:pPr>
      <w:r w:rsidRPr="000F1280">
        <w:t>Not applicable.</w:t>
      </w:r>
    </w:p>
    <w:p w:rsidR="00000000" w:rsidRPr="000F1280" w:rsidP="000F1280">
      <w:pPr>
        <w:pStyle w:val="AllowPageBreak"/>
      </w:pPr>
    </w:p>
    <w:p w:rsidR="00000000" w:rsidRPr="000F1280" w:rsidP="000F1280">
      <w:pPr>
        <w:pStyle w:val="Heading1"/>
      </w:pPr>
      <w:bookmarkStart w:id="6" w:name="O_668649"/>
      <w:bookmarkEnd w:id="6"/>
      <w:r w:rsidRPr="000F1280">
        <w:t>Employability Skills Summary</w:t>
      </w:r>
    </w:p>
    <w:p w:rsidR="00000000" w:rsidRPr="000F1280" w:rsidP="000F1280">
      <w:pPr>
        <w:pStyle w:val="BodyText"/>
      </w:pPr>
      <w:r w:rsidRPr="000F1280">
        <w:t>Not applicable.</w:t>
      </w:r>
    </w:p>
    <w:p w:rsidR="00000000" w:rsidRPr="000F1280" w:rsidP="000F1280">
      <w:pPr>
        <w:pStyle w:val="AllowPageBreak"/>
      </w:pPr>
    </w:p>
    <w:p w:rsidR="00000000" w:rsidRPr="000F1280" w:rsidP="000F1280">
      <w:pPr>
        <w:pStyle w:val="Heading1"/>
      </w:pPr>
      <w:bookmarkStart w:id="7" w:name="O_668648"/>
      <w:bookmarkEnd w:id="7"/>
      <w:r w:rsidRPr="000F1280">
        <w:t>Packaging Rules</w:t>
      </w:r>
    </w:p>
    <w:p w:rsidR="00000000" w:rsidRPr="000F1280" w:rsidP="000F1280">
      <w:pPr>
        <w:pStyle w:val="Heading2"/>
      </w:pPr>
      <w:r w:rsidRPr="000F1280">
        <w:t>Completion requirements:</w:t>
      </w:r>
    </w:p>
    <w:p w:rsidR="00000000" w:rsidRPr="000F1280" w:rsidP="000F1280">
      <w:pPr>
        <w:pStyle w:val="BodyText"/>
      </w:pPr>
      <w:r w:rsidRPr="000F1280">
        <w:t>The requirements for granting this qualification will be met when competency is d</w:t>
      </w:r>
      <w:r w:rsidRPr="000F1280">
        <w:t>emonstrated and achieved for:</w:t>
      </w:r>
    </w:p>
    <w:p w:rsidR="00000000" w:rsidRPr="000F1280" w:rsidP="000F1280">
      <w:pPr>
        <w:pStyle w:val="ListBullet2"/>
      </w:pPr>
      <w:r w:rsidRPr="000F1280">
        <w:t>All the Core competency standard units, defined in the Core Competency Standard Units table below and</w:t>
      </w:r>
    </w:p>
    <w:p w:rsidR="00000000" w:rsidRPr="000F1280" w:rsidP="000F1280">
      <w:pPr>
        <w:pStyle w:val="ListBullet2"/>
      </w:pPr>
      <w:r w:rsidRPr="000F1280">
        <w:t>A combination of Elective competency standard units to achieve a total weighting of 750 points in accordance with the Elective Competency Standard Units table below.</w:t>
      </w:r>
    </w:p>
    <w:p w:rsidR="00000000" w:rsidRPr="000F1280" w:rsidP="000F1280">
      <w:pPr>
        <w:pStyle w:val="ListBullet2"/>
      </w:pPr>
      <w:r w:rsidRPr="000F1280">
        <w:t>All the required prerequisite competency standard units have been met.</w:t>
      </w:r>
    </w:p>
    <w:p w:rsidR="00000000" w:rsidRPr="000F1280" w:rsidP="000F1280">
      <w:pPr>
        <w:pStyle w:val="BodyText"/>
      </w:pPr>
    </w:p>
    <w:tbl>
      <w:tblPr>
        <w:tblW w:w="0" w:type="auto"/>
        <w:tblLayout w:type="fixed"/>
        <w:tblCellMar>
          <w:left w:w="62" w:type="dxa"/>
          <w:right w:w="62" w:type="dxa"/>
        </w:tblCellMar>
        <w:tblLook w:val="0000"/>
      </w:tblPr>
      <w:tblGrid>
        <w:gridCol w:w="1758"/>
        <w:gridCol w:w="5442"/>
        <w:gridCol w:w="1170"/>
      </w:tblGrid>
      <w:tr w:rsidTr="00AB7A80">
        <w:tblPrEx>
          <w:tblW w:w="0" w:type="auto"/>
          <w:tblLayout w:type="fixed"/>
          <w:tblCellMar>
            <w:left w:w="62" w:type="dxa"/>
            <w:right w:w="62" w:type="dxa"/>
          </w:tblCellMar>
          <w:tblLook w:val="0000"/>
        </w:tblPrEx>
        <w:trPr>
          <w:tblHeader/>
        </w:trPr>
        <w:tc>
          <w:tcPr>
            <w:tcW w:w="7200" w:type="dxa"/>
            <w:gridSpan w:val="2"/>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0F1280" w:rsidP="000F1280">
            <w:pPr>
              <w:pStyle w:val="BodyText"/>
            </w:pPr>
            <w:r w:rsidRPr="000F1280">
              <w:rPr>
                <w:rStyle w:val="SpecialBold"/>
              </w:rPr>
              <w:t>Core Competency St</w:t>
            </w:r>
            <w:r w:rsidRPr="000F1280">
              <w:rPr>
                <w:rStyle w:val="SpecialBold"/>
              </w:rPr>
              <w:t xml:space="preserve">andard Units </w:t>
            </w:r>
          </w:p>
          <w:p w:rsidR="00000000" w:rsidRPr="000F1280" w:rsidP="000F1280">
            <w:pPr>
              <w:pStyle w:val="BodyText"/>
            </w:pPr>
            <w:r w:rsidRPr="000F1280">
              <w:t>All Core competency standard units to be achieved</w:t>
            </w:r>
          </w:p>
        </w:tc>
        <w:tc>
          <w:tcPr>
            <w:tcW w:w="1170" w:type="dxa"/>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P="000F1280">
            <w:pPr>
              <w:pStyle w:val="BodyText"/>
              <w:rPr>
                <w:lang w:val="en-NZ"/>
              </w:rPr>
            </w:pPr>
            <w:r w:rsidRPr="000F1280">
              <w:rPr>
                <w:rStyle w:val="SpecialBold"/>
              </w:rPr>
              <w:t>Weighting Points</w:t>
            </w:r>
          </w:p>
        </w:tc>
      </w:tr>
      <w:tr w:rsidTr="00AB7A80">
        <w:tblPrEx>
          <w:tblW w:w="0" w:type="auto"/>
          <w:tblLayout w:type="fixed"/>
          <w:tblCellMar>
            <w:left w:w="62" w:type="dxa"/>
            <w:right w:w="62" w:type="dxa"/>
          </w:tblCellMar>
          <w:tblLook w:val="0000"/>
        </w:tblPrEx>
        <w:tc>
          <w:tcPr>
            <w:tcW w:w="1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280">
            <w:pPr>
              <w:pStyle w:val="BodyText"/>
              <w:rPr>
                <w:lang w:val="en-NZ"/>
              </w:rPr>
            </w:pPr>
            <w:r w:rsidRPr="000F1280">
              <w:t>UEENEED104A</w:t>
            </w:r>
          </w:p>
        </w:tc>
        <w:tc>
          <w:tcPr>
            <w:tcW w:w="54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280">
            <w:pPr>
              <w:pStyle w:val="BodyText"/>
              <w:rPr>
                <w:lang w:val="en-NZ"/>
              </w:rPr>
            </w:pPr>
            <w:r w:rsidRPr="000F1280">
              <w:t xml:space="preserve">Use software for engineering applications </w:t>
            </w:r>
          </w:p>
        </w:tc>
        <w:tc>
          <w:tcPr>
            <w:tcW w:w="1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40</w:t>
            </w:r>
          </w:p>
        </w:tc>
      </w:tr>
      <w:tr w:rsidTr="00AB7A80">
        <w:tblPrEx>
          <w:tblW w:w="0" w:type="auto"/>
          <w:tblLayout w:type="fixed"/>
          <w:tblCellMar>
            <w:left w:w="62" w:type="dxa"/>
            <w:right w:w="62" w:type="dxa"/>
          </w:tblCellMar>
          <w:tblLook w:val="0000"/>
        </w:tblPrEx>
        <w:tc>
          <w:tcPr>
            <w:tcW w:w="1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280">
            <w:pPr>
              <w:pStyle w:val="BodyText"/>
              <w:rPr>
                <w:lang w:val="en-NZ"/>
              </w:rPr>
            </w:pPr>
            <w:r w:rsidRPr="000F1280">
              <w:t>UEENEEE124A</w:t>
            </w:r>
          </w:p>
        </w:tc>
        <w:tc>
          <w:tcPr>
            <w:tcW w:w="54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280">
            <w:pPr>
              <w:pStyle w:val="BodyText"/>
              <w:rPr>
                <w:lang w:val="en-NZ"/>
              </w:rPr>
            </w:pPr>
            <w:r w:rsidRPr="000F1280">
              <w:t xml:space="preserve">Compile and produce an energy sector detailed report </w:t>
            </w:r>
          </w:p>
        </w:tc>
        <w:tc>
          <w:tcPr>
            <w:tcW w:w="1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60</w:t>
            </w:r>
          </w:p>
        </w:tc>
      </w:tr>
      <w:tr w:rsidTr="00AB7A80">
        <w:tblPrEx>
          <w:tblW w:w="0" w:type="auto"/>
          <w:tblLayout w:type="fixed"/>
          <w:tblCellMar>
            <w:left w:w="62" w:type="dxa"/>
            <w:right w:w="62" w:type="dxa"/>
          </w:tblCellMar>
          <w:tblLook w:val="0000"/>
        </w:tblPrEx>
        <w:tc>
          <w:tcPr>
            <w:tcW w:w="1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280">
            <w:pPr>
              <w:pStyle w:val="BodyText"/>
              <w:rPr>
                <w:lang w:val="en-NZ"/>
              </w:rPr>
            </w:pPr>
            <w:r w:rsidRPr="000F1280">
              <w:t>UEENEEE101A</w:t>
            </w:r>
          </w:p>
        </w:tc>
        <w:tc>
          <w:tcPr>
            <w:tcW w:w="54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280">
            <w:pPr>
              <w:pStyle w:val="BodyText"/>
              <w:rPr>
                <w:lang w:val="en-NZ"/>
              </w:rPr>
            </w:pPr>
            <w:r w:rsidRPr="000F1280">
              <w:t xml:space="preserve">Apply Occupational Health Safety regulations, codes and practices in the workplace </w:t>
            </w:r>
          </w:p>
        </w:tc>
        <w:tc>
          <w:tcPr>
            <w:tcW w:w="1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20</w:t>
            </w:r>
          </w:p>
        </w:tc>
      </w:tr>
      <w:tr w:rsidTr="00AB7A80">
        <w:tblPrEx>
          <w:tblW w:w="0" w:type="auto"/>
          <w:tblLayout w:type="fixed"/>
          <w:tblCellMar>
            <w:left w:w="62" w:type="dxa"/>
            <w:right w:w="62" w:type="dxa"/>
          </w:tblCellMar>
          <w:tblLook w:val="0000"/>
        </w:tblPrEx>
        <w:tc>
          <w:tcPr>
            <w:tcW w:w="1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280">
            <w:pPr>
              <w:pStyle w:val="BodyText"/>
              <w:rPr>
                <w:lang w:val="en-NZ"/>
              </w:rPr>
            </w:pPr>
            <w:r w:rsidRPr="000F1280">
              <w:t>UETTDREL15A</w:t>
            </w:r>
          </w:p>
        </w:tc>
        <w:tc>
          <w:tcPr>
            <w:tcW w:w="54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280">
            <w:pPr>
              <w:pStyle w:val="BodyText"/>
              <w:rPr>
                <w:lang w:val="en-NZ"/>
              </w:rPr>
            </w:pPr>
            <w:r w:rsidRPr="000F1280">
              <w:t>Respond to power systems technical enquiries and requests</w:t>
            </w:r>
          </w:p>
        </w:tc>
        <w:tc>
          <w:tcPr>
            <w:tcW w:w="1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40</w:t>
            </w:r>
          </w:p>
        </w:tc>
      </w:tr>
      <w:tr w:rsidTr="00AB7A80">
        <w:tblPrEx>
          <w:tblW w:w="0" w:type="auto"/>
          <w:tblLayout w:type="fixed"/>
          <w:tblCellMar>
            <w:left w:w="62" w:type="dxa"/>
            <w:right w:w="62" w:type="dxa"/>
          </w:tblCellMar>
          <w:tblLook w:val="0000"/>
        </w:tblPrEx>
        <w:tc>
          <w:tcPr>
            <w:tcW w:w="1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280">
            <w:pPr>
              <w:pStyle w:val="BodyText"/>
              <w:rPr>
                <w:lang w:val="en-NZ"/>
              </w:rPr>
            </w:pPr>
            <w:r w:rsidRPr="000F1280">
              <w:t>UEENEEE104A</w:t>
            </w:r>
          </w:p>
        </w:tc>
        <w:tc>
          <w:tcPr>
            <w:tcW w:w="54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280">
            <w:pPr>
              <w:pStyle w:val="BodyText"/>
              <w:rPr>
                <w:lang w:val="en-NZ"/>
              </w:rPr>
            </w:pPr>
            <w:r w:rsidRPr="000F1280">
              <w:t>Solve problems in d.c. circuits</w:t>
            </w:r>
          </w:p>
        </w:tc>
        <w:tc>
          <w:tcPr>
            <w:tcW w:w="1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80</w:t>
            </w:r>
          </w:p>
        </w:tc>
      </w:tr>
      <w:tr w:rsidTr="00AB7A80">
        <w:tblPrEx>
          <w:tblW w:w="0" w:type="auto"/>
          <w:tblLayout w:type="fixed"/>
          <w:tblCellMar>
            <w:left w:w="62" w:type="dxa"/>
            <w:right w:w="62" w:type="dxa"/>
          </w:tblCellMar>
          <w:tblLook w:val="0000"/>
        </w:tblPrEx>
        <w:tc>
          <w:tcPr>
            <w:tcW w:w="1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280">
            <w:pPr>
              <w:pStyle w:val="BodyText"/>
              <w:rPr>
                <w:lang w:val="en-NZ"/>
              </w:rPr>
            </w:pPr>
            <w:r w:rsidRPr="000F1280">
              <w:t>UEENEEE107A</w:t>
            </w:r>
          </w:p>
        </w:tc>
        <w:tc>
          <w:tcPr>
            <w:tcW w:w="54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280">
            <w:pPr>
              <w:pStyle w:val="BodyText"/>
              <w:rPr>
                <w:lang w:val="en-NZ"/>
              </w:rPr>
            </w:pPr>
            <w:r w:rsidRPr="000F1280">
              <w:t>Use drawings, diagrams, schedules, standards, cords and specifications</w:t>
            </w:r>
          </w:p>
        </w:tc>
        <w:tc>
          <w:tcPr>
            <w:tcW w:w="1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40</w:t>
            </w:r>
          </w:p>
        </w:tc>
      </w:tr>
      <w:tr w:rsidTr="00AB7A80">
        <w:tblPrEx>
          <w:tblW w:w="0" w:type="auto"/>
          <w:tblLayout w:type="fixed"/>
          <w:tblCellMar>
            <w:left w:w="62" w:type="dxa"/>
            <w:right w:w="62" w:type="dxa"/>
          </w:tblCellMar>
          <w:tblLook w:val="0000"/>
        </w:tblPrEx>
        <w:tc>
          <w:tcPr>
            <w:tcW w:w="1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280">
            <w:pPr>
              <w:pStyle w:val="BodyText"/>
              <w:rPr>
                <w:lang w:val="en-NZ"/>
              </w:rPr>
            </w:pPr>
            <w:r w:rsidRPr="000F1280">
              <w:t>UEENEEE125A</w:t>
            </w:r>
          </w:p>
        </w:tc>
        <w:tc>
          <w:tcPr>
            <w:tcW w:w="54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280">
            <w:pPr>
              <w:pStyle w:val="BodyText"/>
              <w:rPr>
                <w:lang w:val="en-NZ"/>
              </w:rPr>
            </w:pPr>
            <w:r w:rsidRPr="000F1280">
              <w:t>Provide engineering solutions for problems in complex multiple path circuits problems</w:t>
            </w:r>
          </w:p>
        </w:tc>
        <w:tc>
          <w:tcPr>
            <w:tcW w:w="1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280">
            <w:pPr>
              <w:pStyle w:val="BodyText"/>
              <w:rPr>
                <w:lang w:val="en-NZ"/>
              </w:rPr>
            </w:pPr>
            <w:r w:rsidRPr="000F1280">
              <w:t>60</w:t>
            </w:r>
          </w:p>
        </w:tc>
      </w:tr>
      <w:tr w:rsidTr="00AB7A80">
        <w:tblPrEx>
          <w:tblW w:w="0" w:type="auto"/>
          <w:tblLayout w:type="fixed"/>
          <w:tblCellMar>
            <w:left w:w="62" w:type="dxa"/>
            <w:right w:w="62" w:type="dxa"/>
          </w:tblCellMar>
          <w:tblLook w:val="0000"/>
        </w:tblPrEx>
        <w:tc>
          <w:tcPr>
            <w:tcW w:w="1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280">
            <w:pPr>
              <w:pStyle w:val="BodyText"/>
              <w:rPr>
                <w:lang w:val="en-NZ"/>
              </w:rPr>
            </w:pPr>
            <w:r w:rsidRPr="000F1280">
              <w:t>UEENEEE126A</w:t>
            </w:r>
          </w:p>
        </w:tc>
        <w:tc>
          <w:tcPr>
            <w:tcW w:w="54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280">
            <w:pPr>
              <w:pStyle w:val="BodyText"/>
              <w:rPr>
                <w:lang w:val="en-NZ"/>
              </w:rPr>
            </w:pPr>
            <w:r w:rsidRPr="000F1280">
              <w:t>Provide solutions to basic engineering computational problems</w:t>
            </w:r>
          </w:p>
        </w:tc>
        <w:tc>
          <w:tcPr>
            <w:tcW w:w="1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280">
            <w:pPr>
              <w:pStyle w:val="BodyText"/>
              <w:rPr>
                <w:lang w:val="en-NZ"/>
              </w:rPr>
            </w:pPr>
            <w:r w:rsidRPr="000F1280">
              <w:t>60</w:t>
            </w:r>
          </w:p>
        </w:tc>
      </w:tr>
      <w:tr w:rsidTr="00AB7A80">
        <w:tblPrEx>
          <w:tblW w:w="0" w:type="auto"/>
          <w:tblLayout w:type="fixed"/>
          <w:tblCellMar>
            <w:left w:w="62" w:type="dxa"/>
            <w:right w:w="62" w:type="dxa"/>
          </w:tblCellMar>
          <w:tblLook w:val="0000"/>
        </w:tblPrEx>
        <w:tc>
          <w:tcPr>
            <w:tcW w:w="1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280">
            <w:pPr>
              <w:pStyle w:val="BodyText"/>
              <w:rPr>
                <w:lang w:val="en-NZ"/>
              </w:rPr>
            </w:pPr>
            <w:r w:rsidRPr="000F1280">
              <w:t>UEENEEG101A</w:t>
            </w:r>
          </w:p>
        </w:tc>
        <w:tc>
          <w:tcPr>
            <w:tcW w:w="54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280">
            <w:pPr>
              <w:pStyle w:val="BodyText"/>
              <w:rPr>
                <w:lang w:val="en-NZ"/>
              </w:rPr>
            </w:pPr>
            <w:r w:rsidRPr="000F1280">
              <w:t>Solve problems in electromagnetic devices and related circuits</w:t>
            </w:r>
          </w:p>
        </w:tc>
        <w:tc>
          <w:tcPr>
            <w:tcW w:w="1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280">
            <w:pPr>
              <w:pStyle w:val="BodyText"/>
              <w:rPr>
                <w:lang w:val="en-NZ"/>
              </w:rPr>
            </w:pPr>
            <w:r w:rsidRPr="000F1280">
              <w:t>60</w:t>
            </w:r>
          </w:p>
        </w:tc>
      </w:tr>
      <w:tr w:rsidTr="00AB7A80">
        <w:tblPrEx>
          <w:tblW w:w="0" w:type="auto"/>
          <w:tblLayout w:type="fixed"/>
          <w:tblCellMar>
            <w:left w:w="62" w:type="dxa"/>
            <w:right w:w="62" w:type="dxa"/>
          </w:tblCellMar>
          <w:tblLook w:val="0000"/>
        </w:tblPrEx>
        <w:tc>
          <w:tcPr>
            <w:tcW w:w="1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280">
            <w:pPr>
              <w:pStyle w:val="BodyText"/>
              <w:rPr>
                <w:lang w:val="en-NZ"/>
              </w:rPr>
            </w:pPr>
            <w:r w:rsidRPr="000F1280">
              <w:t>UEENEEG102A</w:t>
            </w:r>
          </w:p>
        </w:tc>
        <w:tc>
          <w:tcPr>
            <w:tcW w:w="54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280">
            <w:pPr>
              <w:pStyle w:val="BodyText"/>
              <w:rPr>
                <w:lang w:val="en-NZ"/>
              </w:rPr>
            </w:pPr>
            <w:r w:rsidRPr="000F1280">
              <w:t>Solve problems in low voltage a.c. circuits</w:t>
            </w:r>
          </w:p>
        </w:tc>
        <w:tc>
          <w:tcPr>
            <w:tcW w:w="1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280">
            <w:pPr>
              <w:pStyle w:val="BodyText"/>
              <w:rPr>
                <w:lang w:val="en-NZ"/>
              </w:rPr>
            </w:pPr>
            <w:r w:rsidRPr="000F1280">
              <w:t>80</w:t>
            </w:r>
          </w:p>
        </w:tc>
      </w:tr>
      <w:tr w:rsidTr="00AB7A80">
        <w:tblPrEx>
          <w:tblW w:w="0" w:type="auto"/>
          <w:tblLayout w:type="fixed"/>
          <w:tblCellMar>
            <w:left w:w="62" w:type="dxa"/>
            <w:right w:w="62" w:type="dxa"/>
          </w:tblCellMar>
          <w:tblLook w:val="0000"/>
        </w:tblPrEx>
        <w:tc>
          <w:tcPr>
            <w:tcW w:w="1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280">
            <w:pPr>
              <w:pStyle w:val="BodyText"/>
              <w:rPr>
                <w:lang w:val="en-NZ"/>
              </w:rPr>
            </w:pPr>
            <w:r w:rsidRPr="000F1280">
              <w:t>UEENEEG149A</w:t>
            </w:r>
          </w:p>
        </w:tc>
        <w:tc>
          <w:tcPr>
            <w:tcW w:w="54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280">
            <w:pPr>
              <w:pStyle w:val="BodyText"/>
              <w:rPr>
                <w:lang w:val="en-NZ"/>
              </w:rPr>
            </w:pPr>
            <w:r w:rsidRPr="000F1280">
              <w:t>Provide engineering solutions to problems in complex polyphase power circuits</w:t>
            </w:r>
          </w:p>
        </w:tc>
        <w:tc>
          <w:tcPr>
            <w:tcW w:w="1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280">
            <w:pPr>
              <w:pStyle w:val="BodyText"/>
              <w:rPr>
                <w:lang w:val="en-NZ"/>
              </w:rPr>
            </w:pPr>
            <w:r w:rsidRPr="000F1280">
              <w:t>60</w:t>
            </w:r>
          </w:p>
        </w:tc>
      </w:tr>
      <w:tr w:rsidTr="00AB7A80">
        <w:tblPrEx>
          <w:tblW w:w="0" w:type="auto"/>
          <w:tblLayout w:type="fixed"/>
          <w:tblCellMar>
            <w:left w:w="62" w:type="dxa"/>
            <w:right w:w="62" w:type="dxa"/>
          </w:tblCellMar>
          <w:tblLook w:val="0000"/>
        </w:tblPrEx>
        <w:tc>
          <w:tcPr>
            <w:tcW w:w="1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280">
            <w:pPr>
              <w:pStyle w:val="BodyText"/>
              <w:rPr>
                <w:lang w:val="en-NZ"/>
              </w:rPr>
            </w:pPr>
            <w:r w:rsidRPr="000F1280">
              <w:t>UETTDREL11</w:t>
            </w:r>
            <w:r w:rsidRPr="000F1280">
              <w:t>A</w:t>
            </w:r>
          </w:p>
        </w:tc>
        <w:tc>
          <w:tcPr>
            <w:tcW w:w="54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280">
            <w:pPr>
              <w:pStyle w:val="BodyText"/>
              <w:rPr>
                <w:lang w:val="en-NZ"/>
              </w:rPr>
            </w:pPr>
            <w:r w:rsidRPr="000F1280">
              <w:t>Apply susta</w:t>
            </w:r>
            <w:r w:rsidRPr="000F1280">
              <w:t xml:space="preserve">inable energy and environmental </w:t>
            </w:r>
            <w:r w:rsidRPr="000F1280">
              <w:t>procedures</w:t>
            </w:r>
          </w:p>
        </w:tc>
        <w:tc>
          <w:tcPr>
            <w:tcW w:w="1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20</w:t>
            </w:r>
          </w:p>
        </w:tc>
      </w:tr>
      <w:tr w:rsidTr="00AB7A80">
        <w:tblPrEx>
          <w:tblW w:w="0" w:type="auto"/>
          <w:tblLayout w:type="fixed"/>
          <w:tblCellMar>
            <w:left w:w="62" w:type="dxa"/>
            <w:right w:w="62" w:type="dxa"/>
          </w:tblCellMar>
          <w:tblLook w:val="0000"/>
        </w:tblPrEx>
        <w:tc>
          <w:tcPr>
            <w:tcW w:w="1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280">
            <w:pPr>
              <w:pStyle w:val="BodyText"/>
              <w:rPr>
                <w:lang w:val="en-NZ"/>
              </w:rPr>
            </w:pPr>
            <w:r w:rsidRPr="000F1280">
              <w:t>UETTDREL16A</w:t>
            </w:r>
          </w:p>
        </w:tc>
        <w:tc>
          <w:tcPr>
            <w:tcW w:w="54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280">
            <w:pPr>
              <w:pStyle w:val="BodyText"/>
              <w:rPr>
                <w:lang w:val="en-NZ"/>
              </w:rPr>
            </w:pPr>
            <w:r w:rsidRPr="000F1280">
              <w:t xml:space="preserve">Working safely near live electrical apparatus </w:t>
            </w:r>
          </w:p>
        </w:tc>
        <w:tc>
          <w:tcPr>
            <w:tcW w:w="1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20</w:t>
            </w:r>
          </w:p>
        </w:tc>
      </w:tr>
      <w:tr w:rsidTr="00AB7A80">
        <w:tblPrEx>
          <w:tblW w:w="0" w:type="auto"/>
          <w:tblLayout w:type="fixed"/>
          <w:tblCellMar>
            <w:left w:w="62" w:type="dxa"/>
            <w:right w:w="62" w:type="dxa"/>
          </w:tblCellMar>
          <w:tblLook w:val="0000"/>
        </w:tblPrEx>
        <w:tc>
          <w:tcPr>
            <w:tcW w:w="1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UETTDRIS62A</w:t>
            </w:r>
          </w:p>
        </w:tc>
        <w:tc>
          <w:tcPr>
            <w:tcW w:w="54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Implement and monitor the power systems organisational OHS policies, procedures and programs</w:t>
            </w:r>
          </w:p>
        </w:tc>
        <w:tc>
          <w:tcPr>
            <w:tcW w:w="1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30</w:t>
            </w:r>
          </w:p>
        </w:tc>
      </w:tr>
      <w:tr w:rsidTr="00AB7A80">
        <w:tblPrEx>
          <w:tblW w:w="0" w:type="auto"/>
          <w:tblLayout w:type="fixed"/>
          <w:tblCellMar>
            <w:left w:w="62" w:type="dxa"/>
            <w:right w:w="62" w:type="dxa"/>
          </w:tblCellMar>
          <w:tblLook w:val="0000"/>
        </w:tblPrEx>
        <w:tc>
          <w:tcPr>
            <w:tcW w:w="1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UETTDRIS63A</w:t>
            </w:r>
          </w:p>
        </w:tc>
        <w:tc>
          <w:tcPr>
            <w:tcW w:w="54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Implement and monitor power systems environmental and sustainable energy management policies and procedures</w:t>
            </w:r>
          </w:p>
        </w:tc>
        <w:tc>
          <w:tcPr>
            <w:tcW w:w="1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30</w:t>
            </w:r>
          </w:p>
        </w:tc>
      </w:tr>
      <w:tr w:rsidTr="00AB7A80">
        <w:tblPrEx>
          <w:tblW w:w="0" w:type="auto"/>
          <w:tblLayout w:type="fixed"/>
          <w:tblCellMar>
            <w:left w:w="62" w:type="dxa"/>
            <w:right w:w="62" w:type="dxa"/>
          </w:tblCellMar>
          <w:tblLook w:val="0000"/>
        </w:tblPrEx>
        <w:tc>
          <w:tcPr>
            <w:tcW w:w="1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UETTDRSO45A</w:t>
            </w:r>
          </w:p>
        </w:tc>
        <w:tc>
          <w:tcPr>
            <w:tcW w:w="54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Operate and monitor system SCADA equipment</w:t>
            </w:r>
          </w:p>
        </w:tc>
        <w:tc>
          <w:tcPr>
            <w:tcW w:w="1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150</w:t>
            </w:r>
          </w:p>
        </w:tc>
      </w:tr>
      <w:tr w:rsidTr="00AB7A80">
        <w:tblPrEx>
          <w:tblW w:w="0" w:type="auto"/>
          <w:tblLayout w:type="fixed"/>
          <w:tblCellMar>
            <w:left w:w="62" w:type="dxa"/>
            <w:right w:w="62" w:type="dxa"/>
          </w:tblCellMar>
          <w:tblLook w:val="0000"/>
        </w:tblPrEx>
        <w:tc>
          <w:tcPr>
            <w:tcW w:w="72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280">
            <w:pPr>
              <w:pStyle w:val="Heading4"/>
              <w:rPr>
                <w:lang w:val="en-NZ"/>
              </w:rPr>
            </w:pPr>
            <w:r w:rsidRPr="000F1280">
              <w:t>Total points in core</w:t>
            </w:r>
          </w:p>
        </w:tc>
        <w:tc>
          <w:tcPr>
            <w:tcW w:w="1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1280" w:rsidP="000F1280">
            <w:pPr>
              <w:pStyle w:val="Heading4"/>
            </w:pPr>
            <w:r w:rsidRPr="000F1280">
              <w:t>850</w:t>
            </w:r>
          </w:p>
        </w:tc>
      </w:tr>
    </w:tbl>
    <w:p w:rsidR="00000000" w:rsidRPr="000F1280" w:rsidP="000F1280">
      <w:pPr>
        <w:pStyle w:val="BodyText"/>
      </w:pPr>
    </w:p>
    <w:tbl>
      <w:tblPr>
        <w:tblW w:w="0" w:type="auto"/>
        <w:tblLayout w:type="fixed"/>
        <w:tblCellMar>
          <w:left w:w="62" w:type="dxa"/>
          <w:right w:w="62" w:type="dxa"/>
        </w:tblCellMar>
        <w:tblLook w:val="0000"/>
      </w:tblPr>
      <w:tblGrid>
        <w:gridCol w:w="954"/>
        <w:gridCol w:w="5183"/>
        <w:gridCol w:w="1359"/>
        <w:gridCol w:w="1144"/>
      </w:tblGrid>
      <w:tr w:rsidTr="00AB7A80">
        <w:tblPrEx>
          <w:tblW w:w="0" w:type="auto"/>
          <w:tblLayout w:type="fixed"/>
          <w:tblCellMar>
            <w:left w:w="62" w:type="dxa"/>
            <w:right w:w="62" w:type="dxa"/>
          </w:tblCellMar>
          <w:tblLook w:val="0000"/>
        </w:tblPrEx>
        <w:trPr>
          <w:tblHeader/>
        </w:trPr>
        <w:tc>
          <w:tcPr>
            <w:tcW w:w="8640" w:type="dxa"/>
            <w:gridSpan w:val="4"/>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0F1280" w:rsidP="000F1280">
            <w:pPr>
              <w:pStyle w:val="BodyText"/>
            </w:pPr>
            <w:r w:rsidRPr="000F1280">
              <w:rPr>
                <w:rStyle w:val="SpecialBold"/>
              </w:rPr>
              <w:t>Elective Competency Standard Units</w:t>
            </w:r>
          </w:p>
          <w:p w:rsidR="00000000" w:rsidP="000F1280">
            <w:pPr>
              <w:pStyle w:val="BodyText"/>
              <w:rPr>
                <w:lang w:val="en-NZ"/>
              </w:rPr>
            </w:pPr>
            <w:r w:rsidRPr="000F1280">
              <w:t>At least a weighting of 750 points to be achieved. Must achieve at least 190 points from Group D</w:t>
            </w:r>
          </w:p>
        </w:tc>
      </w:tr>
      <w:tr w:rsidTr="00AB7A80">
        <w:tblPrEx>
          <w:tblW w:w="0" w:type="auto"/>
          <w:tblLayout w:type="fixed"/>
          <w:tblCellMar>
            <w:left w:w="62" w:type="dxa"/>
            <w:right w:w="62" w:type="dxa"/>
          </w:tblCellMar>
          <w:tblLook w:val="0000"/>
        </w:tblPrEx>
        <w:trPr>
          <w:trHeight w:val="723"/>
          <w:tblHeader/>
        </w:trPr>
        <w:tc>
          <w:tcPr>
            <w:tcW w:w="9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Heading4"/>
              <w:rPr>
                <w:lang w:val="en-NZ"/>
              </w:rPr>
            </w:pPr>
            <w:r w:rsidRPr="000F1280">
              <w:t>Group</w:t>
            </w:r>
          </w:p>
        </w:tc>
        <w:tc>
          <w:tcPr>
            <w:tcW w:w="5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Heading4"/>
              <w:rPr>
                <w:lang w:val="en-NZ"/>
              </w:rPr>
            </w:pPr>
            <w:r w:rsidRPr="000F1280">
              <w:t>Rules</w:t>
            </w:r>
          </w:p>
        </w:tc>
        <w:tc>
          <w:tcPr>
            <w:tcW w:w="1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Heading4"/>
              <w:rPr>
                <w:lang w:val="en-NZ"/>
              </w:rPr>
            </w:pPr>
            <w:r w:rsidRPr="000F1280">
              <w:t>Minimum points</w:t>
            </w:r>
          </w:p>
        </w:tc>
        <w:tc>
          <w:tcPr>
            <w:tcW w:w="11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Heading4"/>
              <w:rPr>
                <w:lang w:val="en-NZ"/>
              </w:rPr>
            </w:pPr>
            <w:r w:rsidRPr="000F1280">
              <w:t>Maximum points</w:t>
            </w:r>
          </w:p>
        </w:tc>
      </w:tr>
      <w:tr w:rsidTr="00AB7A80">
        <w:tblPrEx>
          <w:tblW w:w="0" w:type="auto"/>
          <w:tblLayout w:type="fixed"/>
          <w:tblCellMar>
            <w:left w:w="62" w:type="dxa"/>
            <w:right w:w="62" w:type="dxa"/>
          </w:tblCellMar>
          <w:tblLook w:val="0000"/>
        </w:tblPrEx>
        <w:trPr>
          <w:trHeight w:val="1646"/>
          <w:tblHeader/>
        </w:trPr>
        <w:tc>
          <w:tcPr>
            <w:tcW w:w="9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Heading4"/>
              <w:rPr>
                <w:lang w:val="en-NZ"/>
              </w:rPr>
            </w:pPr>
            <w:r w:rsidRPr="000F1280">
              <w:t>A</w:t>
            </w:r>
          </w:p>
        </w:tc>
        <w:tc>
          <w:tcPr>
            <w:tcW w:w="5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F1280" w:rsidP="000F1280">
            <w:pPr>
              <w:pStyle w:val="Heading4"/>
            </w:pPr>
            <w:r w:rsidRPr="000F1280">
              <w:t>Imported and Common Elective Units</w:t>
            </w:r>
          </w:p>
          <w:p w:rsidR="00000000" w:rsidP="000F1280">
            <w:pPr>
              <w:pStyle w:val="BodyText"/>
              <w:rPr>
                <w:lang w:val="en-NZ"/>
              </w:rPr>
            </w:pPr>
            <w:r w:rsidRPr="000F1280">
              <w:t>Imported units from other training packages and/or state accredited courses can be added to this group, but they must be selected from qualifications where the unit is first packaged at AQF level 5.  If units have not being assigned a weighting by the rele</w:t>
            </w:r>
            <w:r w:rsidRPr="000F1280">
              <w:t>vant EE-Oz Industry Technical Advisory Committee, their weighting will be 10 points.</w:t>
            </w:r>
          </w:p>
        </w:tc>
        <w:tc>
          <w:tcPr>
            <w:tcW w:w="1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Heading4"/>
              <w:rPr>
                <w:lang w:val="en-NZ"/>
              </w:rPr>
            </w:pPr>
            <w:r w:rsidRPr="000F1280">
              <w:t>0</w:t>
            </w:r>
          </w:p>
        </w:tc>
        <w:tc>
          <w:tcPr>
            <w:tcW w:w="11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Heading4"/>
              <w:rPr>
                <w:lang w:val="en-NZ"/>
              </w:rPr>
            </w:pPr>
            <w:r w:rsidRPr="000F1280">
              <w:t>270</w:t>
            </w:r>
          </w:p>
        </w:tc>
      </w:tr>
      <w:tr w:rsidTr="00AB7A80">
        <w:tblPrEx>
          <w:tblW w:w="0" w:type="auto"/>
          <w:tblLayout w:type="fixed"/>
          <w:tblCellMar>
            <w:left w:w="62" w:type="dxa"/>
            <w:right w:w="62" w:type="dxa"/>
          </w:tblCellMar>
          <w:tblLook w:val="0000"/>
        </w:tblPrEx>
        <w:trPr>
          <w:trHeight w:val="561"/>
          <w:tblHeader/>
        </w:trPr>
        <w:tc>
          <w:tcPr>
            <w:tcW w:w="9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Heading4"/>
              <w:rPr>
                <w:lang w:val="en-NZ"/>
              </w:rPr>
            </w:pPr>
            <w:r w:rsidRPr="000F1280">
              <w:t>B</w:t>
            </w:r>
          </w:p>
        </w:tc>
        <w:tc>
          <w:tcPr>
            <w:tcW w:w="5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F1280" w:rsidP="000F1280">
            <w:pPr>
              <w:pStyle w:val="Heading4"/>
            </w:pPr>
            <w:r w:rsidRPr="000F1280">
              <w:t xml:space="preserve">Qualification Electives </w:t>
            </w:r>
          </w:p>
          <w:p w:rsidR="00000000" w:rsidP="000F1280">
            <w:pPr>
              <w:pStyle w:val="BodyText"/>
              <w:rPr>
                <w:lang w:val="en-NZ"/>
              </w:rPr>
            </w:pPr>
            <w:r w:rsidRPr="000F1280">
              <w:t>You may select units from this group to a maximum weighting of 360 points.</w:t>
            </w:r>
          </w:p>
        </w:tc>
        <w:tc>
          <w:tcPr>
            <w:tcW w:w="1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Heading4"/>
              <w:rPr>
                <w:lang w:val="en-NZ"/>
              </w:rPr>
            </w:pPr>
            <w:r w:rsidRPr="000F1280">
              <w:t>0</w:t>
            </w:r>
          </w:p>
        </w:tc>
        <w:tc>
          <w:tcPr>
            <w:tcW w:w="11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Heading4"/>
              <w:rPr>
                <w:lang w:val="en-NZ"/>
              </w:rPr>
            </w:pPr>
            <w:r w:rsidRPr="000F1280">
              <w:t>360</w:t>
            </w:r>
          </w:p>
        </w:tc>
      </w:tr>
      <w:tr w:rsidTr="00AB7A80">
        <w:tblPrEx>
          <w:tblW w:w="0" w:type="auto"/>
          <w:tblLayout w:type="fixed"/>
          <w:tblCellMar>
            <w:left w:w="62" w:type="dxa"/>
            <w:right w:w="62" w:type="dxa"/>
          </w:tblCellMar>
          <w:tblLook w:val="0000"/>
        </w:tblPrEx>
        <w:tc>
          <w:tcPr>
            <w:tcW w:w="9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Heading4"/>
              <w:rPr>
                <w:lang w:val="en-NZ"/>
              </w:rPr>
            </w:pPr>
            <w:r w:rsidRPr="000F1280">
              <w:t>C</w:t>
            </w:r>
          </w:p>
        </w:tc>
        <w:tc>
          <w:tcPr>
            <w:tcW w:w="5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F1280" w:rsidP="000F1280">
            <w:pPr>
              <w:pStyle w:val="Heading4"/>
            </w:pPr>
            <w:r w:rsidRPr="000F1280">
              <w:t xml:space="preserve">Qualification Electives </w:t>
            </w:r>
          </w:p>
          <w:p w:rsidR="00000000" w:rsidP="000F1280">
            <w:pPr>
              <w:pStyle w:val="BodyText"/>
              <w:rPr>
                <w:lang w:val="en-NZ"/>
              </w:rPr>
            </w:pPr>
            <w:r w:rsidRPr="000F1280">
              <w:t>You may select units from this group to a maximum weighting of 200 points.</w:t>
            </w:r>
          </w:p>
        </w:tc>
        <w:tc>
          <w:tcPr>
            <w:tcW w:w="1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Heading4"/>
              <w:rPr>
                <w:lang w:val="en-NZ"/>
              </w:rPr>
            </w:pPr>
            <w:r w:rsidRPr="000F1280">
              <w:t>0</w:t>
            </w:r>
          </w:p>
        </w:tc>
        <w:tc>
          <w:tcPr>
            <w:tcW w:w="11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Heading4"/>
              <w:rPr>
                <w:lang w:val="en-NZ"/>
              </w:rPr>
            </w:pPr>
            <w:r w:rsidRPr="000F1280">
              <w:t>200</w:t>
            </w:r>
          </w:p>
        </w:tc>
      </w:tr>
      <w:tr w:rsidTr="00AB7A80">
        <w:tblPrEx>
          <w:tblW w:w="0" w:type="auto"/>
          <w:tblLayout w:type="fixed"/>
          <w:tblCellMar>
            <w:left w:w="62" w:type="dxa"/>
            <w:right w:w="62" w:type="dxa"/>
          </w:tblCellMar>
          <w:tblLook w:val="0000"/>
        </w:tblPrEx>
        <w:trPr>
          <w:trHeight w:val="561"/>
        </w:trPr>
        <w:tc>
          <w:tcPr>
            <w:tcW w:w="9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Heading4"/>
              <w:rPr>
                <w:lang w:val="en-NZ"/>
              </w:rPr>
            </w:pPr>
            <w:r w:rsidRPr="000F1280">
              <w:t>D</w:t>
            </w:r>
          </w:p>
        </w:tc>
        <w:tc>
          <w:tcPr>
            <w:tcW w:w="5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F1280" w:rsidP="000F1280">
            <w:pPr>
              <w:pStyle w:val="Heading4"/>
            </w:pPr>
            <w:r w:rsidRPr="000F1280">
              <w:t xml:space="preserve">Qualification Electives </w:t>
            </w:r>
          </w:p>
          <w:p w:rsidR="00000000" w:rsidP="000F1280">
            <w:pPr>
              <w:pStyle w:val="BodyText"/>
              <w:rPr>
                <w:lang w:val="en-NZ"/>
              </w:rPr>
            </w:pPr>
            <w:r w:rsidRPr="000F1280">
              <w:t>At least 190 points to be achieved from this group. You may select all your elective units from this Group</w:t>
            </w:r>
          </w:p>
        </w:tc>
        <w:tc>
          <w:tcPr>
            <w:tcW w:w="1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Heading4"/>
              <w:rPr>
                <w:lang w:val="en-NZ"/>
              </w:rPr>
            </w:pPr>
            <w:r w:rsidRPr="000F1280">
              <w:t>190</w:t>
            </w:r>
          </w:p>
        </w:tc>
        <w:tc>
          <w:tcPr>
            <w:tcW w:w="11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F1280" w:rsidP="000F1280">
            <w:pPr>
              <w:pStyle w:val="Heading4"/>
            </w:pPr>
            <w:r w:rsidRPr="000F1280">
              <w:t>750</w:t>
            </w:r>
          </w:p>
        </w:tc>
      </w:tr>
    </w:tbl>
    <w:p w:rsidR="00000000" w:rsidRPr="000F1280" w:rsidP="000F1280">
      <w:pPr>
        <w:pStyle w:val="BodyText"/>
      </w:pPr>
    </w:p>
    <w:tbl>
      <w:tblPr>
        <w:tblW w:w="0" w:type="auto"/>
        <w:tblLayout w:type="fixed"/>
        <w:tblCellMar>
          <w:left w:w="62" w:type="dxa"/>
          <w:right w:w="62" w:type="dxa"/>
        </w:tblCellMar>
        <w:tblLook w:val="0000"/>
      </w:tblPr>
      <w:tblGrid>
        <w:gridCol w:w="2127"/>
        <w:gridCol w:w="4894"/>
        <w:gridCol w:w="1485"/>
      </w:tblGrid>
      <w:tr w:rsidTr="00AB7A80">
        <w:tblPrEx>
          <w:tblW w:w="0" w:type="auto"/>
          <w:tblLayout w:type="fixed"/>
          <w:tblCellMar>
            <w:left w:w="62" w:type="dxa"/>
            <w:right w:w="62" w:type="dxa"/>
          </w:tblCellMar>
          <w:tblLook w:val="0000"/>
        </w:tblPrEx>
        <w:tc>
          <w:tcPr>
            <w:tcW w:w="7021"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0F1280" w:rsidP="000F1280">
            <w:pPr>
              <w:pStyle w:val="BodyText"/>
            </w:pPr>
            <w:r w:rsidRPr="000F1280">
              <w:rPr>
                <w:rStyle w:val="SpecialBold"/>
              </w:rPr>
              <w:t>Group A –</w:t>
            </w:r>
            <w:r w:rsidRPr="000F1280">
              <w:rPr>
                <w:rStyle w:val="SpecialBold"/>
              </w:rPr>
              <w:t xml:space="preserve"> Imported and Common Elective Units</w:t>
            </w:r>
          </w:p>
          <w:p w:rsidR="00000000" w:rsidRPr="000F1280" w:rsidP="000F1280">
            <w:pPr>
              <w:pStyle w:val="BodyText"/>
            </w:pPr>
            <w:r w:rsidRPr="000F1280">
              <w:t xml:space="preserve">You may select units from this group to a maximum weighting of 270 points. </w:t>
            </w:r>
          </w:p>
        </w:tc>
        <w:tc>
          <w:tcPr>
            <w:tcW w:w="1485"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0F1280">
            <w:pPr>
              <w:pStyle w:val="BodyText"/>
              <w:rPr>
                <w:lang w:val="en-NZ"/>
              </w:rPr>
            </w:pPr>
            <w:r w:rsidRPr="000F1280">
              <w:rPr>
                <w:rStyle w:val="SpecialBold"/>
              </w:rPr>
              <w:t>Weighting Points</w:t>
            </w:r>
          </w:p>
        </w:tc>
      </w:tr>
      <w:tr w:rsidTr="00AB7A8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BSBWOR501B</w:t>
            </w:r>
          </w:p>
        </w:tc>
        <w:tc>
          <w:tcPr>
            <w:tcW w:w="4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Manage personal work priorities and professional development</w:t>
            </w:r>
          </w:p>
        </w:tc>
        <w:tc>
          <w:tcPr>
            <w:tcW w:w="1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60</w:t>
            </w:r>
          </w:p>
        </w:tc>
      </w:tr>
      <w:tr w:rsidTr="00AB7A8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BSBMGT502B</w:t>
            </w:r>
          </w:p>
        </w:tc>
        <w:tc>
          <w:tcPr>
            <w:tcW w:w="4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Manage people performance</w:t>
            </w:r>
          </w:p>
        </w:tc>
        <w:tc>
          <w:tcPr>
            <w:tcW w:w="1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70</w:t>
            </w:r>
          </w:p>
        </w:tc>
      </w:tr>
      <w:tr w:rsidTr="00AB7A8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BSBMGT515A</w:t>
            </w:r>
          </w:p>
        </w:tc>
        <w:tc>
          <w:tcPr>
            <w:tcW w:w="4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Manage operational plan</w:t>
            </w:r>
          </w:p>
        </w:tc>
        <w:tc>
          <w:tcPr>
            <w:tcW w:w="1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60</w:t>
            </w:r>
          </w:p>
        </w:tc>
      </w:tr>
      <w:tr w:rsidTr="00AB7A8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BSBINM501A</w:t>
            </w:r>
          </w:p>
        </w:tc>
        <w:tc>
          <w:tcPr>
            <w:tcW w:w="4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Manage an information or knowledge management system</w:t>
            </w:r>
          </w:p>
        </w:tc>
        <w:tc>
          <w:tcPr>
            <w:tcW w:w="1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50</w:t>
            </w:r>
          </w:p>
        </w:tc>
      </w:tr>
      <w:tr w:rsidTr="00AB7A8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BSBCUS501C</w:t>
            </w:r>
          </w:p>
        </w:tc>
        <w:tc>
          <w:tcPr>
            <w:tcW w:w="4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Manage quality customer service</w:t>
            </w:r>
          </w:p>
        </w:tc>
        <w:tc>
          <w:tcPr>
            <w:tcW w:w="1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40</w:t>
            </w:r>
          </w:p>
        </w:tc>
      </w:tr>
      <w:tr w:rsidTr="00AB7A8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BSBMGT516C</w:t>
            </w:r>
          </w:p>
        </w:tc>
        <w:tc>
          <w:tcPr>
            <w:tcW w:w="4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Facilitate continuous improvement</w:t>
            </w:r>
          </w:p>
        </w:tc>
        <w:tc>
          <w:tcPr>
            <w:tcW w:w="1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60</w:t>
            </w:r>
          </w:p>
        </w:tc>
      </w:tr>
      <w:tr w:rsidTr="00AB7A8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BSBINN502A</w:t>
            </w:r>
          </w:p>
        </w:tc>
        <w:tc>
          <w:tcPr>
            <w:tcW w:w="4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Build and sustain an innovative work environment</w:t>
            </w:r>
          </w:p>
        </w:tc>
        <w:tc>
          <w:tcPr>
            <w:tcW w:w="1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50</w:t>
            </w:r>
          </w:p>
        </w:tc>
      </w:tr>
      <w:tr w:rsidTr="00AB7A8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BSBLED501A</w:t>
            </w:r>
          </w:p>
        </w:tc>
        <w:tc>
          <w:tcPr>
            <w:tcW w:w="4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Develop a workplace learning environment</w:t>
            </w:r>
          </w:p>
        </w:tc>
        <w:tc>
          <w:tcPr>
            <w:tcW w:w="1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60</w:t>
            </w:r>
          </w:p>
        </w:tc>
      </w:tr>
      <w:tr w:rsidTr="00AB7A8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BSBWOR502B</w:t>
            </w:r>
          </w:p>
        </w:tc>
        <w:tc>
          <w:tcPr>
            <w:tcW w:w="4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Ensure team effectiveness</w:t>
            </w:r>
          </w:p>
        </w:tc>
        <w:tc>
          <w:tcPr>
            <w:tcW w:w="1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60</w:t>
            </w:r>
          </w:p>
        </w:tc>
      </w:tr>
      <w:tr w:rsidTr="00AB7A8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BSBFIM501A</w:t>
            </w:r>
          </w:p>
        </w:tc>
        <w:tc>
          <w:tcPr>
            <w:tcW w:w="4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Manage budgets and financial plans</w:t>
            </w:r>
          </w:p>
        </w:tc>
        <w:tc>
          <w:tcPr>
            <w:tcW w:w="1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70</w:t>
            </w:r>
          </w:p>
        </w:tc>
      </w:tr>
      <w:tr w:rsidTr="00AB7A8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BSBSUS501A</w:t>
            </w:r>
          </w:p>
        </w:tc>
        <w:tc>
          <w:tcPr>
            <w:tcW w:w="4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Develop workplace policy and procedures for sustainability</w:t>
            </w:r>
          </w:p>
        </w:tc>
        <w:tc>
          <w:tcPr>
            <w:tcW w:w="1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50</w:t>
            </w:r>
          </w:p>
        </w:tc>
      </w:tr>
      <w:tr w:rsidTr="00AB7A8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TLIF2010A</w:t>
            </w:r>
          </w:p>
        </w:tc>
        <w:tc>
          <w:tcPr>
            <w:tcW w:w="4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 xml:space="preserve">Apply Fatigue Management Strategies </w:t>
            </w:r>
          </w:p>
        </w:tc>
        <w:tc>
          <w:tcPr>
            <w:tcW w:w="1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30</w:t>
            </w:r>
          </w:p>
        </w:tc>
      </w:tr>
      <w:tr w:rsidTr="00AB7A8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TLIF3063A</w:t>
            </w:r>
          </w:p>
        </w:tc>
        <w:tc>
          <w:tcPr>
            <w:tcW w:w="4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Administer the implementation of fatigue management strategies</w:t>
            </w:r>
          </w:p>
        </w:tc>
        <w:tc>
          <w:tcPr>
            <w:tcW w:w="1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50</w:t>
            </w:r>
          </w:p>
        </w:tc>
      </w:tr>
      <w:tr w:rsidTr="00AB7A8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4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F1280" w:rsidP="000F1280">
            <w:pPr>
              <w:pStyle w:val="BodyText"/>
            </w:pPr>
            <w:r w:rsidRPr="000F1280">
              <w:t>Imported units from other training packages and/or state accredi</w:t>
            </w:r>
            <w:r w:rsidRPr="000F1280">
              <w:t>ted courses can be added to this group, but they must be selected from qualifications where the unit is first packaged at AQF level 5.  If units have not being assigned a weighting by the relevant EE-Oz Industry Technical Advisory Committee, their weightin</w:t>
            </w:r>
            <w:r w:rsidRPr="000F1280">
              <w:t xml:space="preserve">g will be 10 points. </w:t>
            </w:r>
          </w:p>
          <w:p w:rsidR="00000000" w:rsidRPr="000F1280" w:rsidP="000F1280">
            <w:pPr>
              <w:pStyle w:val="BodyText"/>
            </w:pPr>
          </w:p>
          <w:p w:rsidR="00000000" w:rsidP="000F1280">
            <w:pPr>
              <w:pStyle w:val="BodyText"/>
              <w:rPr>
                <w:lang w:val="en-NZ"/>
              </w:rPr>
            </w:pPr>
            <w:r w:rsidRPr="000F1280">
              <w:t>Note: For further information see Application of the NQC Flexibility Formula, Page 10, UET12 Electricity Supply Industry – Transmission, Distribution and Rail Sector Training Package, Version 1, Volume 1 Qualification Framework.</w:t>
            </w:r>
          </w:p>
        </w:tc>
        <w:tc>
          <w:tcPr>
            <w:tcW w:w="1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Up to 270 Points</w:t>
            </w:r>
          </w:p>
        </w:tc>
      </w:tr>
      <w:tr w:rsidTr="00AB7A80">
        <w:tblPrEx>
          <w:tblW w:w="0" w:type="auto"/>
          <w:tblLayout w:type="fixed"/>
          <w:tblCellMar>
            <w:left w:w="62" w:type="dxa"/>
            <w:right w:w="62" w:type="dxa"/>
          </w:tblCellMar>
          <w:tblLook w:val="0000"/>
        </w:tblPrEx>
        <w:tc>
          <w:tcPr>
            <w:tcW w:w="7021" w:type="dxa"/>
            <w:gridSpan w:val="2"/>
            <w:tcBorders>
              <w:top w:val="single" w:sz="4" w:space="0" w:color="auto"/>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85" w:type="dxa"/>
            <w:tcBorders>
              <w:top w:val="single" w:sz="4" w:space="0" w:color="auto"/>
              <w:left w:val="nil"/>
              <w:bottom w:val="single" w:sz="4" w:space="0" w:color="auto"/>
              <w:right w:val="nil"/>
            </w:tcBorders>
            <w:tcMar>
              <w:top w:w="0" w:type="dxa"/>
              <w:left w:w="62" w:type="dxa"/>
              <w:bottom w:w="0" w:type="dxa"/>
              <w:right w:w="62" w:type="dxa"/>
            </w:tcMar>
          </w:tcPr>
          <w:p w:rsidR="00000000" w:rsidP="000F1280">
            <w:pPr>
              <w:pStyle w:val="BodyText"/>
              <w:rPr>
                <w:lang w:val="en-NZ"/>
              </w:rPr>
            </w:pPr>
          </w:p>
        </w:tc>
      </w:tr>
      <w:tr w:rsidTr="00AB7A80">
        <w:tblPrEx>
          <w:tblW w:w="0" w:type="auto"/>
          <w:tblLayout w:type="fixed"/>
          <w:tblCellMar>
            <w:left w:w="62" w:type="dxa"/>
            <w:right w:w="62" w:type="dxa"/>
          </w:tblCellMar>
          <w:tblLook w:val="0000"/>
        </w:tblPrEx>
        <w:tc>
          <w:tcPr>
            <w:tcW w:w="7021"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0F1280" w:rsidP="000F1280">
            <w:pPr>
              <w:pStyle w:val="BodyText"/>
            </w:pPr>
            <w:r w:rsidRPr="000F1280">
              <w:rPr>
                <w:rStyle w:val="SpecialBold"/>
              </w:rPr>
              <w:t>Group B – Qualification Elective Units</w:t>
            </w:r>
          </w:p>
          <w:p w:rsidR="00000000" w:rsidRPr="000F1280" w:rsidP="000F1280">
            <w:pPr>
              <w:pStyle w:val="BodyText"/>
            </w:pPr>
            <w:r w:rsidRPr="000F1280">
              <w:t>You may select units from this group to a maximum weighting of 360 points.</w:t>
            </w:r>
          </w:p>
        </w:tc>
        <w:tc>
          <w:tcPr>
            <w:tcW w:w="1485"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0F1280">
            <w:pPr>
              <w:pStyle w:val="BodyText"/>
              <w:rPr>
                <w:lang w:val="en-NZ"/>
              </w:rPr>
            </w:pPr>
            <w:r w:rsidRPr="000F1280">
              <w:rPr>
                <w:rStyle w:val="SpecialBold"/>
              </w:rPr>
              <w:t>Weighting Points</w:t>
            </w:r>
          </w:p>
        </w:tc>
      </w:tr>
      <w:tr w:rsidTr="00AB7A8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280">
            <w:pPr>
              <w:pStyle w:val="BodyText"/>
              <w:rPr>
                <w:lang w:val="en-NZ"/>
              </w:rPr>
            </w:pPr>
            <w:r w:rsidRPr="000F1280">
              <w:t>UEENEEG006A</w:t>
            </w:r>
          </w:p>
        </w:tc>
        <w:tc>
          <w:tcPr>
            <w:tcW w:w="4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280">
            <w:pPr>
              <w:pStyle w:val="BodyText"/>
              <w:rPr>
                <w:lang w:val="en-NZ"/>
              </w:rPr>
            </w:pPr>
            <w:r w:rsidRPr="000F1280">
              <w:t>Solve problems in single and three phase low voltage machines</w:t>
            </w:r>
          </w:p>
        </w:tc>
        <w:tc>
          <w:tcPr>
            <w:tcW w:w="1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280">
            <w:pPr>
              <w:pStyle w:val="BodyText"/>
              <w:rPr>
                <w:lang w:val="en-NZ"/>
              </w:rPr>
            </w:pPr>
            <w:r w:rsidRPr="000F1280">
              <w:t>80</w:t>
            </w:r>
          </w:p>
        </w:tc>
      </w:tr>
      <w:tr w:rsidTr="00AB7A8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280">
            <w:pPr>
              <w:pStyle w:val="BodyText"/>
              <w:rPr>
                <w:lang w:val="en-NZ"/>
              </w:rPr>
            </w:pPr>
            <w:r w:rsidRPr="000F1280">
              <w:t>UEENEEE102A</w:t>
            </w:r>
          </w:p>
        </w:tc>
        <w:tc>
          <w:tcPr>
            <w:tcW w:w="4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280">
            <w:pPr>
              <w:pStyle w:val="BodyText"/>
              <w:rPr>
                <w:lang w:val="en-NZ"/>
              </w:rPr>
            </w:pPr>
            <w:r w:rsidRPr="000F1280">
              <w:t>Fabricate, assemble and dismantle utilities industry components</w:t>
            </w:r>
          </w:p>
        </w:tc>
        <w:tc>
          <w:tcPr>
            <w:tcW w:w="1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40</w:t>
            </w:r>
          </w:p>
        </w:tc>
      </w:tr>
      <w:tr w:rsidTr="00AB7A8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280">
            <w:pPr>
              <w:pStyle w:val="BodyText"/>
              <w:rPr>
                <w:lang w:val="en-NZ"/>
              </w:rPr>
            </w:pPr>
            <w:r w:rsidRPr="000F1280">
              <w:t>UEENEEH102A</w:t>
            </w:r>
          </w:p>
        </w:tc>
        <w:tc>
          <w:tcPr>
            <w:tcW w:w="4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280">
            <w:pPr>
              <w:pStyle w:val="BodyText"/>
              <w:rPr>
                <w:lang w:val="en-NZ"/>
              </w:rPr>
            </w:pPr>
            <w:r w:rsidRPr="000F1280">
              <w:t>Repair basic electronic apparatus faults by replacement of components</w:t>
            </w:r>
          </w:p>
        </w:tc>
        <w:tc>
          <w:tcPr>
            <w:tcW w:w="1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40</w:t>
            </w:r>
          </w:p>
        </w:tc>
      </w:tr>
      <w:tr w:rsidTr="00AB7A8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280">
            <w:pPr>
              <w:pStyle w:val="BodyText"/>
              <w:rPr>
                <w:lang w:val="en-NZ"/>
              </w:rPr>
            </w:pPr>
            <w:r w:rsidRPr="000F1280">
              <w:t>UEENEEH112A</w:t>
            </w:r>
          </w:p>
        </w:tc>
        <w:tc>
          <w:tcPr>
            <w:tcW w:w="4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280">
            <w:pPr>
              <w:pStyle w:val="BodyText"/>
              <w:rPr>
                <w:lang w:val="en-NZ"/>
              </w:rPr>
            </w:pPr>
            <w:r w:rsidRPr="000F1280">
              <w:t>Troubleshoot digital sub-systems</w:t>
            </w:r>
          </w:p>
        </w:tc>
        <w:tc>
          <w:tcPr>
            <w:tcW w:w="1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80</w:t>
            </w:r>
          </w:p>
        </w:tc>
      </w:tr>
      <w:tr w:rsidTr="00AB7A8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280">
            <w:pPr>
              <w:pStyle w:val="BodyText"/>
              <w:rPr>
                <w:lang w:val="en-NZ"/>
              </w:rPr>
            </w:pPr>
            <w:r w:rsidRPr="000F1280">
              <w:t>UEENEEH139A</w:t>
            </w:r>
          </w:p>
        </w:tc>
        <w:tc>
          <w:tcPr>
            <w:tcW w:w="4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280">
            <w:pPr>
              <w:pStyle w:val="BodyText"/>
              <w:rPr>
                <w:lang w:val="en-NZ"/>
              </w:rPr>
            </w:pPr>
            <w:r w:rsidRPr="000F1280">
              <w:t>Troubleshoot basic amplifier circuits</w:t>
            </w:r>
          </w:p>
        </w:tc>
        <w:tc>
          <w:tcPr>
            <w:tcW w:w="1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40</w:t>
            </w:r>
          </w:p>
        </w:tc>
      </w:tr>
      <w:tr w:rsidTr="00AB7A8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UETTDRIS67A</w:t>
            </w:r>
          </w:p>
        </w:tc>
        <w:tc>
          <w:tcPr>
            <w:tcW w:w="4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Solve problems in energy supply network equipment</w:t>
            </w:r>
          </w:p>
        </w:tc>
        <w:tc>
          <w:tcPr>
            <w:tcW w:w="1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80</w:t>
            </w:r>
          </w:p>
        </w:tc>
      </w:tr>
      <w:tr w:rsidTr="00AB7A8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UETTDRIS68A</w:t>
            </w:r>
          </w:p>
        </w:tc>
        <w:tc>
          <w:tcPr>
            <w:tcW w:w="4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Solve problems in energy supply network protection equipment and systems</w:t>
            </w:r>
          </w:p>
        </w:tc>
        <w:tc>
          <w:tcPr>
            <w:tcW w:w="1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F1280" w:rsidP="000F1280">
            <w:pPr>
              <w:pStyle w:val="BodyText"/>
            </w:pPr>
            <w:r w:rsidRPr="000F1280">
              <w:t>40</w:t>
            </w:r>
          </w:p>
        </w:tc>
      </w:tr>
    </w:tbl>
    <w:p w:rsidR="00000000" w:rsidRPr="000F1280" w:rsidP="000F1280">
      <w:pPr>
        <w:pStyle w:val="BodyText"/>
      </w:pPr>
    </w:p>
    <w:tbl>
      <w:tblPr>
        <w:tblW w:w="0" w:type="auto"/>
        <w:tblLayout w:type="fixed"/>
        <w:tblCellMar>
          <w:left w:w="62" w:type="dxa"/>
          <w:right w:w="62" w:type="dxa"/>
        </w:tblCellMar>
        <w:tblLook w:val="0000"/>
      </w:tblPr>
      <w:tblGrid>
        <w:gridCol w:w="2127"/>
        <w:gridCol w:w="4961"/>
        <w:gridCol w:w="1417"/>
      </w:tblGrid>
      <w:tr w:rsidTr="00AB7A80">
        <w:tblPrEx>
          <w:tblW w:w="0" w:type="auto"/>
          <w:tblLayout w:type="fixed"/>
          <w:tblCellMar>
            <w:left w:w="62" w:type="dxa"/>
            <w:right w:w="62" w:type="dxa"/>
          </w:tblCellMar>
          <w:tblLook w:val="0000"/>
        </w:tblPrEx>
        <w:trPr>
          <w:trHeight w:val="842"/>
        </w:trPr>
        <w:tc>
          <w:tcPr>
            <w:tcW w:w="7088"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0F1280" w:rsidP="000F1280">
            <w:pPr>
              <w:pStyle w:val="BodyText"/>
            </w:pPr>
            <w:r w:rsidRPr="000F1280">
              <w:rPr>
                <w:rStyle w:val="SpecialBold"/>
              </w:rPr>
              <w:t>Group C – Qualification Elective Units</w:t>
            </w:r>
          </w:p>
          <w:p w:rsidR="00000000" w:rsidRPr="000F1280" w:rsidP="000F1280">
            <w:pPr>
              <w:pStyle w:val="BodyText"/>
            </w:pPr>
            <w:r w:rsidRPr="000F1280">
              <w:t>You may select units from this group to a maximum weighting of 200 points.</w:t>
            </w:r>
          </w:p>
        </w:tc>
        <w:tc>
          <w:tcPr>
            <w:tcW w:w="1417"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0F1280">
            <w:pPr>
              <w:pStyle w:val="BodyText"/>
              <w:rPr>
                <w:lang w:val="en-NZ"/>
              </w:rPr>
            </w:pPr>
            <w:r w:rsidRPr="000F1280">
              <w:rPr>
                <w:rStyle w:val="SpecialBold"/>
              </w:rPr>
              <w:t>Weighting Points</w:t>
            </w:r>
          </w:p>
        </w:tc>
      </w:tr>
      <w:tr w:rsidTr="00AB7A8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280">
            <w:pPr>
              <w:pStyle w:val="BodyText"/>
              <w:rPr>
                <w:lang w:val="en-NZ"/>
              </w:rPr>
            </w:pPr>
            <w:r w:rsidRPr="000F1280">
              <w:t>UEENEEI155A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280">
            <w:pPr>
              <w:pStyle w:val="BodyText"/>
              <w:rPr>
                <w:lang w:val="en-NZ"/>
              </w:rPr>
            </w:pPr>
            <w:r w:rsidRPr="000F1280">
              <w:t>Develop structured programs to control external devices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40</w:t>
            </w:r>
          </w:p>
        </w:tc>
      </w:tr>
      <w:tr w:rsidTr="00AB7A8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UETTDRDS31A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Draft and layout an power system overhead distribution extension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60</w:t>
            </w:r>
          </w:p>
        </w:tc>
      </w:tr>
      <w:tr w:rsidTr="00AB7A8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UETTDRDS32A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Draft and layout an power system underground distribution extension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60</w:t>
            </w:r>
          </w:p>
        </w:tc>
      </w:tr>
      <w:tr w:rsidTr="00AB7A8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UETTDRDS33A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Draft and layout a power system street lighting system</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60</w:t>
            </w:r>
          </w:p>
        </w:tc>
      </w:tr>
      <w:tr w:rsidTr="00AB7A8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UETTDRDS34A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Draft and layout a power system distribution substation minor upgrade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F1280" w:rsidP="000F1280">
            <w:pPr>
              <w:pStyle w:val="BodyText"/>
            </w:pPr>
            <w:r w:rsidRPr="000F1280">
              <w:t>60</w:t>
            </w:r>
          </w:p>
        </w:tc>
      </w:tr>
    </w:tbl>
    <w:p w:rsidR="00000000" w:rsidRPr="000F1280" w:rsidP="000F1280">
      <w:pPr>
        <w:pStyle w:val="BodyText"/>
      </w:pPr>
    </w:p>
    <w:tbl>
      <w:tblPr>
        <w:tblW w:w="0" w:type="auto"/>
        <w:tblLayout w:type="fixed"/>
        <w:tblCellMar>
          <w:left w:w="62" w:type="dxa"/>
          <w:right w:w="62" w:type="dxa"/>
        </w:tblCellMar>
        <w:tblLook w:val="0000"/>
      </w:tblPr>
      <w:tblGrid>
        <w:gridCol w:w="2127"/>
        <w:gridCol w:w="4961"/>
        <w:gridCol w:w="1417"/>
      </w:tblGrid>
      <w:tr w:rsidTr="00AB7A80">
        <w:tblPrEx>
          <w:tblW w:w="0" w:type="auto"/>
          <w:tblLayout w:type="fixed"/>
          <w:tblCellMar>
            <w:left w:w="62" w:type="dxa"/>
            <w:right w:w="62" w:type="dxa"/>
          </w:tblCellMar>
          <w:tblLook w:val="0000"/>
        </w:tblPrEx>
        <w:tc>
          <w:tcPr>
            <w:tcW w:w="7088"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0F1280" w:rsidP="000F1280">
            <w:pPr>
              <w:pStyle w:val="BodyText"/>
            </w:pPr>
            <w:r w:rsidRPr="000F1280">
              <w:rPr>
                <w:rStyle w:val="SpecialBold"/>
              </w:rPr>
              <w:t>Group D – Qual</w:t>
            </w:r>
            <w:r w:rsidRPr="000F1280">
              <w:rPr>
                <w:rStyle w:val="SpecialBold"/>
              </w:rPr>
              <w:t>ification Elective Units</w:t>
            </w:r>
          </w:p>
          <w:p w:rsidR="00000000" w:rsidRPr="000F1280" w:rsidP="000F1280">
            <w:pPr>
              <w:pStyle w:val="BodyText"/>
            </w:pPr>
            <w:r w:rsidRPr="000F1280">
              <w:t>At least 140 points to be achieved from this group.</w:t>
            </w:r>
          </w:p>
          <w:p w:rsidR="00000000" w:rsidRPr="000F1280" w:rsidP="000F1280">
            <w:pPr>
              <w:pStyle w:val="BodyText"/>
            </w:pPr>
            <w:r w:rsidRPr="000F1280">
              <w:t>You may select all your elective units from this Group.</w:t>
            </w:r>
          </w:p>
        </w:tc>
        <w:tc>
          <w:tcPr>
            <w:tcW w:w="1417"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0F1280">
            <w:pPr>
              <w:pStyle w:val="BodyText"/>
              <w:rPr>
                <w:lang w:val="en-NZ"/>
              </w:rPr>
            </w:pPr>
            <w:r w:rsidRPr="000F1280">
              <w:rPr>
                <w:rStyle w:val="SpecialBold"/>
              </w:rPr>
              <w:t>Weighting Points</w:t>
            </w:r>
          </w:p>
        </w:tc>
      </w:tr>
      <w:tr w:rsidTr="00AB7A8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UETTDRDS35A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Design overhead distribution power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140</w:t>
            </w:r>
          </w:p>
        </w:tc>
      </w:tr>
      <w:tr w:rsidTr="00AB7A8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UETTDRDS36A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Design underground distribution power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140</w:t>
            </w:r>
          </w:p>
        </w:tc>
      </w:tr>
      <w:tr w:rsidTr="00AB7A8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UETTDRDS37A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Design power system distribution substations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140</w:t>
            </w:r>
          </w:p>
        </w:tc>
      </w:tr>
      <w:tr w:rsidTr="00AB7A8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UETTDRDS38A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Design power system public lighting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140</w:t>
            </w:r>
          </w:p>
        </w:tc>
      </w:tr>
      <w:tr w:rsidTr="00AB7A8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UETTDRDS39A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Prepare and manage detailed construction plans for electrical power system infrastructure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140</w:t>
            </w:r>
          </w:p>
        </w:tc>
      </w:tr>
      <w:tr w:rsidTr="00AB7A8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UETTDRDS42A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Investigate quality of power systems supply issues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140</w:t>
            </w:r>
          </w:p>
        </w:tc>
      </w:tr>
      <w:tr w:rsidTr="00AB7A8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UETTDRDS43A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Develop high voltage and low voltage distribution protection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150</w:t>
            </w:r>
          </w:p>
        </w:tc>
      </w:tr>
      <w:tr w:rsidTr="00AB7A8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UETTDRD</w:t>
            </w:r>
            <w:r w:rsidRPr="000F1280">
              <w:t>S44A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Design power system zone substations modifications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150</w:t>
            </w:r>
          </w:p>
        </w:tc>
      </w:tr>
      <w:tr w:rsidTr="00AB7A8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UETTDRDS45A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Organise and implement ESI line and easement surveys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140</w:t>
            </w:r>
          </w:p>
        </w:tc>
      </w:tr>
      <w:tr w:rsidTr="00AB7A8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UETTDRDS46A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Develop planned power systems outage strategies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140</w:t>
            </w:r>
          </w:p>
        </w:tc>
      </w:tr>
      <w:tr w:rsidTr="00AB7A8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UETTDRDS49A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Establish and manage power system geographical information systems data</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140</w:t>
            </w:r>
          </w:p>
        </w:tc>
      </w:tr>
      <w:tr w:rsidTr="00AB7A8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UETTDRIS66A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Manage an electricity power system OHS management system</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140</w:t>
            </w:r>
          </w:p>
        </w:tc>
      </w:tr>
      <w:tr w:rsidTr="00AB7A8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UETTDRIS69A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Diagnose and rectify faults in energy supply apparatus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60</w:t>
            </w:r>
          </w:p>
        </w:tc>
      </w:tr>
      <w:tr w:rsidTr="00AB7A8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UETTDRIS70A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Diagnose and rectify f</w:t>
            </w:r>
            <w:r w:rsidRPr="000F1280">
              <w:t>aults in electrical energy distribution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60</w:t>
            </w:r>
          </w:p>
        </w:tc>
      </w:tr>
      <w:tr w:rsidTr="00AB7A8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UETTDRIS71A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Diagnose and rectify faults in electrical energy supply transmission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60</w:t>
            </w:r>
          </w:p>
        </w:tc>
      </w:tr>
      <w:tr w:rsidTr="00AB7A8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UETTDRIS72A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Diagnose and rectify faults in distributed Generation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60</w:t>
            </w:r>
          </w:p>
        </w:tc>
      </w:tr>
      <w:tr w:rsidTr="00AB7A8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UETTDRSO36A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Develop low voltage distribution switching programs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150</w:t>
            </w:r>
          </w:p>
        </w:tc>
      </w:tr>
      <w:tr w:rsidTr="00AB7A8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UETTDRSO37A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Develop high voltage distribution and subtransmission switching programs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150</w:t>
            </w:r>
          </w:p>
        </w:tc>
      </w:tr>
      <w:tr w:rsidTr="00AB7A8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UETTDRSO38A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Develop and evaluate power systems transmission switching programs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150</w:t>
            </w:r>
          </w:p>
        </w:tc>
      </w:tr>
      <w:tr w:rsidTr="00AB7A8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UETTDRSO39A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Coordinate low voltage distribution networks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150</w:t>
            </w:r>
          </w:p>
        </w:tc>
      </w:tr>
      <w:tr w:rsidTr="00AB7A8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UETTDRSO40A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Coordinate high voltage distribution and subtransmission networks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150</w:t>
            </w:r>
          </w:p>
        </w:tc>
      </w:tr>
      <w:tr w:rsidTr="00AB7A80">
        <w:tblPrEx>
          <w:tblW w:w="0" w:type="auto"/>
          <w:tblLayout w:type="fixed"/>
          <w:tblCellMar>
            <w:left w:w="62" w:type="dxa"/>
            <w:right w:w="62" w:type="dxa"/>
          </w:tblCellMar>
          <w:tblLook w:val="0000"/>
        </w:tblPrEx>
        <w:trPr>
          <w:trHeight w:val="46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UETTDRSO43A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Coordinate low voltage distribution network demand</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150</w:t>
            </w:r>
          </w:p>
        </w:tc>
      </w:tr>
      <w:tr w:rsidTr="00AB7A8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UETTDRSO46A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Monitor and control the field staff activit</w:t>
            </w:r>
            <w:r w:rsidRPr="000F1280">
              <w:t xml:space="preserve">ies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150</w:t>
            </w:r>
          </w:p>
        </w:tc>
      </w:tr>
      <w:tr w:rsidTr="00AB7A8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UETTDRSO47A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Coordinate high voltage transmission network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150</w:t>
            </w:r>
          </w:p>
        </w:tc>
      </w:tr>
      <w:tr w:rsidTr="00AB7A8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UETTDRSO48A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Respond to discrete and interdependent protection operations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150</w:t>
            </w:r>
          </w:p>
        </w:tc>
      </w:tr>
      <w:tr w:rsidTr="00AB7A8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UETTDRSO49A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Coordinate power system operations in a regulated energy market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150</w:t>
            </w:r>
          </w:p>
        </w:tc>
      </w:tr>
      <w:tr w:rsidTr="00AB7A8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UETTDRTS21A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Maintain interdependent network protection and control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150</w:t>
            </w:r>
          </w:p>
        </w:tc>
      </w:tr>
      <w:tr w:rsidTr="00AB7A8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UETTDRTS22A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Commission interdependent network protection and control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150</w:t>
            </w:r>
          </w:p>
        </w:tc>
      </w:tr>
      <w:tr w:rsidTr="00AB7A8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UETTDRTS25A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Maintain and test and metering schemes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140</w:t>
            </w:r>
          </w:p>
        </w:tc>
      </w:tr>
      <w:tr w:rsidTr="00AB7A8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280">
            <w:pPr>
              <w:pStyle w:val="BodyText"/>
              <w:rPr>
                <w:lang w:val="en-NZ"/>
              </w:rPr>
            </w:pPr>
            <w:r w:rsidRPr="000F1280">
              <w:t>UETTDRTS26A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Commission power systems metering schemes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150</w:t>
            </w:r>
          </w:p>
        </w:tc>
      </w:tr>
      <w:tr w:rsidTr="00AB7A8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280">
            <w:pPr>
              <w:pStyle w:val="BodyText"/>
              <w:rPr>
                <w:lang w:val="en-NZ"/>
              </w:rPr>
            </w:pPr>
            <w:r w:rsidRPr="000F1280">
              <w:t>UETTDRTS27A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Perform accuracy checks on power systems instrument transformers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150</w:t>
            </w:r>
          </w:p>
        </w:tc>
      </w:tr>
      <w:tr w:rsidTr="00AB7A8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280">
            <w:pPr>
              <w:pStyle w:val="BodyText"/>
              <w:rPr>
                <w:lang w:val="en-NZ"/>
              </w:rPr>
            </w:pPr>
            <w:r w:rsidRPr="000F1280">
              <w:t>UETTDRTS28A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Repair, test and calibrate protection relays and meters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150</w:t>
            </w:r>
          </w:p>
        </w:tc>
      </w:tr>
      <w:tr w:rsidTr="00AB7A8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280">
            <w:pPr>
              <w:pStyle w:val="BodyText"/>
              <w:rPr>
                <w:lang w:val="en-NZ"/>
              </w:rPr>
            </w:pPr>
            <w:r w:rsidRPr="000F1280">
              <w:t>UETTDRTS29A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 xml:space="preserve">Develop power systems secondary isolation </w:t>
            </w:r>
            <w:r w:rsidRPr="000F1280">
              <w:t>instructional documents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150</w:t>
            </w:r>
          </w:p>
        </w:tc>
      </w:tr>
      <w:tr w:rsidTr="00AB7A8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280">
            <w:pPr>
              <w:pStyle w:val="BodyText"/>
              <w:rPr>
                <w:lang w:val="en-NZ"/>
              </w:rPr>
            </w:pPr>
            <w:r w:rsidRPr="000F1280">
              <w:t>UETTDRTS31A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Maintain, test and commission power systems voltage regulating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150</w:t>
            </w:r>
          </w:p>
        </w:tc>
      </w:tr>
      <w:tr w:rsidTr="00AB7A8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280">
            <w:pPr>
              <w:pStyle w:val="BodyText"/>
              <w:rPr>
                <w:lang w:val="en-NZ"/>
              </w:rPr>
            </w:pPr>
            <w:r w:rsidRPr="000F1280">
              <w:t>UETTDRTS34A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 xml:space="preserve">Install and maintain power system communication equipment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150</w:t>
            </w:r>
          </w:p>
        </w:tc>
      </w:tr>
      <w:tr w:rsidTr="00AB7A8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UETTDRTS35A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280">
            <w:pPr>
              <w:pStyle w:val="BodyText"/>
              <w:rPr>
                <w:lang w:val="en-NZ"/>
              </w:rPr>
            </w:pPr>
            <w:r w:rsidRPr="000F1280">
              <w:t>Maintain complex network protection and control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F1280" w:rsidP="000F1280">
            <w:pPr>
              <w:pStyle w:val="BodyText"/>
            </w:pPr>
            <w:r w:rsidRPr="000F1280">
              <w:t>180</w:t>
            </w:r>
          </w:p>
        </w:tc>
      </w:tr>
    </w:tbl>
    <w:p w:rsidR="00000000" w:rsidRPr="000F1280" w:rsidP="000F1280">
      <w:pPr>
        <w:pStyle w:val="BodyText"/>
      </w:pPr>
      <w:r w:rsidRPr="000F1280">
        <w:rPr>
          <w:rStyle w:val="SpecialBold"/>
        </w:rPr>
        <w:t xml:space="preserve">Note: </w:t>
      </w:r>
    </w:p>
    <w:p w:rsidR="00000000" w:rsidRPr="000F1280" w:rsidP="000F1280">
      <w:pPr>
        <w:pStyle w:val="BodyText"/>
      </w:pPr>
      <w:r w:rsidRPr="000F1280">
        <w:t>1. Prerequisite pathways shall be identified and met for all elective units selected.</w:t>
      </w:r>
    </w:p>
    <w:p w:rsidR="00000000" w:rsidRPr="000F1280" w:rsidP="000F1280">
      <w:pPr>
        <w:pStyle w:val="BodyText"/>
      </w:pPr>
      <w:r w:rsidRPr="000F1280">
        <w:rPr>
          <w:rStyle w:val="SpecialBold"/>
        </w:rPr>
        <w:t>END OF QUALIFICATION</w:t>
      </w:r>
    </w:p>
    <w:p w:rsidR="00000000" w:rsidRPr="000F1280" w:rsidP="000F1280">
      <w:pPr>
        <w:pStyle w:val="AllowPageBreak"/>
      </w:pPr>
    </w:p>
    <w:p w:rsidR="00000000" w:rsidRPr="000F1280" w:rsidP="000F1280">
      <w:pPr>
        <w:pStyle w:val="Heading1"/>
      </w:pPr>
      <w:bookmarkStart w:id="8" w:name="O_668647"/>
      <w:bookmarkEnd w:id="8"/>
      <w:r w:rsidRPr="000F1280">
        <w:t>Custom Content Section</w:t>
      </w:r>
    </w:p>
    <w:p w:rsidR="00000000" w:rsidRPr="000F1280" w:rsidP="000F1280">
      <w:pPr>
        <w:pStyle w:val="BodyText"/>
      </w:pPr>
      <w:r w:rsidRPr="000F1280">
        <w:t>Not applicable.</w:t>
      </w:r>
    </w:p>
    <w:p w:rsidR="00000000" w:rsidRPr="000F1280" w:rsidP="000F1280"/>
    <w:sectPr w:rsidSect="000F12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2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280" w:rsidRPr="00AB7A80" w:rsidP="00AB7A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2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A80" w:rsidP="000F12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B7A80" w:rsidP="000F1280">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AB7A80" w:rsidP="000F12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2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280" w:rsidRPr="00AB7A80" w:rsidP="00AB7A8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2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A80" w:rsidRPr="002D2AF8" w:rsidP="000F1280">
    <w:pPr>
      <w:pStyle w:val="Header"/>
      <w:framePr w:wrap="around"/>
    </w:pPr>
    <w:r>
      <w:fldChar w:fldCharType="begin"/>
    </w:r>
    <w:r>
      <w:instrText xml:space="preserve"> TITLE   \* MERGEFORMAT </w:instrText>
    </w:r>
    <w:r>
      <w:fldChar w:fldCharType="separate"/>
    </w:r>
    <w:r>
      <w:t>UET50312 Diploma of ESI - Power Systems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November 2014</w:t>
    </w:r>
    <w:r>
      <w:fldChar w:fldCharType="end"/>
    </w:r>
  </w:p>
  <w:p w:rsidR="00AB7A80" w:rsidP="000F12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06BF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26D41E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12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1280"/>
    <w:pPr>
      <w:spacing w:before="360" w:after="60"/>
      <w:outlineLvl w:val="0"/>
    </w:pPr>
    <w:rPr>
      <w:sz w:val="32"/>
    </w:rPr>
  </w:style>
  <w:style w:type="paragraph" w:styleId="Heading2">
    <w:name w:val="heading 2"/>
    <w:basedOn w:val="HeadingBase"/>
    <w:next w:val="BodyText"/>
    <w:link w:val="Heading2Char"/>
    <w:qFormat/>
    <w:rsid w:val="000F1280"/>
    <w:pPr>
      <w:keepLines/>
      <w:spacing w:before="240" w:after="120"/>
      <w:outlineLvl w:val="1"/>
    </w:pPr>
    <w:rPr>
      <w:sz w:val="28"/>
      <w:szCs w:val="40"/>
    </w:rPr>
  </w:style>
  <w:style w:type="paragraph" w:styleId="Heading3">
    <w:name w:val="heading 3"/>
    <w:basedOn w:val="HeadingBase"/>
    <w:next w:val="BodyText"/>
    <w:link w:val="Heading3Char"/>
    <w:qFormat/>
    <w:rsid w:val="000F1280"/>
    <w:pPr>
      <w:spacing w:before="180" w:after="120"/>
      <w:outlineLvl w:val="2"/>
    </w:pPr>
    <w:rPr>
      <w:spacing w:val="-10"/>
      <w:kern w:val="32"/>
    </w:rPr>
  </w:style>
  <w:style w:type="paragraph" w:styleId="Heading4">
    <w:name w:val="heading 4"/>
    <w:basedOn w:val="HeadingBase"/>
    <w:next w:val="BodyText"/>
    <w:link w:val="Heading4Char"/>
    <w:qFormat/>
    <w:rsid w:val="000F1280"/>
    <w:pPr>
      <w:spacing w:before="160" w:after="120"/>
      <w:outlineLvl w:val="3"/>
    </w:pPr>
    <w:rPr>
      <w:sz w:val="22"/>
    </w:rPr>
  </w:style>
  <w:style w:type="paragraph" w:styleId="Heading5">
    <w:name w:val="heading 5"/>
    <w:basedOn w:val="HeadingBase"/>
    <w:next w:val="Normal"/>
    <w:link w:val="Heading5Char"/>
    <w:qFormat/>
    <w:rsid w:val="000F1280"/>
    <w:pPr>
      <w:spacing w:before="80"/>
      <w:outlineLvl w:val="4"/>
    </w:pPr>
    <w:rPr>
      <w:color w:val="918585"/>
      <w:sz w:val="20"/>
    </w:rPr>
  </w:style>
  <w:style w:type="paragraph" w:styleId="Heading6">
    <w:name w:val="heading 6"/>
    <w:basedOn w:val="HeadingBase"/>
    <w:next w:val="Normal"/>
    <w:link w:val="Heading6Char"/>
    <w:qFormat/>
    <w:rsid w:val="000F1280"/>
    <w:pPr>
      <w:spacing w:before="60"/>
      <w:outlineLvl w:val="5"/>
    </w:pPr>
    <w:rPr>
      <w:color w:val="918585"/>
      <w:sz w:val="20"/>
    </w:rPr>
  </w:style>
  <w:style w:type="paragraph" w:styleId="Heading7">
    <w:name w:val="heading 7"/>
    <w:basedOn w:val="Normal"/>
    <w:next w:val="Normal"/>
    <w:link w:val="Heading7Char"/>
    <w:qFormat/>
    <w:rsid w:val="000F1280"/>
    <w:pPr>
      <w:ind w:left="720"/>
      <w:outlineLvl w:val="6"/>
    </w:pPr>
    <w:rPr>
      <w:i/>
    </w:rPr>
  </w:style>
  <w:style w:type="paragraph" w:styleId="Heading8">
    <w:name w:val="heading 8"/>
    <w:basedOn w:val="Normal"/>
    <w:next w:val="Normal"/>
    <w:link w:val="Heading8Char"/>
    <w:qFormat/>
    <w:rsid w:val="000F1280"/>
    <w:pPr>
      <w:ind w:left="720"/>
      <w:outlineLvl w:val="7"/>
    </w:pPr>
    <w:rPr>
      <w:i/>
    </w:rPr>
  </w:style>
  <w:style w:type="paragraph" w:styleId="Heading9">
    <w:name w:val="heading 9"/>
    <w:basedOn w:val="Normal"/>
    <w:next w:val="Normal"/>
    <w:link w:val="Heading9Char"/>
    <w:qFormat/>
    <w:rsid w:val="000F1280"/>
    <w:pPr>
      <w:ind w:left="720"/>
      <w:outlineLvl w:val="8"/>
    </w:pPr>
    <w:rPr>
      <w:i/>
    </w:rPr>
  </w:style>
  <w:style w:type="character" w:default="1" w:styleId="DefaultParagraphFont">
    <w:name w:val="Default Paragraph Font"/>
    <w:uiPriority w:val="1"/>
    <w:unhideWhenUsed/>
    <w:rsid w:val="000F12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1280"/>
  </w:style>
  <w:style w:type="character" w:customStyle="1" w:styleId="Heading1Char">
    <w:name w:val="Heading 1 Char"/>
    <w:basedOn w:val="DefaultParagraphFont"/>
    <w:link w:val="Heading1"/>
    <w:rsid w:val="000F1280"/>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0F1280"/>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0F1280"/>
    <w:rPr>
      <w:rFonts w:ascii="Times New Roman" w:eastAsia="Times New Roman" w:hAnsi="Times New Roman" w:cs="Times New Roman"/>
      <w:b/>
      <w:szCs w:val="20"/>
      <w:lang w:eastAsia="en-US"/>
    </w:rPr>
  </w:style>
  <w:style w:type="paragraph" w:styleId="BodyText">
    <w:name w:val="Body Text"/>
    <w:basedOn w:val="Normal"/>
    <w:link w:val="BodyTextChar"/>
    <w:rsid w:val="000F128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1280"/>
    <w:rPr>
      <w:rFonts w:ascii="Times New Roman" w:eastAsia="Times New Roman" w:hAnsi="Times New Roman" w:cs="Times New Roman"/>
      <w:sz w:val="24"/>
      <w:lang w:eastAsia="en-US"/>
    </w:rPr>
  </w:style>
  <w:style w:type="character" w:customStyle="1" w:styleId="SpecialBold">
    <w:name w:val="Special Bold"/>
    <w:basedOn w:val="DefaultParagraphFont"/>
    <w:rsid w:val="000F1280"/>
    <w:rPr>
      <w:b/>
      <w:spacing w:val="0"/>
    </w:rPr>
  </w:style>
  <w:style w:type="paragraph" w:styleId="ListBullet2">
    <w:name w:val="List Bullet 2"/>
    <w:basedOn w:val="List2"/>
    <w:rsid w:val="000F1280"/>
    <w:pPr>
      <w:numPr>
        <w:numId w:val="13"/>
      </w:numPr>
      <w:tabs>
        <w:tab w:val="clear" w:pos="680"/>
      </w:tabs>
    </w:pPr>
  </w:style>
  <w:style w:type="paragraph" w:customStyle="1" w:styleId="SuperHeading">
    <w:name w:val="SuperHeading"/>
    <w:basedOn w:val="Normal"/>
    <w:rsid w:val="000F1280"/>
    <w:pPr>
      <w:spacing w:before="240" w:after="120"/>
      <w:outlineLvl w:val="0"/>
    </w:pPr>
    <w:rPr>
      <w:rFonts w:ascii="Times New Roman" w:hAnsi="Times New Roman"/>
      <w:b/>
      <w:sz w:val="32"/>
    </w:rPr>
  </w:style>
  <w:style w:type="paragraph" w:customStyle="1" w:styleId="AllowPageBreak">
    <w:name w:val="AllowPageBreak"/>
    <w:rsid w:val="000F12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0F128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F12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12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12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12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1280"/>
    <w:rPr>
      <w:rFonts w:ascii="Courier New" w:eastAsia="Times New Roman" w:hAnsi="Courier New" w:cs="Times New Roman"/>
      <w:i/>
      <w:szCs w:val="20"/>
      <w:lang w:eastAsia="en-US"/>
    </w:rPr>
  </w:style>
  <w:style w:type="paragraph" w:customStyle="1" w:styleId="HeadingBase">
    <w:name w:val="Heading Base"/>
    <w:rsid w:val="000F12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1280"/>
    <w:pPr>
      <w:tabs>
        <w:tab w:val="right" w:leader="dot" w:pos="9072"/>
      </w:tabs>
      <w:ind w:left="567"/>
    </w:pPr>
    <w:rPr>
      <w:szCs w:val="22"/>
    </w:rPr>
  </w:style>
  <w:style w:type="paragraph" w:customStyle="1" w:styleId="TOCBase">
    <w:name w:val="TOC Base"/>
    <w:rsid w:val="000F12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1280"/>
    <w:pPr>
      <w:tabs>
        <w:tab w:val="right" w:leader="dot" w:pos="9072"/>
      </w:tabs>
      <w:spacing w:before="40" w:after="40"/>
      <w:ind w:left="284"/>
    </w:pPr>
    <w:rPr>
      <w:rFonts w:ascii="Times New Roman" w:hAnsi="Times New Roman"/>
    </w:rPr>
  </w:style>
  <w:style w:type="paragraph" w:styleId="TOC1">
    <w:name w:val="toc 1"/>
    <w:basedOn w:val="TOCBase"/>
    <w:next w:val="Normal"/>
    <w:rsid w:val="000F12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12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1280"/>
    <w:rPr>
      <w:rFonts w:ascii="Times New Roman" w:eastAsia="Times New Roman" w:hAnsi="Times New Roman" w:cs="Times New Roman"/>
      <w:sz w:val="16"/>
      <w:lang w:eastAsia="en-US"/>
    </w:rPr>
  </w:style>
  <w:style w:type="paragraph" w:styleId="Title">
    <w:name w:val="Title"/>
    <w:basedOn w:val="HeadingBase"/>
    <w:link w:val="TitleChar"/>
    <w:qFormat/>
    <w:rsid w:val="000F1280"/>
    <w:pPr>
      <w:spacing w:before="5040"/>
      <w:jc w:val="center"/>
    </w:pPr>
    <w:rPr>
      <w:sz w:val="48"/>
      <w:szCs w:val="72"/>
      <w:lang w:val="en-US"/>
    </w:rPr>
  </w:style>
  <w:style w:type="character" w:customStyle="1" w:styleId="TitleChar">
    <w:name w:val="Title Char"/>
    <w:basedOn w:val="DefaultParagraphFont"/>
    <w:link w:val="Title"/>
    <w:rsid w:val="000F12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1280"/>
    <w:pPr>
      <w:tabs>
        <w:tab w:val="left" w:pos="3600"/>
        <w:tab w:val="left" w:pos="3958"/>
      </w:tabs>
    </w:pPr>
  </w:style>
  <w:style w:type="paragraph" w:styleId="List">
    <w:name w:val="List"/>
    <w:basedOn w:val="BodyText"/>
    <w:next w:val="BodyText"/>
    <w:rsid w:val="000F1280"/>
    <w:pPr>
      <w:tabs>
        <w:tab w:val="left" w:pos="340"/>
      </w:tabs>
      <w:spacing w:before="60" w:after="60"/>
      <w:ind w:left="340" w:hanging="340"/>
    </w:pPr>
  </w:style>
  <w:style w:type="paragraph" w:styleId="ListBullet">
    <w:name w:val="List Bullet"/>
    <w:basedOn w:val="List"/>
    <w:rsid w:val="000F1280"/>
    <w:pPr>
      <w:numPr>
        <w:numId w:val="12"/>
      </w:numPr>
      <w:tabs>
        <w:tab w:val="clear" w:pos="340"/>
      </w:tabs>
      <w:spacing w:before="40" w:after="40"/>
    </w:pPr>
  </w:style>
  <w:style w:type="paragraph" w:customStyle="1" w:styleId="Note">
    <w:name w:val="Note"/>
    <w:basedOn w:val="BodyText"/>
    <w:rsid w:val="000F12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1280"/>
    <w:pPr>
      <w:framePr w:wrap="auto" w:hAnchor="text" w:y="6049"/>
    </w:pPr>
    <w:rPr>
      <w:color w:val="000000"/>
      <w:sz w:val="40"/>
    </w:rPr>
  </w:style>
  <w:style w:type="paragraph" w:customStyle="1" w:styleId="TOCTitle">
    <w:name w:val="TOCTitle"/>
    <w:basedOn w:val="Heading1"/>
    <w:rsid w:val="000F1280"/>
    <w:pPr>
      <w:spacing w:after="240"/>
      <w:jc w:val="center"/>
      <w:outlineLvl w:val="9"/>
    </w:pPr>
    <w:rPr>
      <w:caps/>
    </w:rPr>
  </w:style>
  <w:style w:type="paragraph" w:customStyle="1" w:styleId="Version">
    <w:name w:val="Version"/>
    <w:rsid w:val="000F12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1280"/>
    <w:pPr>
      <w:keepNext w:val="0"/>
      <w:tabs>
        <w:tab w:val="right" w:pos="4176"/>
      </w:tabs>
      <w:ind w:left="198" w:hanging="198"/>
    </w:pPr>
    <w:rPr>
      <w:rFonts w:ascii="Garamond" w:hAnsi="Garamond"/>
    </w:rPr>
  </w:style>
  <w:style w:type="paragraph" w:styleId="IndexHeading">
    <w:name w:val="index heading"/>
    <w:basedOn w:val="Normal"/>
    <w:next w:val="Index1"/>
    <w:semiHidden/>
    <w:rsid w:val="000F1280"/>
    <w:pPr>
      <w:spacing w:before="120" w:after="120"/>
    </w:pPr>
    <w:rPr>
      <w:rFonts w:ascii="Arial" w:hAnsi="Arial"/>
      <w:b/>
      <w:color w:val="918585"/>
      <w:sz w:val="24"/>
    </w:rPr>
  </w:style>
  <w:style w:type="paragraph" w:styleId="Header">
    <w:name w:val="header"/>
    <w:basedOn w:val="Normal"/>
    <w:link w:val="HeaderChar"/>
    <w:rsid w:val="000F12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1280"/>
    <w:rPr>
      <w:rFonts w:ascii="Times New Roman" w:eastAsia="Times New Roman" w:hAnsi="Times New Roman" w:cs="Times New Roman"/>
      <w:sz w:val="16"/>
      <w:szCs w:val="20"/>
      <w:lang w:val="en-GB" w:eastAsia="en-US"/>
    </w:rPr>
  </w:style>
  <w:style w:type="paragraph" w:customStyle="1" w:styleId="Chapter">
    <w:name w:val="Chapter"/>
    <w:basedOn w:val="Normal"/>
    <w:rsid w:val="000F1280"/>
    <w:pPr>
      <w:spacing w:before="240"/>
    </w:pPr>
    <w:rPr>
      <w:rFonts w:ascii="Times New Roman" w:hAnsi="Times New Roman"/>
      <w:smallCaps/>
      <w:spacing w:val="80"/>
      <w:sz w:val="28"/>
    </w:rPr>
  </w:style>
  <w:style w:type="paragraph" w:customStyle="1" w:styleId="InChapter">
    <w:name w:val="InChapter"/>
    <w:basedOn w:val="Heading3"/>
    <w:rsid w:val="000F1280"/>
    <w:pPr>
      <w:spacing w:after="240"/>
      <w:outlineLvl w:val="9"/>
    </w:pPr>
    <w:rPr>
      <w:noProof/>
    </w:rPr>
  </w:style>
  <w:style w:type="paragraph" w:styleId="Index2">
    <w:name w:val="index 2"/>
    <w:basedOn w:val="Normal"/>
    <w:next w:val="Normal"/>
    <w:semiHidden/>
    <w:rsid w:val="000F1280"/>
    <w:pPr>
      <w:tabs>
        <w:tab w:val="right" w:pos="4176"/>
      </w:tabs>
      <w:ind w:left="568" w:hanging="284"/>
    </w:pPr>
    <w:rPr>
      <w:rFonts w:ascii="Garamond" w:hAnsi="Garamond"/>
    </w:rPr>
  </w:style>
  <w:style w:type="paragraph" w:customStyle="1" w:styleId="Byline">
    <w:name w:val="Byline"/>
    <w:rsid w:val="000F12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1280"/>
    <w:pPr>
      <w:tabs>
        <w:tab w:val="clear" w:pos="3600"/>
        <w:tab w:val="clear" w:pos="3958"/>
      </w:tabs>
      <w:jc w:val="right"/>
    </w:pPr>
  </w:style>
  <w:style w:type="character" w:styleId="Emphasis">
    <w:name w:val="Emphasis"/>
    <w:basedOn w:val="DefaultParagraphFont"/>
    <w:qFormat/>
    <w:rsid w:val="000F1280"/>
    <w:rPr>
      <w:i/>
    </w:rPr>
  </w:style>
  <w:style w:type="paragraph" w:styleId="Caption">
    <w:name w:val="caption"/>
    <w:basedOn w:val="BodyText"/>
    <w:next w:val="Normal"/>
    <w:qFormat/>
    <w:rsid w:val="000F1280"/>
    <w:pPr>
      <w:framePr w:w="2268" w:hSpace="181" w:vSpace="181" w:wrap="around" w:vAnchor="text" w:hAnchor="page" w:x="1135" w:y="285" w:anchorLock="1"/>
    </w:pPr>
    <w:rPr>
      <w:i/>
    </w:rPr>
  </w:style>
  <w:style w:type="paragraph" w:customStyle="1" w:styleId="MiniTOCTitle">
    <w:name w:val="MiniTOCTitle"/>
    <w:basedOn w:val="Heading4"/>
    <w:rsid w:val="000F1280"/>
    <w:pPr>
      <w:spacing w:before="240"/>
      <w:outlineLvl w:val="9"/>
    </w:pPr>
    <w:rPr>
      <w:noProof/>
      <w:sz w:val="24"/>
    </w:rPr>
  </w:style>
  <w:style w:type="paragraph" w:customStyle="1" w:styleId="MiniTOCItem">
    <w:name w:val="MiniTOCItem"/>
    <w:basedOn w:val="ListBullet"/>
    <w:rsid w:val="000F1280"/>
    <w:pPr>
      <w:numPr>
        <w:numId w:val="0"/>
      </w:numPr>
      <w:tabs>
        <w:tab w:val="right" w:leader="dot" w:pos="6521"/>
      </w:tabs>
      <w:spacing w:before="0" w:after="0"/>
    </w:pPr>
  </w:style>
  <w:style w:type="paragraph" w:customStyle="1" w:styleId="TOFTitle">
    <w:name w:val="TOFTitle"/>
    <w:basedOn w:val="TOCTitle"/>
    <w:rsid w:val="000F1280"/>
  </w:style>
  <w:style w:type="paragraph" w:styleId="TableofFigures">
    <w:name w:val="table of figures"/>
    <w:basedOn w:val="Normal"/>
    <w:next w:val="Normal"/>
    <w:semiHidden/>
    <w:rsid w:val="000F1280"/>
    <w:pPr>
      <w:tabs>
        <w:tab w:val="right" w:leader="dot" w:pos="9072"/>
      </w:tabs>
      <w:ind w:left="970" w:hanging="403"/>
    </w:pPr>
    <w:rPr>
      <w:rFonts w:ascii="Times New Roman" w:hAnsi="Times New Roman"/>
      <w:b/>
    </w:rPr>
  </w:style>
  <w:style w:type="paragraph" w:styleId="ListNumber">
    <w:name w:val="List Number"/>
    <w:basedOn w:val="List"/>
    <w:rsid w:val="000F1280"/>
    <w:pPr>
      <w:numPr>
        <w:numId w:val="10"/>
      </w:numPr>
    </w:pPr>
  </w:style>
  <w:style w:type="character" w:customStyle="1" w:styleId="WingdingSymbols">
    <w:name w:val="Wingding Symbols"/>
    <w:rsid w:val="000F1280"/>
    <w:rPr>
      <w:rFonts w:ascii="Wingdings" w:hAnsi="Wingdings"/>
    </w:rPr>
  </w:style>
  <w:style w:type="paragraph" w:customStyle="1" w:styleId="TableHeading">
    <w:name w:val="Table Heading"/>
    <w:basedOn w:val="HeadingBase"/>
    <w:rsid w:val="000F1280"/>
    <w:pPr>
      <w:keepLines/>
      <w:pBdr>
        <w:bottom w:val="single" w:sz="6" w:space="1" w:color="918585"/>
      </w:pBdr>
      <w:spacing w:before="240"/>
    </w:pPr>
  </w:style>
  <w:style w:type="character" w:customStyle="1" w:styleId="HotSpot">
    <w:name w:val="HotSpot"/>
    <w:rsid w:val="000F1280"/>
    <w:rPr>
      <w:color w:val="0033CC"/>
      <w:u w:val="none"/>
    </w:rPr>
  </w:style>
  <w:style w:type="paragraph" w:customStyle="1" w:styleId="BodyTextRight">
    <w:name w:val="Body Text Right"/>
    <w:basedOn w:val="BodyText"/>
    <w:rsid w:val="000F1280"/>
    <w:pPr>
      <w:spacing w:before="0" w:after="0"/>
      <w:jc w:val="right"/>
    </w:pPr>
  </w:style>
  <w:style w:type="paragraph" w:styleId="Index3">
    <w:name w:val="index 3"/>
    <w:basedOn w:val="ListNumber2"/>
    <w:next w:val="Normal"/>
    <w:semiHidden/>
    <w:rsid w:val="000F1280"/>
    <w:pPr>
      <w:numPr>
        <w:numId w:val="0"/>
      </w:numPr>
      <w:tabs>
        <w:tab w:val="right" w:leader="dot" w:pos="4176"/>
      </w:tabs>
    </w:pPr>
  </w:style>
  <w:style w:type="paragraph" w:styleId="ListNumber2">
    <w:name w:val="List Number 2"/>
    <w:basedOn w:val="List2"/>
    <w:rsid w:val="000F1280"/>
    <w:pPr>
      <w:numPr>
        <w:numId w:val="9"/>
      </w:numPr>
      <w:tabs>
        <w:tab w:val="clear" w:pos="1060"/>
      </w:tabs>
    </w:pPr>
  </w:style>
  <w:style w:type="paragraph" w:customStyle="1" w:styleId="MarginNote">
    <w:name w:val="Margin Note"/>
    <w:basedOn w:val="BodyText"/>
    <w:rsid w:val="000F12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12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12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1280"/>
    <w:rPr>
      <w:sz w:val="32"/>
    </w:rPr>
  </w:style>
  <w:style w:type="paragraph" w:customStyle="1" w:styleId="HeadingProcedure">
    <w:name w:val="Heading Procedure"/>
    <w:basedOn w:val="HeadingBase"/>
    <w:next w:val="Normal"/>
    <w:rsid w:val="000F1280"/>
    <w:pPr>
      <w:tabs>
        <w:tab w:val="left" w:pos="0"/>
      </w:tabs>
      <w:spacing w:before="120" w:after="60"/>
    </w:pPr>
    <w:rPr>
      <w:i/>
      <w:color w:val="918585"/>
      <w:sz w:val="22"/>
    </w:rPr>
  </w:style>
  <w:style w:type="paragraph" w:customStyle="1" w:styleId="TableBodyText">
    <w:name w:val="Table Body Text"/>
    <w:basedOn w:val="BodyText"/>
    <w:rsid w:val="000F1280"/>
    <w:pPr>
      <w:spacing w:before="60" w:after="60"/>
    </w:pPr>
  </w:style>
  <w:style w:type="paragraph" w:styleId="ListContinue">
    <w:name w:val="List Continue"/>
    <w:basedOn w:val="List"/>
    <w:rsid w:val="000F1280"/>
    <w:pPr>
      <w:ind w:firstLine="0"/>
    </w:pPr>
  </w:style>
  <w:style w:type="paragraph" w:customStyle="1" w:styleId="ListNote">
    <w:name w:val="List Note"/>
    <w:basedOn w:val="List"/>
    <w:rsid w:val="000F1280"/>
    <w:pPr>
      <w:pBdr>
        <w:top w:val="single" w:sz="6" w:space="2" w:color="918585"/>
        <w:bottom w:val="single" w:sz="6" w:space="2" w:color="918585"/>
      </w:pBdr>
      <w:tabs>
        <w:tab w:val="left" w:pos="1021"/>
      </w:tabs>
      <w:ind w:firstLine="0"/>
    </w:pPr>
  </w:style>
  <w:style w:type="paragraph" w:customStyle="1" w:styleId="Warning">
    <w:name w:val="Warning"/>
    <w:basedOn w:val="BodyText"/>
    <w:rsid w:val="000F1280"/>
    <w:pPr>
      <w:shd w:val="clear" w:color="auto" w:fill="D9D9D9"/>
      <w:tabs>
        <w:tab w:val="left" w:pos="992"/>
      </w:tabs>
      <w:ind w:left="119" w:right="119"/>
    </w:pPr>
    <w:rPr>
      <w:sz w:val="20"/>
    </w:rPr>
  </w:style>
  <w:style w:type="paragraph" w:customStyle="1" w:styleId="MarginIcons">
    <w:name w:val="Margin Icons"/>
    <w:basedOn w:val="BodyText"/>
    <w:rsid w:val="000F12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1280"/>
    <w:rPr>
      <w:rFonts w:ascii="Courier New" w:hAnsi="Courier New"/>
    </w:rPr>
  </w:style>
  <w:style w:type="paragraph" w:customStyle="1" w:styleId="NoteBullet">
    <w:name w:val="Note Bullet"/>
    <w:basedOn w:val="Note"/>
    <w:rsid w:val="000F1280"/>
    <w:pPr>
      <w:tabs>
        <w:tab w:val="clear" w:pos="680"/>
      </w:tabs>
      <w:spacing w:before="60" w:after="60"/>
    </w:pPr>
  </w:style>
  <w:style w:type="paragraph" w:customStyle="1" w:styleId="SubHeading2">
    <w:name w:val="SubHeading2"/>
    <w:basedOn w:val="HeadingBase"/>
    <w:rsid w:val="000F1280"/>
    <w:pPr>
      <w:spacing w:before="240" w:after="60"/>
    </w:pPr>
    <w:rPr>
      <w:sz w:val="20"/>
    </w:rPr>
  </w:style>
  <w:style w:type="paragraph" w:customStyle="1" w:styleId="SubHeading1">
    <w:name w:val="SubHeading1"/>
    <w:basedOn w:val="HeadingBase"/>
    <w:rsid w:val="000F1280"/>
    <w:pPr>
      <w:spacing w:before="240" w:after="60"/>
    </w:pPr>
    <w:rPr>
      <w:color w:val="918585"/>
      <w:sz w:val="22"/>
    </w:rPr>
  </w:style>
  <w:style w:type="paragraph" w:customStyle="1" w:styleId="SideHeading">
    <w:name w:val="Side Heading"/>
    <w:basedOn w:val="HeadingBase"/>
    <w:rsid w:val="000F12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1280"/>
    <w:pPr>
      <w:tabs>
        <w:tab w:val="num" w:pos="360"/>
      </w:tabs>
    </w:pPr>
  </w:style>
  <w:style w:type="paragraph" w:styleId="PlainText">
    <w:name w:val="Plain Text"/>
    <w:basedOn w:val="Normal"/>
    <w:link w:val="PlainTextChar"/>
    <w:rsid w:val="000F1280"/>
    <w:rPr>
      <w:sz w:val="20"/>
    </w:rPr>
  </w:style>
  <w:style w:type="character" w:customStyle="1" w:styleId="PlainTextChar">
    <w:name w:val="Plain Text Char"/>
    <w:basedOn w:val="DefaultParagraphFont"/>
    <w:link w:val="PlainText"/>
    <w:rsid w:val="000F1280"/>
    <w:rPr>
      <w:rFonts w:ascii="Courier New" w:eastAsia="Times New Roman" w:hAnsi="Courier New" w:cs="Times New Roman"/>
      <w:sz w:val="20"/>
      <w:szCs w:val="20"/>
      <w:lang w:eastAsia="en-US"/>
    </w:rPr>
  </w:style>
  <w:style w:type="character" w:customStyle="1" w:styleId="MenuOption">
    <w:name w:val="Menu Option"/>
    <w:basedOn w:val="DefaultParagraphFont"/>
    <w:rsid w:val="000F1280"/>
    <w:rPr>
      <w:b/>
      <w:smallCaps/>
    </w:rPr>
  </w:style>
  <w:style w:type="paragraph" w:customStyle="1" w:styleId="TableListNumber">
    <w:name w:val="Table List Number"/>
    <w:basedOn w:val="ListNumber"/>
    <w:rsid w:val="000F1280"/>
    <w:pPr>
      <w:numPr>
        <w:numId w:val="0"/>
      </w:numPr>
    </w:pPr>
  </w:style>
  <w:style w:type="paragraph" w:styleId="TOC4">
    <w:name w:val="toc 4"/>
    <w:basedOn w:val="TOCBase"/>
    <w:next w:val="Normal"/>
    <w:semiHidden/>
    <w:rsid w:val="000F1280"/>
    <w:pPr>
      <w:tabs>
        <w:tab w:val="right" w:leader="dot" w:pos="9071"/>
      </w:tabs>
      <w:ind w:left="1701"/>
    </w:pPr>
  </w:style>
  <w:style w:type="paragraph" w:customStyle="1" w:styleId="ListAlpha">
    <w:name w:val="List Alpha"/>
    <w:basedOn w:val="List"/>
    <w:rsid w:val="000F1280"/>
    <w:pPr>
      <w:numPr>
        <w:numId w:val="8"/>
      </w:numPr>
    </w:pPr>
  </w:style>
  <w:style w:type="paragraph" w:customStyle="1" w:styleId="ListAlpha2">
    <w:name w:val="List Alpha 2"/>
    <w:basedOn w:val="List2"/>
    <w:rsid w:val="000F1280"/>
    <w:pPr>
      <w:numPr>
        <w:numId w:val="7"/>
      </w:numPr>
    </w:pPr>
  </w:style>
  <w:style w:type="paragraph" w:styleId="List2">
    <w:name w:val="List 2"/>
    <w:basedOn w:val="BodyText"/>
    <w:rsid w:val="000F1280"/>
    <w:pPr>
      <w:tabs>
        <w:tab w:val="left" w:pos="680"/>
      </w:tabs>
      <w:spacing w:before="60" w:after="60"/>
      <w:ind w:left="680" w:hanging="340"/>
    </w:pPr>
  </w:style>
  <w:style w:type="paragraph" w:styleId="List3">
    <w:name w:val="List 3"/>
    <w:basedOn w:val="BodyText"/>
    <w:rsid w:val="000F1280"/>
    <w:pPr>
      <w:tabs>
        <w:tab w:val="left" w:pos="1021"/>
      </w:tabs>
      <w:spacing w:before="60" w:after="60"/>
      <w:ind w:left="1020" w:hanging="340"/>
    </w:pPr>
  </w:style>
  <w:style w:type="paragraph" w:styleId="List4">
    <w:name w:val="List 4"/>
    <w:basedOn w:val="BodyText"/>
    <w:rsid w:val="000F1280"/>
    <w:pPr>
      <w:tabs>
        <w:tab w:val="left" w:pos="1361"/>
      </w:tabs>
      <w:spacing w:before="60" w:after="60"/>
      <w:ind w:left="1361" w:hanging="340"/>
    </w:pPr>
  </w:style>
  <w:style w:type="paragraph" w:styleId="List5">
    <w:name w:val="List 5"/>
    <w:basedOn w:val="BodyText"/>
    <w:rsid w:val="000F1280"/>
    <w:pPr>
      <w:tabs>
        <w:tab w:val="left" w:pos="1701"/>
      </w:tabs>
      <w:spacing w:before="60" w:after="60"/>
      <w:ind w:left="1701" w:hanging="340"/>
    </w:pPr>
  </w:style>
  <w:style w:type="paragraph" w:styleId="ListBullet3">
    <w:name w:val="List Bullet 3"/>
    <w:basedOn w:val="List3"/>
    <w:rsid w:val="000F1280"/>
    <w:pPr>
      <w:numPr>
        <w:numId w:val="14"/>
      </w:numPr>
      <w:tabs>
        <w:tab w:val="clear" w:pos="1021"/>
      </w:tabs>
      <w:ind w:left="1037" w:hanging="357"/>
    </w:pPr>
  </w:style>
  <w:style w:type="paragraph" w:styleId="ListBullet4">
    <w:name w:val="List Bullet 4"/>
    <w:basedOn w:val="List4"/>
    <w:rsid w:val="000F1280"/>
    <w:pPr>
      <w:numPr>
        <w:numId w:val="2"/>
      </w:numPr>
    </w:pPr>
  </w:style>
  <w:style w:type="paragraph" w:styleId="ListBullet5">
    <w:name w:val="List Bullet 5"/>
    <w:basedOn w:val="List5"/>
    <w:rsid w:val="000F1280"/>
    <w:pPr>
      <w:numPr>
        <w:numId w:val="3"/>
      </w:numPr>
    </w:pPr>
  </w:style>
  <w:style w:type="paragraph" w:styleId="ListContinue2">
    <w:name w:val="List Continue 2"/>
    <w:basedOn w:val="List2"/>
    <w:rsid w:val="000F1280"/>
    <w:pPr>
      <w:ind w:firstLine="0"/>
    </w:pPr>
  </w:style>
  <w:style w:type="paragraph" w:styleId="ListContinue3">
    <w:name w:val="List Continue 3"/>
    <w:basedOn w:val="List3"/>
    <w:rsid w:val="000F1280"/>
    <w:pPr>
      <w:ind w:left="1021" w:firstLine="0"/>
    </w:pPr>
  </w:style>
  <w:style w:type="paragraph" w:styleId="ListContinue4">
    <w:name w:val="List Continue 4"/>
    <w:basedOn w:val="List4"/>
    <w:rsid w:val="000F1280"/>
    <w:pPr>
      <w:ind w:firstLine="0"/>
    </w:pPr>
  </w:style>
  <w:style w:type="paragraph" w:styleId="ListContinue5">
    <w:name w:val="List Continue 5"/>
    <w:basedOn w:val="List5"/>
    <w:rsid w:val="000F1280"/>
    <w:pPr>
      <w:ind w:firstLine="0"/>
    </w:pPr>
  </w:style>
  <w:style w:type="paragraph" w:styleId="ListNumber3">
    <w:name w:val="List Number 3"/>
    <w:basedOn w:val="List3"/>
    <w:rsid w:val="000F1280"/>
    <w:pPr>
      <w:numPr>
        <w:numId w:val="4"/>
      </w:numPr>
    </w:pPr>
  </w:style>
  <w:style w:type="paragraph" w:styleId="ListNumber4">
    <w:name w:val="List Number 4"/>
    <w:basedOn w:val="List4"/>
    <w:rsid w:val="000F1280"/>
    <w:pPr>
      <w:numPr>
        <w:numId w:val="5"/>
      </w:numPr>
    </w:pPr>
  </w:style>
  <w:style w:type="paragraph" w:styleId="ListNumber5">
    <w:name w:val="List Number 5"/>
    <w:basedOn w:val="List5"/>
    <w:rsid w:val="000F1280"/>
    <w:pPr>
      <w:numPr>
        <w:numId w:val="6"/>
      </w:numPr>
    </w:pPr>
  </w:style>
  <w:style w:type="paragraph" w:styleId="BlockText">
    <w:name w:val="Block Text"/>
    <w:basedOn w:val="Normal"/>
    <w:rsid w:val="000F1280"/>
    <w:pPr>
      <w:spacing w:after="120"/>
      <w:ind w:left="1440" w:right="1440"/>
    </w:pPr>
  </w:style>
  <w:style w:type="character" w:customStyle="1" w:styleId="Subscript">
    <w:name w:val="Subscript"/>
    <w:basedOn w:val="DefaultParagraphFont"/>
    <w:rsid w:val="000F1280"/>
    <w:rPr>
      <w:sz w:val="16"/>
      <w:vertAlign w:val="subscript"/>
    </w:rPr>
  </w:style>
  <w:style w:type="character" w:customStyle="1" w:styleId="Superscript">
    <w:name w:val="Superscript"/>
    <w:basedOn w:val="DefaultParagraphFont"/>
    <w:rsid w:val="000F1280"/>
    <w:rPr>
      <w:sz w:val="16"/>
      <w:vertAlign w:val="superscript"/>
    </w:rPr>
  </w:style>
  <w:style w:type="character" w:customStyle="1" w:styleId="Symbols">
    <w:name w:val="Symbols"/>
    <w:basedOn w:val="DefaultParagraphFont"/>
    <w:rsid w:val="000F1280"/>
    <w:rPr>
      <w:rFonts w:ascii="Symbol" w:hAnsi="Symbol"/>
    </w:rPr>
  </w:style>
  <w:style w:type="character" w:customStyle="1" w:styleId="MenuOptions">
    <w:name w:val="Menu Options"/>
    <w:basedOn w:val="DefaultParagraphFont"/>
    <w:rsid w:val="000F1280"/>
    <w:rPr>
      <w:rFonts w:ascii="Arial Narrow" w:hAnsi="Arial Narrow"/>
      <w:smallCaps/>
    </w:rPr>
  </w:style>
  <w:style w:type="character" w:customStyle="1" w:styleId="Buttons">
    <w:name w:val="Buttons"/>
    <w:basedOn w:val="DefaultParagraphFont"/>
    <w:rsid w:val="000F1280"/>
    <w:rPr>
      <w:b/>
    </w:rPr>
  </w:style>
  <w:style w:type="character" w:customStyle="1" w:styleId="Underlined">
    <w:name w:val="Underlined"/>
    <w:basedOn w:val="DefaultParagraphFont"/>
    <w:rsid w:val="000F1280"/>
    <w:rPr>
      <w:u w:val="single"/>
    </w:rPr>
  </w:style>
  <w:style w:type="paragraph" w:customStyle="1" w:styleId="TableBodyTextRight">
    <w:name w:val="Table Body Text Right"/>
    <w:basedOn w:val="TableBodyText"/>
    <w:rsid w:val="000F1280"/>
    <w:pPr>
      <w:widowControl w:val="0"/>
      <w:autoSpaceDE w:val="0"/>
      <w:autoSpaceDN w:val="0"/>
      <w:adjustRightInd w:val="0"/>
      <w:jc w:val="right"/>
    </w:pPr>
    <w:rPr>
      <w:rFonts w:cs="Arial"/>
      <w:szCs w:val="18"/>
    </w:rPr>
  </w:style>
  <w:style w:type="paragraph" w:customStyle="1" w:styleId="CopyrightText">
    <w:name w:val="Copyright Text"/>
    <w:basedOn w:val="BodyText"/>
    <w:rsid w:val="000F1280"/>
    <w:rPr>
      <w:sz w:val="18"/>
    </w:rPr>
  </w:style>
  <w:style w:type="paragraph" w:customStyle="1" w:styleId="BodySmallRight">
    <w:name w:val="Body Small Right"/>
    <w:basedOn w:val="BodyTextRight"/>
    <w:rsid w:val="000F1280"/>
    <w:rPr>
      <w:sz w:val="18"/>
      <w:szCs w:val="18"/>
    </w:rPr>
  </w:style>
  <w:style w:type="paragraph" w:customStyle="1" w:styleId="MarginEdition">
    <w:name w:val="Margin Edition"/>
    <w:basedOn w:val="MarginNote"/>
    <w:rsid w:val="000F1280"/>
    <w:pPr>
      <w:spacing w:before="0" w:after="0"/>
    </w:pPr>
    <w:rPr>
      <w:rFonts w:ascii="Times New Roman" w:hAnsi="Times New Roman"/>
      <w:color w:val="999999"/>
    </w:rPr>
  </w:style>
  <w:style w:type="paragraph" w:customStyle="1" w:styleId="Spacer">
    <w:name w:val="Spacer"/>
    <w:basedOn w:val="Normal"/>
    <w:rsid w:val="000F1280"/>
    <w:rPr>
      <w:sz w:val="2"/>
      <w:szCs w:val="2"/>
    </w:rPr>
  </w:style>
  <w:style w:type="character" w:customStyle="1" w:styleId="Small">
    <w:name w:val="Small"/>
    <w:basedOn w:val="DefaultParagraphFont"/>
    <w:rsid w:val="000F1280"/>
    <w:rPr>
      <w:sz w:val="16"/>
    </w:rPr>
  </w:style>
  <w:style w:type="paragraph" w:customStyle="1" w:styleId="WideTable">
    <w:name w:val="Wide Table"/>
    <w:basedOn w:val="Normal"/>
    <w:rsid w:val="000F1280"/>
    <w:pPr>
      <w:ind w:left="-1418"/>
    </w:pPr>
    <w:rPr>
      <w:sz w:val="2"/>
      <w:szCs w:val="2"/>
    </w:rPr>
  </w:style>
  <w:style w:type="character" w:styleId="PageNumber">
    <w:name w:val="page number"/>
    <w:basedOn w:val="DefaultParagraphFont"/>
    <w:rsid w:val="000F1280"/>
  </w:style>
  <w:style w:type="paragraph" w:styleId="Quote">
    <w:name w:val="Quote"/>
    <w:basedOn w:val="Heading1"/>
    <w:link w:val="QuoteChar"/>
    <w:qFormat/>
    <w:rsid w:val="000F1280"/>
    <w:rPr>
      <w:b w:val="0"/>
      <w:sz w:val="72"/>
      <w:szCs w:val="72"/>
      <w:lang w:val="en-NZ"/>
    </w:rPr>
  </w:style>
  <w:style w:type="character" w:customStyle="1" w:styleId="QuoteChar">
    <w:name w:val="Quote Char"/>
    <w:basedOn w:val="DefaultParagraphFont"/>
    <w:link w:val="Quote"/>
    <w:rsid w:val="000F12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1280"/>
    <w:pPr>
      <w:pageBreakBefore/>
    </w:pPr>
  </w:style>
  <w:style w:type="paragraph" w:customStyle="1" w:styleId="Border">
    <w:name w:val="Border"/>
    <w:basedOn w:val="Normal"/>
    <w:qFormat/>
    <w:rsid w:val="000F12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1280"/>
    <w:rPr>
      <w:b/>
      <w:bCs/>
      <w:i/>
      <w:iCs/>
      <w:color w:val="auto"/>
    </w:rPr>
  </w:style>
  <w:style w:type="paragraph" w:styleId="IntenseQuote">
    <w:name w:val="Intense Quote"/>
    <w:basedOn w:val="Normal"/>
    <w:next w:val="Normal"/>
    <w:link w:val="IntenseQuoteChar"/>
    <w:uiPriority w:val="30"/>
    <w:qFormat/>
    <w:rsid w:val="000F12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12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1280"/>
    <w:rPr>
      <w:smallCaps/>
      <w:color w:val="auto"/>
      <w:u w:val="single"/>
    </w:rPr>
  </w:style>
  <w:style w:type="character" w:styleId="IntenseReference">
    <w:name w:val="Intense Reference"/>
    <w:basedOn w:val="DefaultParagraphFont"/>
    <w:uiPriority w:val="32"/>
    <w:qFormat/>
    <w:rsid w:val="000F1280"/>
    <w:rPr>
      <w:b/>
      <w:bCs/>
      <w:smallCaps/>
      <w:color w:val="auto"/>
      <w:spacing w:val="5"/>
      <w:u w:val="single"/>
    </w:rPr>
  </w:style>
  <w:style w:type="paragraph" w:customStyle="1" w:styleId="2ColumnHeading">
    <w:name w:val="2Column Heading"/>
    <w:basedOn w:val="BodyText"/>
    <w:qFormat/>
    <w:rsid w:val="000F1280"/>
    <w:pPr>
      <w:spacing w:after="60"/>
      <w:ind w:left="-2268"/>
    </w:pPr>
    <w:rPr>
      <w:b/>
    </w:rPr>
  </w:style>
  <w:style w:type="paragraph" w:customStyle="1" w:styleId="Heading1TOC">
    <w:name w:val="Heading1 TOC"/>
    <w:basedOn w:val="Normal"/>
    <w:qFormat/>
    <w:rsid w:val="000F1280"/>
    <w:pPr>
      <w:spacing w:before="240" w:after="120"/>
    </w:pPr>
    <w:rPr>
      <w:rFonts w:ascii="Times New Roman" w:hAnsi="Times New Roman"/>
      <w:b/>
      <w:sz w:val="32"/>
    </w:rPr>
  </w:style>
  <w:style w:type="paragraph" w:customStyle="1" w:styleId="Heading2TOC">
    <w:name w:val="Heading2 TOC"/>
    <w:basedOn w:val="Normal"/>
    <w:qFormat/>
    <w:rsid w:val="000F1280"/>
    <w:pPr>
      <w:spacing w:before="240" w:after="60"/>
    </w:pPr>
    <w:rPr>
      <w:rFonts w:ascii="Times New Roman" w:hAnsi="Times New Roman"/>
      <w:b/>
      <w:sz w:val="28"/>
    </w:rPr>
  </w:style>
  <w:style w:type="character" w:customStyle="1" w:styleId="Underline">
    <w:name w:val="Underline"/>
    <w:basedOn w:val="DefaultParagraphFont"/>
    <w:qFormat/>
    <w:rsid w:val="000F1280"/>
    <w:rPr>
      <w:u w:val="single"/>
    </w:rPr>
  </w:style>
  <w:style w:type="character" w:customStyle="1" w:styleId="BoldandItalics">
    <w:name w:val="Bold and Italics"/>
    <w:qFormat/>
    <w:rsid w:val="000F1280"/>
    <w:rPr>
      <w:b/>
      <w:i/>
      <w:u w:val="none"/>
    </w:rPr>
  </w:style>
  <w:style w:type="paragraph" w:styleId="BalloonText">
    <w:name w:val="Balloon Text"/>
    <w:basedOn w:val="Normal"/>
    <w:link w:val="BalloonTextChar"/>
    <w:rsid w:val="000F1280"/>
    <w:rPr>
      <w:rFonts w:ascii="Tahoma" w:hAnsi="Tahoma" w:cs="Tahoma"/>
      <w:sz w:val="16"/>
      <w:szCs w:val="16"/>
    </w:rPr>
  </w:style>
  <w:style w:type="character" w:customStyle="1" w:styleId="BalloonTextChar">
    <w:name w:val="Balloon Text Char"/>
    <w:basedOn w:val="DefaultParagraphFont"/>
    <w:link w:val="BalloonText"/>
    <w:rsid w:val="000F12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128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12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1280"/>
    <w:rPr>
      <w:b/>
      <w:color w:val="660033"/>
      <w:spacing w:val="0"/>
    </w:rPr>
  </w:style>
  <w:style w:type="paragraph" w:customStyle="1" w:styleId="Nameditemlist">
    <w:name w:val="Named item list"/>
    <w:basedOn w:val="BodyText"/>
    <w:qFormat/>
    <w:rsid w:val="000F128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1236</Words>
  <Characters>7740</Characters>
  <Application>Microsoft Office Word</Application>
  <DocSecurity>0</DocSecurity>
  <Lines>437</Lines>
  <Paragraphs>319</Paragraphs>
  <ScaleCrop>false</ScaleCrop>
  <Company>Author-it Software Corporation Ltd.</Company>
  <LinksUpToDate>false</LinksUpToDate>
  <CharactersWithSpaces>8682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UET50312 Diploma of ESI - Power Systems Operations</dc:title>
  <dc:subject>Approved</dc:subject>
  <dc:creator>E-OZ Training Standards</dc:creator>
  <cp:keywords>Release 2</cp:keywords>
  <dc:description>Review Date: 12 April 2008</dc:description>
  <cp:lastModifiedBy>HSD_TPCMSd.prod</cp:lastModifiedBy>
  <cp:revision>3</cp:revision>
  <dcterms:created xsi:type="dcterms:W3CDTF">2014-11-05T10:10:12Z</dcterms:created>
  <dcterms:modified xsi:type="dcterms:W3CDTF">2014-10-31T04:20:00Z</dcterms:modified>
</cp:coreProperties>
</file>