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A72" w:rsidP="008D6A72">
      <w:pPr>
        <w:pStyle w:val="Title"/>
      </w:pPr>
      <w:bookmarkStart w:id="0" w:name="_GoBack"/>
      <w:bookmarkEnd w:id="0"/>
      <w:r>
        <w:fldChar w:fldCharType="begin"/>
      </w:r>
      <w:r>
        <w:instrText xml:space="preserve"> TITLE   \* MERGEFORMAT </w:instrText>
      </w:r>
      <w:r>
        <w:fldChar w:fldCharType="separate"/>
      </w:r>
      <w:r>
        <w:t>UET40412 Certificate IV in ESI - Network Systems</w:t>
      </w:r>
      <w:r>
        <w:fldChar w:fldCharType="end"/>
      </w:r>
    </w:p>
    <w:p w:rsidR="008D6A72" w:rsidP="008D6A72">
      <w:pPr>
        <w:pStyle w:val="Version"/>
        <w:sectPr w:rsidSect="00CD1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20C" w:rsidP="00CD120C">
      <w:pPr>
        <w:pStyle w:val="SuperHeading"/>
      </w:pPr>
      <w:r w:rsidRPr="00CD120C">
        <w:t>UET40412 Certificate IV in ESI — Network Systems</w:t>
      </w:r>
    </w:p>
    <w:p w:rsidR="00000000" w:rsidRPr="00CD120C" w:rsidP="00CD120C">
      <w:pPr>
        <w:pStyle w:val="Heading1"/>
      </w:pPr>
      <w:bookmarkStart w:id="1" w:name="O_532181"/>
      <w:bookmarkEnd w:id="1"/>
      <w:r w:rsidRPr="00CD120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D6A7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Points</w:t>
            </w:r>
          </w:p>
        </w:tc>
      </w:tr>
      <w:tr w:rsidTr="008D6A7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BodyText"/>
              <w:rPr>
                <w:lang w:val="en-NZ"/>
              </w:rPr>
            </w:pPr>
            <w:r w:rsidRPr="00CD120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20C" w:rsidP="00CD120C">
            <w:pPr>
              <w:pStyle w:val="BodyText"/>
            </w:pPr>
            <w:r w:rsidRPr="00CD120C">
              <w:t>Update name of unit</w:t>
            </w:r>
          </w:p>
          <w:p w:rsidR="00000000" w:rsidP="00CD120C">
            <w:pPr>
              <w:pStyle w:val="BodyText"/>
              <w:rPr>
                <w:lang w:val="en-NZ"/>
              </w:rPr>
            </w:pPr>
            <w:r w:rsidRPr="00CD120C">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20C" w:rsidP="00CD120C">
            <w:pPr>
              <w:pStyle w:val="BodyText"/>
            </w:pPr>
            <w:r w:rsidRPr="00CD120C">
              <w:t>40</w:t>
            </w:r>
          </w:p>
        </w:tc>
      </w:tr>
    </w:tbl>
    <w:p w:rsidR="00000000" w:rsidRPr="00CD120C" w:rsidP="00CD120C">
      <w:pPr>
        <w:pStyle w:val="BodyText"/>
      </w:pPr>
    </w:p>
    <w:p w:rsidR="00000000" w:rsidRPr="00CD120C" w:rsidP="00CD120C">
      <w:pPr>
        <w:pStyle w:val="AllowPageBreak"/>
      </w:pPr>
    </w:p>
    <w:p w:rsidR="00000000" w:rsidRPr="00CD120C" w:rsidP="00CD120C">
      <w:pPr>
        <w:pStyle w:val="Heading1"/>
      </w:pPr>
      <w:bookmarkStart w:id="2" w:name="O_532180"/>
      <w:bookmarkEnd w:id="2"/>
      <w:r w:rsidRPr="00CD120C">
        <w:t>Description</w:t>
      </w:r>
    </w:p>
    <w:p w:rsidR="00000000" w:rsidRPr="00CD120C" w:rsidP="00CD120C">
      <w:pPr>
        <w:pStyle w:val="Heading4"/>
      </w:pPr>
      <w:r w:rsidRPr="00CD120C">
        <w:t xml:space="preserve">Scope: </w:t>
      </w:r>
    </w:p>
    <w:p w:rsidR="00000000" w:rsidRPr="00CD120C" w:rsidP="00CD120C">
      <w:pPr>
        <w:pStyle w:val="BodyText"/>
      </w:pPr>
      <w:r w:rsidRPr="00CD120C">
        <w:t>Those gaining this qualification will be able to acquire additional skills and knowledge needed for a career in one of four specific fields, namely, Live Line Transmission, Live Line Distribution, Live Line Rail Traction and or installation and maintenance</w:t>
      </w:r>
      <w:r w:rsidRPr="00CD120C">
        <w:t xml:space="preserve"> of Specialised Underground Cables.</w:t>
      </w:r>
    </w:p>
    <w:p w:rsidR="00000000" w:rsidRPr="00CD120C" w:rsidP="00CD120C">
      <w:pPr>
        <w:pStyle w:val="AllowPageBreak"/>
      </w:pPr>
    </w:p>
    <w:p w:rsidR="00000000" w:rsidRPr="00CD120C" w:rsidP="00CD120C">
      <w:pPr>
        <w:pStyle w:val="Heading1"/>
      </w:pPr>
      <w:bookmarkStart w:id="3" w:name="O_532179"/>
      <w:bookmarkEnd w:id="3"/>
      <w:r w:rsidRPr="00CD120C">
        <w:t>Pathways Information</w:t>
      </w:r>
    </w:p>
    <w:p w:rsidR="00000000" w:rsidRPr="00CD120C" w:rsidP="00CD120C">
      <w:pPr>
        <w:pStyle w:val="BodyText"/>
      </w:pPr>
      <w:r w:rsidRPr="00CD120C">
        <w:t>Not applicable.</w:t>
      </w:r>
    </w:p>
    <w:p w:rsidR="00000000" w:rsidRPr="00CD120C" w:rsidP="00CD120C">
      <w:pPr>
        <w:pStyle w:val="AllowPageBreak"/>
      </w:pPr>
    </w:p>
    <w:p w:rsidR="00000000" w:rsidRPr="00CD120C" w:rsidP="00CD120C">
      <w:pPr>
        <w:pStyle w:val="Heading1"/>
      </w:pPr>
      <w:bookmarkStart w:id="4" w:name="O_532178"/>
      <w:bookmarkEnd w:id="4"/>
      <w:r w:rsidRPr="00CD120C">
        <w:t>Licensing/Regulatory Information</w:t>
      </w:r>
    </w:p>
    <w:p w:rsidR="00000000" w:rsidRPr="00CD120C" w:rsidP="00CD120C">
      <w:pPr>
        <w:pStyle w:val="BodyText"/>
      </w:pPr>
      <w:r w:rsidRPr="00CD120C">
        <w:t>Not applicable.</w:t>
      </w:r>
    </w:p>
    <w:p w:rsidR="00000000" w:rsidRPr="00CD120C" w:rsidP="00CD120C">
      <w:pPr>
        <w:pStyle w:val="AllowPageBreak"/>
      </w:pPr>
    </w:p>
    <w:p w:rsidR="00000000" w:rsidRPr="00CD120C" w:rsidP="00CD120C">
      <w:pPr>
        <w:pStyle w:val="Heading1"/>
      </w:pPr>
      <w:bookmarkStart w:id="5" w:name="O_532177"/>
      <w:bookmarkEnd w:id="5"/>
      <w:r w:rsidRPr="00CD120C">
        <w:t>Entry Requirements</w:t>
      </w:r>
    </w:p>
    <w:p w:rsidR="00000000" w:rsidRPr="00CD120C" w:rsidP="00CD120C">
      <w:pPr>
        <w:pStyle w:val="BodyText"/>
      </w:pPr>
      <w:r w:rsidRPr="00CD120C">
        <w:t>Not applicable.</w:t>
      </w:r>
    </w:p>
    <w:p w:rsidR="00000000" w:rsidRPr="00CD120C" w:rsidP="00CD120C">
      <w:pPr>
        <w:pStyle w:val="AllowPageBreak"/>
      </w:pPr>
    </w:p>
    <w:p w:rsidR="00000000" w:rsidRPr="00CD120C" w:rsidP="00CD120C">
      <w:pPr>
        <w:pStyle w:val="Heading1"/>
      </w:pPr>
      <w:bookmarkStart w:id="6" w:name="O_532176"/>
      <w:bookmarkEnd w:id="6"/>
      <w:r w:rsidRPr="00CD120C">
        <w:t>Employability Skills Summary</w:t>
      </w:r>
    </w:p>
    <w:p w:rsidR="00000000" w:rsidRPr="00CD120C" w:rsidP="00CD120C">
      <w:pPr>
        <w:pStyle w:val="BodyText"/>
      </w:pPr>
      <w:r w:rsidRPr="00CD120C">
        <w:t>No</w:t>
      </w:r>
      <w:r w:rsidRPr="00CD120C">
        <w:t>t applicable.</w:t>
      </w:r>
    </w:p>
    <w:p w:rsidR="00000000" w:rsidRPr="00CD120C" w:rsidP="00CD120C">
      <w:pPr>
        <w:pStyle w:val="AllowPageBreak"/>
      </w:pPr>
    </w:p>
    <w:p w:rsidR="00000000" w:rsidRPr="00CD120C" w:rsidP="00CD120C">
      <w:pPr>
        <w:pStyle w:val="Heading1"/>
      </w:pPr>
      <w:bookmarkStart w:id="7" w:name="O_532175"/>
      <w:bookmarkEnd w:id="7"/>
      <w:r w:rsidRPr="00CD120C">
        <w:t>Packaging Rules</w:t>
      </w:r>
    </w:p>
    <w:p w:rsidR="00000000" w:rsidRPr="00CD120C" w:rsidP="00CD120C">
      <w:pPr>
        <w:pStyle w:val="Heading4"/>
      </w:pPr>
      <w:r w:rsidRPr="00CD120C">
        <w:t>Completion requirements:</w:t>
      </w:r>
    </w:p>
    <w:p w:rsidR="00000000" w:rsidRPr="00CD120C" w:rsidP="00CD120C">
      <w:pPr>
        <w:pStyle w:val="BodyText"/>
      </w:pPr>
      <w:r w:rsidRPr="00CD120C">
        <w:t>The requirements for granting this qualification will be met when competency is demonstrated and achieved for:</w:t>
      </w:r>
    </w:p>
    <w:p w:rsidR="00000000" w:rsidRPr="00CD120C" w:rsidP="00CD120C">
      <w:pPr>
        <w:pStyle w:val="ListBullet2"/>
      </w:pPr>
      <w:r w:rsidRPr="00CD120C">
        <w:t>All the Core competency standard units, defined in the Core Competency S</w:t>
      </w:r>
      <w:r w:rsidRPr="00CD120C">
        <w:t>tandard Units table below and</w:t>
      </w:r>
    </w:p>
    <w:p w:rsidR="00000000" w:rsidRPr="00CD120C" w:rsidP="00CD120C">
      <w:pPr>
        <w:pStyle w:val="ListBullet2"/>
      </w:pPr>
      <w:r w:rsidRPr="00CD120C">
        <w:t>A combination of Elective competency standard units to achieve a total weighting of 740 points in accordance with the Elective Competency Standard Units table below.</w:t>
      </w:r>
    </w:p>
    <w:p w:rsidR="00000000" w:rsidRPr="00CD120C" w:rsidP="00CD120C">
      <w:pPr>
        <w:pStyle w:val="ListBullet2"/>
      </w:pPr>
      <w:r w:rsidRPr="00CD120C">
        <w:t>All the required prerequisite competency standard units have been met.</w:t>
      </w:r>
    </w:p>
    <w:p w:rsidR="00000000" w:rsidRPr="00CD120C" w:rsidP="00CD120C">
      <w:pPr>
        <w:pStyle w:val="BodyText"/>
      </w:pPr>
    </w:p>
    <w:tbl>
      <w:tblPr>
        <w:tblW w:w="0" w:type="auto"/>
        <w:tblLayout w:type="fixed"/>
        <w:tblCellMar>
          <w:left w:w="62" w:type="dxa"/>
          <w:right w:w="62" w:type="dxa"/>
        </w:tblCellMar>
        <w:tblLook w:val="0000"/>
      </w:tblPr>
      <w:tblGrid>
        <w:gridCol w:w="1985"/>
        <w:gridCol w:w="5103"/>
        <w:gridCol w:w="62"/>
        <w:gridCol w:w="1355"/>
      </w:tblGrid>
      <w:tr w:rsidTr="00CD120C">
        <w:tblPrEx>
          <w:tblW w:w="0" w:type="auto"/>
          <w:tblLayout w:type="fixed"/>
          <w:tblCellMar>
            <w:left w:w="62" w:type="dxa"/>
            <w:right w:w="62" w:type="dxa"/>
          </w:tblCellMar>
          <w:tblLook w:val="0000"/>
        </w:tblPrEx>
        <w:tc>
          <w:tcPr>
            <w:tcW w:w="71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Heading4"/>
              <w:rPr>
                <w:lang w:val="en-NZ"/>
              </w:rPr>
            </w:pPr>
            <w:r w:rsidRPr="00CD120C">
              <w:t>Core Units - All to be completed</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Heading4"/>
              <w:rPr>
                <w:lang w:val="en-NZ"/>
              </w:rPr>
            </w:pPr>
            <w:r w:rsidRPr="00CD120C">
              <w:t>Weighting Points</w:t>
            </w:r>
          </w:p>
        </w:tc>
      </w:tr>
      <w:tr w:rsidTr="00CD120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CPCCLDG3001A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Licence to perform dogging</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CD120C">
        <w:tblPrEx>
          <w:tblW w:w="0" w:type="auto"/>
          <w:tblLayout w:type="fixed"/>
          <w:tblCellMar>
            <w:left w:w="62" w:type="dxa"/>
            <w:right w:w="62" w:type="dxa"/>
          </w:tblCellMar>
          <w:tblLook w:val="0000"/>
        </w:tblPrEx>
        <w:trPr>
          <w:trHeight w:val="68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TLILIC2005A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Licence to operate a boom-type elevating work platform (boom length 11 metres or more)</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CD120C">
        <w:tblPrEx>
          <w:tblW w:w="0" w:type="auto"/>
          <w:tblLayout w:type="fixed"/>
          <w:tblCellMar>
            <w:left w:w="62" w:type="dxa"/>
            <w:right w:w="62" w:type="dxa"/>
          </w:tblCellMar>
          <w:tblLook w:val="0000"/>
        </w:tblPrEx>
        <w:trPr>
          <w:trHeight w:val="63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Apply Occupational Health Safety regulations, codes and practices in the workplace</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CD120C">
        <w:tblPrEx>
          <w:tblW w:w="0" w:type="auto"/>
          <w:tblLayout w:type="fixed"/>
          <w:tblCellMar>
            <w:left w:w="62" w:type="dxa"/>
            <w:right w:w="62" w:type="dxa"/>
          </w:tblCellMar>
          <w:tblLook w:val="0000"/>
        </w:tblPrEx>
        <w:trPr>
          <w:trHeight w:val="62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Fabricate, assemble and dismantle utilities industry components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CD120C">
        <w:tblPrEx>
          <w:tblW w:w="0" w:type="auto"/>
          <w:tblLayout w:type="fixed"/>
          <w:tblCellMar>
            <w:left w:w="62" w:type="dxa"/>
            <w:right w:w="62" w:type="dxa"/>
          </w:tblCellMar>
          <w:tblLook w:val="0000"/>
        </w:tblPrEx>
        <w:trPr>
          <w:trHeight w:val="34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Solve problems in d.c. circuits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80</w:t>
            </w:r>
          </w:p>
        </w:tc>
      </w:tr>
      <w:tr w:rsidTr="00CD120C">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Fix and secure electrotechnology equipment</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CD120C">
        <w:tblPrEx>
          <w:tblW w:w="0" w:type="auto"/>
          <w:tblLayout w:type="fixed"/>
          <w:tblCellMar>
            <w:left w:w="62" w:type="dxa"/>
            <w:right w:w="62" w:type="dxa"/>
          </w:tblCellMar>
          <w:tblLook w:val="0000"/>
        </w:tblPrEx>
        <w:trPr>
          <w:trHeight w:val="68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Use drawings, diagrams, schedules, standards, codes and specifications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CD120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Solve problems in electromagnetic devices and related circuits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CD120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Solve problems in low voltage a.c. circuits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80</w:t>
            </w:r>
          </w:p>
        </w:tc>
      </w:tr>
      <w:tr w:rsidTr="00CD120C">
        <w:tblPrEx>
          <w:tblW w:w="0" w:type="auto"/>
          <w:tblLayout w:type="fixed"/>
          <w:tblCellMar>
            <w:left w:w="62" w:type="dxa"/>
            <w:right w:w="62" w:type="dxa"/>
          </w:tblCellMar>
          <w:tblLook w:val="0000"/>
        </w:tblPrEx>
        <w:trPr>
          <w:trHeight w:val="45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UETTDREL11A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Apply sustainable energy and environmental procedures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CD120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UETTDREL12A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Operate plant and equipment near live electrical conductors and apparatus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CD120C">
        <w:tblPrEx>
          <w:tblW w:w="0" w:type="auto"/>
          <w:tblLayout w:type="fixed"/>
          <w:tblCellMar>
            <w:left w:w="62" w:type="dxa"/>
            <w:right w:w="62" w:type="dxa"/>
          </w:tblCellMar>
          <w:tblLook w:val="0000"/>
        </w:tblPrEx>
        <w:trPr>
          <w:trHeight w:val="6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UETTDREL16A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 xml:space="preserve">Working safely near live electrical apparatus </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CD120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and monitor the power system organisational OHS policies, procedures and programs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30</w:t>
            </w:r>
          </w:p>
        </w:tc>
      </w:tr>
      <w:tr w:rsidTr="00CD120C">
        <w:tblPrEx>
          <w:tblW w:w="0" w:type="auto"/>
          <w:tblLayout w:type="fixed"/>
          <w:tblCellMar>
            <w:left w:w="62" w:type="dxa"/>
            <w:right w:w="62" w:type="dxa"/>
          </w:tblCellMar>
          <w:tblLook w:val="0000"/>
        </w:tblPrEx>
        <w:trPr>
          <w:trHeight w:val="68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and monitor the power system environmental and sustainable energy management policies and procedures</w:t>
            </w:r>
          </w:p>
        </w:tc>
        <w:tc>
          <w:tcPr>
            <w:tcW w:w="141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30</w:t>
            </w:r>
          </w:p>
        </w:tc>
      </w:tr>
      <w:tr w:rsidTr="00CD120C">
        <w:tblPrEx>
          <w:tblW w:w="0" w:type="auto"/>
          <w:tblLayout w:type="fixed"/>
          <w:tblCellMar>
            <w:left w:w="62" w:type="dxa"/>
            <w:right w:w="62" w:type="dxa"/>
          </w:tblCellMar>
          <w:tblLook w:val="0000"/>
        </w:tblPrEx>
        <w:trPr>
          <w:trHeight w:val="684"/>
        </w:trPr>
        <w:tc>
          <w:tcPr>
            <w:tcW w:w="71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Total points in core</w:t>
            </w:r>
          </w:p>
        </w:tc>
        <w:tc>
          <w:tcPr>
            <w:tcW w:w="1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Heading4"/>
            </w:pPr>
            <w:r w:rsidRPr="00CD120C">
              <w:t>540</w:t>
            </w:r>
          </w:p>
        </w:tc>
      </w:tr>
    </w:tbl>
    <w:p w:rsidR="00000000" w:rsidRPr="00CD120C" w:rsidP="00CD120C">
      <w:pPr>
        <w:pStyle w:val="BodyText"/>
      </w:pPr>
    </w:p>
    <w:tbl>
      <w:tblPr>
        <w:tblW w:w="0" w:type="auto"/>
        <w:tblLayout w:type="fixed"/>
        <w:tblCellMar>
          <w:left w:w="62" w:type="dxa"/>
          <w:right w:w="62" w:type="dxa"/>
        </w:tblCellMar>
        <w:tblLook w:val="0000"/>
      </w:tblPr>
      <w:tblGrid>
        <w:gridCol w:w="934"/>
        <w:gridCol w:w="4834"/>
        <w:gridCol w:w="1314"/>
        <w:gridCol w:w="1474"/>
      </w:tblGrid>
      <w:tr w:rsidTr="008D6A72">
        <w:tblPrEx>
          <w:tblW w:w="0" w:type="auto"/>
          <w:tblLayout w:type="fixed"/>
          <w:tblCellMar>
            <w:left w:w="62" w:type="dxa"/>
            <w:right w:w="62" w:type="dxa"/>
          </w:tblCellMar>
          <w:tblLook w:val="0000"/>
        </w:tblPrEx>
        <w:trPr>
          <w:trHeight w:val="744"/>
          <w:tblHeader/>
        </w:trPr>
        <w:tc>
          <w:tcPr>
            <w:tcW w:w="855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D120C" w:rsidP="00CD120C">
            <w:pPr>
              <w:pStyle w:val="Heading4"/>
            </w:pPr>
            <w:r w:rsidRPr="00CD120C">
              <w:t>Elective Competency Standard Units</w:t>
            </w:r>
          </w:p>
          <w:p w:rsidR="00000000" w:rsidP="00CD120C">
            <w:pPr>
              <w:pStyle w:val="TableBodyText"/>
              <w:rPr>
                <w:lang w:val="en-NZ"/>
              </w:rPr>
            </w:pPr>
            <w:r w:rsidRPr="00CD120C">
              <w:t>At least a weighting of 740 points to be achieved. Must achieve at least 320 points from Group C</w:t>
            </w:r>
          </w:p>
        </w:tc>
      </w:tr>
      <w:tr w:rsidTr="008D6A72">
        <w:tblPrEx>
          <w:tblW w:w="0" w:type="auto"/>
          <w:tblLayout w:type="fixed"/>
          <w:tblCellMar>
            <w:left w:w="62" w:type="dxa"/>
            <w:right w:w="62" w:type="dxa"/>
          </w:tblCellMar>
          <w:tblLook w:val="0000"/>
        </w:tblPrEx>
        <w:trPr>
          <w:trHeight w:val="744"/>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Group</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Rules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Minimum points</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Maximum points</w:t>
            </w:r>
          </w:p>
        </w:tc>
      </w:tr>
      <w:tr w:rsidTr="008D6A72">
        <w:tblPrEx>
          <w:tblW w:w="0" w:type="auto"/>
          <w:tblLayout w:type="fixed"/>
          <w:tblCellMar>
            <w:left w:w="62" w:type="dxa"/>
            <w:right w:w="62" w:type="dxa"/>
          </w:tblCellMar>
          <w:tblLook w:val="0000"/>
        </w:tblPrEx>
        <w:trPr>
          <w:trHeight w:val="1695"/>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A</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Heading4"/>
            </w:pPr>
            <w:r w:rsidRPr="00CD120C">
              <w:t>Imported and Common Elective Units</w:t>
            </w:r>
          </w:p>
          <w:p w:rsidR="00000000" w:rsidP="00CD120C">
            <w:pPr>
              <w:pStyle w:val="TableBodyText"/>
              <w:rPr>
                <w:lang w:val="en-NZ"/>
              </w:rPr>
            </w:pPr>
            <w:r w:rsidRPr="00CD120C">
              <w:t>Imported units from other training packages and/or state accredited courses can be added to this group, but they must be selected from qualifications where the unit is first packaged at AQF level 4.  If units have not being assigned a weighting by the rele</w:t>
            </w:r>
            <w:r w:rsidRPr="00CD120C">
              <w:t>vant EE-Oz Industry Technical Advisory Committee, their weighting will be 10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60</w:t>
            </w:r>
          </w:p>
        </w:tc>
      </w:tr>
      <w:tr w:rsidTr="008D6A72">
        <w:tblPrEx>
          <w:tblW w:w="0" w:type="auto"/>
          <w:tblLayout w:type="fixed"/>
          <w:tblCellMar>
            <w:left w:w="62" w:type="dxa"/>
            <w:right w:w="62" w:type="dxa"/>
          </w:tblCellMar>
          <w:tblLook w:val="0000"/>
        </w:tblPrEx>
        <w:trPr>
          <w:trHeight w:val="577"/>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B</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Heading4"/>
            </w:pPr>
            <w:r w:rsidRPr="00CD120C">
              <w:t xml:space="preserve">Qualification Electives </w:t>
            </w:r>
          </w:p>
          <w:p w:rsidR="00000000" w:rsidP="00CD120C">
            <w:pPr>
              <w:pStyle w:val="TableBodyText"/>
              <w:rPr>
                <w:lang w:val="en-NZ"/>
              </w:rPr>
            </w:pPr>
            <w:r w:rsidRPr="00CD120C">
              <w:t>You may select units from this group to a maximum weighting of 420 points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420</w:t>
            </w:r>
          </w:p>
        </w:tc>
      </w:tr>
      <w:tr w:rsidTr="008D6A72">
        <w:tblPrEx>
          <w:tblW w:w="0" w:type="auto"/>
          <w:tblLayout w:type="fixed"/>
          <w:tblCellMar>
            <w:left w:w="62" w:type="dxa"/>
            <w:right w:w="62" w:type="dxa"/>
          </w:tblCellMar>
          <w:tblLook w:val="0000"/>
        </w:tblPrEx>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C</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Heading4"/>
            </w:pPr>
            <w:r w:rsidRPr="00CD120C">
              <w:t xml:space="preserve">Qualification Electives </w:t>
            </w:r>
          </w:p>
          <w:p w:rsidR="00000000" w:rsidP="00CD120C">
            <w:pPr>
              <w:pStyle w:val="TableBodyText"/>
              <w:rPr>
                <w:lang w:val="en-NZ"/>
              </w:rPr>
            </w:pPr>
            <w:r w:rsidRPr="00CD120C">
              <w:t>At least 320 points to be achieved from this group. You may select all your elective units from this Group.</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Heading4"/>
              <w:rPr>
                <w:lang w:val="en-NZ"/>
              </w:rPr>
            </w:pPr>
            <w:r w:rsidRPr="00CD120C">
              <w:t>320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Heading4"/>
            </w:pPr>
            <w:r w:rsidRPr="00CD120C">
              <w:t>740</w:t>
            </w:r>
          </w:p>
        </w:tc>
      </w:tr>
    </w:tbl>
    <w:p w:rsidR="00000000" w:rsidRPr="00CD120C" w:rsidP="00CD120C">
      <w:pPr>
        <w:pStyle w:val="BodyText"/>
      </w:pPr>
    </w:p>
    <w:tbl>
      <w:tblPr>
        <w:tblW w:w="0" w:type="auto"/>
        <w:tblLayout w:type="fixed"/>
        <w:tblCellMar>
          <w:left w:w="62" w:type="dxa"/>
          <w:right w:w="62" w:type="dxa"/>
        </w:tblCellMar>
        <w:tblLook w:val="0000"/>
      </w:tblPr>
      <w:tblGrid>
        <w:gridCol w:w="1980"/>
        <w:gridCol w:w="5108"/>
        <w:gridCol w:w="1417"/>
      </w:tblGrid>
      <w:tr w:rsidTr="008D6A72">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vAlign w:val="center"/>
          </w:tcPr>
          <w:p w:rsidR="00000000" w:rsidRPr="00CD120C" w:rsidP="00CD120C">
            <w:pPr>
              <w:pStyle w:val="Heading4"/>
            </w:pPr>
            <w:r w:rsidRPr="00CD120C">
              <w:t>Group A – Imported Elective Units</w:t>
            </w:r>
          </w:p>
          <w:p w:rsidR="00000000" w:rsidP="00CD120C">
            <w:pPr>
              <w:pStyle w:val="Heading4"/>
              <w:rPr>
                <w:lang w:val="en-NZ"/>
              </w:rPr>
            </w:pPr>
            <w:r w:rsidRPr="00CD120C">
              <w:t>You may complete units to a maximum weighting of 60 points</w:t>
            </w:r>
          </w:p>
        </w:tc>
        <w:tc>
          <w:tcPr>
            <w:tcW w:w="1417" w:type="dxa"/>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vAlign w:val="center"/>
          </w:tcPr>
          <w:p w:rsidR="00000000" w:rsidP="00CD120C">
            <w:pPr>
              <w:pStyle w:val="Heading4"/>
              <w:rPr>
                <w:lang w:val="en-NZ"/>
              </w:rPr>
            </w:pPr>
            <w:r w:rsidRPr="00CD120C">
              <w:t>Weighting Points</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BSBINM401A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BSBMGT402A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BSBMGT403A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BSBWOR401A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Implement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BSBWOR402A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CPCCLRG3001A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Licence t</w:t>
            </w:r>
            <w:r w:rsidRPr="00CD120C">
              <w:t>o perform rigging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AHCARB205A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Operate and maintain chainsaws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TableBodyText"/>
            </w:pPr>
            <w:r w:rsidRPr="00CD120C">
              <w:t xml:space="preserve">Imported units from other training packages and/or state accredited courses can be added to this group, but they must be selected from qualifications </w:t>
            </w:r>
            <w:r w:rsidRPr="00CD120C">
              <w:t xml:space="preserve">where the unit is first packaged at AQF level 4.  If units have not being assigned a weighting by the relevant EE-Oz Industry Technical Advisory Committee, their weighting will be 10 points. </w:t>
            </w:r>
          </w:p>
          <w:p w:rsidR="00000000" w:rsidRPr="00CD120C" w:rsidP="00CD120C">
            <w:pPr>
              <w:pStyle w:val="TableBodyText"/>
            </w:pPr>
          </w:p>
          <w:p w:rsidR="00000000" w:rsidP="00CD120C">
            <w:pPr>
              <w:pStyle w:val="TableBodyText"/>
              <w:rPr>
                <w:lang w:val="en-NZ"/>
              </w:rPr>
            </w:pPr>
            <w:r w:rsidRPr="00CD120C">
              <w:t>Note: For further information see Application of the NQC Flexib</w:t>
            </w:r>
            <w:r w:rsidRPr="00CD120C">
              <w:t>ility Formula, Page 10, UET12 Electricity Supply Industry – Transmission, Distribution and Rail Sector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TableBodyText"/>
            </w:pPr>
            <w:r w:rsidRPr="00CD120C">
              <w:t>Up to 60 Points</w:t>
            </w:r>
          </w:p>
        </w:tc>
      </w:tr>
    </w:tbl>
    <w:p w:rsidR="00000000" w:rsidRPr="00CD120C" w:rsidP="00CD120C">
      <w:pPr>
        <w:pStyle w:val="Heading4"/>
      </w:pPr>
    </w:p>
    <w:tbl>
      <w:tblPr>
        <w:tblW w:w="0" w:type="auto"/>
        <w:tblLayout w:type="fixed"/>
        <w:tblCellMar>
          <w:left w:w="62" w:type="dxa"/>
          <w:right w:w="62" w:type="dxa"/>
        </w:tblCellMar>
        <w:tblLook w:val="0000"/>
      </w:tblPr>
      <w:tblGrid>
        <w:gridCol w:w="1984"/>
        <w:gridCol w:w="5105"/>
        <w:gridCol w:w="1416"/>
      </w:tblGrid>
      <w:tr w:rsidTr="008D6A72">
        <w:tblPrEx>
          <w:tblW w:w="0" w:type="auto"/>
          <w:tblLayout w:type="fixed"/>
          <w:tblCellMar>
            <w:left w:w="62" w:type="dxa"/>
            <w:right w:w="62" w:type="dxa"/>
          </w:tblCellMar>
          <w:tblLook w:val="0000"/>
        </w:tblPrEx>
        <w:trPr>
          <w:trHeight w:val="965"/>
        </w:trPr>
        <w:tc>
          <w:tcPr>
            <w:tcW w:w="7089" w:type="dxa"/>
            <w:gridSpan w:val="2"/>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RPr="00CD120C" w:rsidP="00CD120C">
            <w:pPr>
              <w:pStyle w:val="Heading4"/>
            </w:pPr>
            <w:r w:rsidRPr="00CD120C">
              <w:t xml:space="preserve"> Group B – Qualification Electives</w:t>
            </w:r>
          </w:p>
          <w:p w:rsidR="00000000" w:rsidP="00CD120C">
            <w:pPr>
              <w:pStyle w:val="Heading4"/>
              <w:rPr>
                <w:lang w:val="en-NZ"/>
              </w:rPr>
            </w:pPr>
            <w:r w:rsidRPr="00CD120C">
              <w:t>You may select units from this group to a maximum weighting of 420 points</w:t>
            </w:r>
          </w:p>
        </w:tc>
        <w:tc>
          <w:tcPr>
            <w:tcW w:w="1416" w:type="dxa"/>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P="00CD120C">
            <w:pPr>
              <w:pStyle w:val="Heading4"/>
              <w:rPr>
                <w:lang w:val="en-NZ"/>
              </w:rPr>
            </w:pPr>
            <w:r w:rsidRPr="00CD120C">
              <w:t>Weighting Points</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Lay ESI electrical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20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and maintain de-energised low voltage underground paper insulated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UETTDRCJ23A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and maintain de-energised high voltage underground paper insulated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UETTDRCJ24A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Joint and maintain energised low voltage underground paper insulated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UETTDRCJ25A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Perform straight through high voltage paper insulated to polyme</w:t>
            </w:r>
            <w:r w:rsidRPr="00CD120C">
              <w:t>ric transition joint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UETTDRCJ26A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and maintain de-energised low voltage underground polymeric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UETTDRCJ27A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and maintain de-energised high voltage underground polymeric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UETTDRCJ28A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Joint and maintain energised low voltage underground polymeric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UETTDRCJ99A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Test and verify distribution cable jointing installations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UETTDRDP11A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Inspect overhead poles/structures and electrical apparatus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UETTDRDP12A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overhead energised low voltage conductors and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UETTDRDP99A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Test and verify distribution overhead installations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UETTDRIS41A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network infrastructure electrical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UETTDRIS42A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network infrastructure electrical</w:t>
            </w:r>
            <w:r w:rsidRPr="00CD120C">
              <w:t xml:space="preserve">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UETTDRIS44A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Perform HV field switching operation to a given schedule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poles, structures and associated hardware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rPr>
          <w:trHeight w:val="684"/>
        </w:trPr>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UETTDRIS54A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overhead conductors and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UETTDRIS55A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low voltage underground services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UETTDRIS56A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low voltage overhead services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UETTDRIS57A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Conduct visual checking and treatment of power system poles and structures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30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UETTDRIS58A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Locate faults in power system underground power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Conduct high potential testing of power system underground power cables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UETTDRIS60A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and replace power system energy meters and associated equipment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UETTDRIS61A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mobile generation set for synchronised LV Genset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traction overhead wiring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traction overhead wiring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UETTDRRT23A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rail traction bonds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UETTDRRT24A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rail traction bonds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UETTDRRT25A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overhead rail traction configurations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UETTDRRT26A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overhead rail traction configurations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UETTDRRT27A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overhead traction components and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UETTDRRT28A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overhead t</w:t>
            </w:r>
            <w:r w:rsidRPr="00CD120C">
              <w:t xml:space="preserve">raction components and equipment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UETTDRRT29A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Operate rail road traction height access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20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UETTDRRT30A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Perform to a given schedule rail traction switching operations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UETTDRRT99A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Test and verify rail traction installations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UETTDRSB39A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Perform power system substation switching operation to a given schedule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UETTDRTP26A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Erect power systems transmission structures and associated hardware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UETTDRTP27A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power systems transmission structures and associated hardware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UETTDRTP29A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overhead transmission conductors and cables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UETTDRTP30A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Inspect overhead structures and electrical apparatus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UETTDRTP99A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120C">
            <w:pPr>
              <w:pStyle w:val="TableBodyText"/>
              <w:rPr>
                <w:lang w:val="en-NZ"/>
              </w:rPr>
            </w:pPr>
            <w:r w:rsidRPr="00CD120C">
              <w:t>Test and verify transmission overhead installations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UETTDRVC29A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Control vegetation whilst performing linework</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TableBodyText"/>
            </w:pPr>
            <w:r w:rsidRPr="00CD120C">
              <w:t>40</w:t>
            </w:r>
          </w:p>
        </w:tc>
      </w:tr>
    </w:tbl>
    <w:p w:rsidR="00000000" w:rsidRPr="00CD120C" w:rsidP="00CD120C">
      <w:pPr>
        <w:pStyle w:val="BodyText"/>
      </w:pPr>
    </w:p>
    <w:tbl>
      <w:tblPr>
        <w:tblW w:w="0" w:type="auto"/>
        <w:tblLayout w:type="fixed"/>
        <w:tblCellMar>
          <w:left w:w="62" w:type="dxa"/>
          <w:right w:w="62" w:type="dxa"/>
        </w:tblCellMar>
        <w:tblLook w:val="0000"/>
      </w:tblPr>
      <w:tblGrid>
        <w:gridCol w:w="1980"/>
        <w:gridCol w:w="5108"/>
        <w:gridCol w:w="1417"/>
      </w:tblGrid>
      <w:tr w:rsidTr="008D6A72">
        <w:tblPrEx>
          <w:tblW w:w="0" w:type="auto"/>
          <w:tblLayout w:type="fixed"/>
          <w:tblCellMar>
            <w:left w:w="62" w:type="dxa"/>
            <w:right w:w="62" w:type="dxa"/>
          </w:tblCellMar>
          <w:tblLook w:val="0000"/>
        </w:tblPrEx>
        <w:trPr>
          <w:trHeight w:val="965"/>
        </w:trPr>
        <w:tc>
          <w:tcPr>
            <w:tcW w:w="7088" w:type="dxa"/>
            <w:gridSpan w:val="2"/>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RPr="00CD120C" w:rsidP="00CD120C">
            <w:pPr>
              <w:pStyle w:val="Heading4"/>
            </w:pPr>
            <w:r w:rsidRPr="00CD120C">
              <w:t xml:space="preserve"> Group C  At least 320 points to be achieved from this group</w:t>
            </w:r>
          </w:p>
          <w:p w:rsidR="00000000" w:rsidP="00CD120C">
            <w:pPr>
              <w:pStyle w:val="TableBodyText"/>
              <w:rPr>
                <w:lang w:val="en-NZ"/>
              </w:rPr>
            </w:pPr>
            <w:r w:rsidRPr="00CD120C">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P="00CD120C">
            <w:pPr>
              <w:pStyle w:val="Heading4"/>
              <w:rPr>
                <w:lang w:val="en-NZ"/>
              </w:rPr>
            </w:pPr>
            <w:r w:rsidRPr="00CD120C">
              <w:t>Weighting Points</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UETTDRCJ29A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gas and oil filled specialised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UETTDRCJ30A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gas and oil filled specialised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UETTDRCJ31A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polymeric specialised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65</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UETTDRCJ32A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Install and maintain gas and oil pressure systems for specialised underground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65</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UETTDRDP13A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HV distribution overhead electrical apparatus (stick)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UETTDRDP14A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HV distribution overhead electrical apparatus (glove)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UETTDRDS31A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Draft and layout a power system overhead distribution extensio</w:t>
            </w:r>
            <w:r w:rsidRPr="00CD120C">
              <w:t>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UETTDRDS32A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Draft and layout a power system underground distribution extension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UETTDRDS33A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Draft and layout a power system street lighting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UETTDRDS34A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Draft and layout a power system distribution substation minor upgrade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UETTDRIS48A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Develop high voltage switching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UETTDRIS49A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Develop low voltage switching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90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UETTDRIS50A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Coordinate power system permit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UETTDRIS51A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Coordinate and direct power system switching schedules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UETTDRIS64A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 xml:space="preserve">Install mobile generation set for synchronised HV Genset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40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UETTDRIS65A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Contribute to coordinated HV live line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50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UETTDRRT31A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d.c. traction overhead wiring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UETTDRRT32A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traction overhead electrical ap</w:t>
            </w:r>
            <w:r w:rsidRPr="00CD120C">
              <w:t>paratus using stick techniques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UETTDRRT33A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traction overhead electrical apparatus using glove techniques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UETTDRTP31A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transmission lines using high voltage live work stick method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UETTDRTP32A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transmission lines using high voltage live work Barehand method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70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UETTDRTP33A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Maintain energised transmission lines using Barehand Technique on a helicopter platform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60</w:t>
            </w:r>
          </w:p>
        </w:tc>
      </w:tr>
      <w:tr w:rsidTr="008D6A72">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20C">
            <w:pPr>
              <w:pStyle w:val="TableBodyText"/>
              <w:rPr>
                <w:lang w:val="en-NZ"/>
              </w:rPr>
            </w:pPr>
            <w:r w:rsidRPr="00CD120C">
              <w:t>UETTDRVC30A</w:t>
            </w:r>
          </w:p>
        </w:tc>
        <w:tc>
          <w:tcPr>
            <w:tcW w:w="5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120C">
            <w:pPr>
              <w:pStyle w:val="TableBodyText"/>
              <w:rPr>
                <w:lang w:val="en-NZ"/>
              </w:rPr>
            </w:pPr>
            <w:r w:rsidRPr="00CD120C">
              <w:t>Coordinate vegetation control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120C" w:rsidP="00CD120C">
            <w:pPr>
              <w:pStyle w:val="TableBodyText"/>
            </w:pPr>
            <w:r w:rsidRPr="00CD120C">
              <w:t>60</w:t>
            </w:r>
          </w:p>
        </w:tc>
      </w:tr>
    </w:tbl>
    <w:p w:rsidR="00000000" w:rsidRPr="00CD120C" w:rsidP="00CD120C">
      <w:pPr>
        <w:pStyle w:val="BodyText"/>
      </w:pPr>
      <w:r w:rsidRPr="00CD120C">
        <w:t>Note:</w:t>
      </w:r>
      <w:r w:rsidRPr="00CD120C">
        <w:br/>
      </w:r>
      <w:r w:rsidRPr="00CD120C">
        <w:t>1. Prerequisite pathways shall be identified and met for all elective units selected.</w:t>
      </w:r>
    </w:p>
    <w:p w:rsidR="008D6A72" w:rsidP="00CD120C">
      <w:pPr>
        <w:pStyle w:val="Heading4"/>
      </w:pPr>
      <w:r w:rsidRPr="00CD120C">
        <w:t>END OF QUALIFICATION</w:t>
      </w:r>
    </w:p>
    <w:p w:rsidR="008D6A72" w:rsidP="00CD120C">
      <w:pPr>
        <w:pStyle w:val="Heading4"/>
      </w:pPr>
    </w:p>
    <w:p w:rsidR="00000000" w:rsidRPr="00CD120C" w:rsidP="00CD120C">
      <w:pPr>
        <w:pStyle w:val="Heading1"/>
      </w:pPr>
      <w:bookmarkStart w:id="8" w:name="O_532174"/>
      <w:bookmarkEnd w:id="8"/>
      <w:r w:rsidRPr="00CD120C">
        <w:t>Custom Content Section</w:t>
      </w:r>
    </w:p>
    <w:p w:rsidR="00000000" w:rsidRPr="00CD120C" w:rsidP="00CD120C">
      <w:pPr>
        <w:pStyle w:val="BodyText"/>
      </w:pPr>
      <w:r w:rsidRPr="00CD120C">
        <w:t>Not applicable.</w:t>
      </w:r>
    </w:p>
    <w:p w:rsidR="00000000" w:rsidRPr="00CD120C" w:rsidP="00CD120C"/>
    <w:sectPr w:rsidSect="00CD1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rsidRPr="008D6A72" w:rsidP="008D6A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72" w:rsidP="00CD12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6A72" w:rsidP="00CD12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D6A72" w:rsidP="00CD1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rsidRPr="008D6A72" w:rsidP="008D6A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72" w:rsidRPr="002D2AF8" w:rsidP="00CD120C">
    <w:pPr>
      <w:pStyle w:val="Header"/>
      <w:framePr w:wrap="around"/>
    </w:pPr>
    <w:r>
      <w:fldChar w:fldCharType="begin"/>
    </w:r>
    <w:r>
      <w:instrText xml:space="preserve"> TITLE   \* MERGEFORMAT </w:instrText>
    </w:r>
    <w:r>
      <w:fldChar w:fldCharType="separate"/>
    </w:r>
    <w:r>
      <w:t>UET40412 Certificate IV in ESI -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8D6A72" w:rsidP="00CD1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89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966A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20C"/>
    <w:pPr>
      <w:spacing w:before="360" w:after="60"/>
      <w:outlineLvl w:val="0"/>
    </w:pPr>
    <w:rPr>
      <w:sz w:val="32"/>
    </w:rPr>
  </w:style>
  <w:style w:type="paragraph" w:styleId="Heading2">
    <w:name w:val="heading 2"/>
    <w:basedOn w:val="HeadingBase"/>
    <w:next w:val="BodyText"/>
    <w:link w:val="Heading2Char"/>
    <w:qFormat/>
    <w:rsid w:val="00CD120C"/>
    <w:pPr>
      <w:keepLines/>
      <w:spacing w:before="240" w:after="120"/>
      <w:outlineLvl w:val="1"/>
    </w:pPr>
    <w:rPr>
      <w:sz w:val="28"/>
      <w:szCs w:val="40"/>
    </w:rPr>
  </w:style>
  <w:style w:type="paragraph" w:styleId="Heading3">
    <w:name w:val="heading 3"/>
    <w:basedOn w:val="HeadingBase"/>
    <w:next w:val="BodyText"/>
    <w:link w:val="Heading3Char"/>
    <w:qFormat/>
    <w:rsid w:val="00CD120C"/>
    <w:pPr>
      <w:spacing w:before="180" w:after="120"/>
      <w:outlineLvl w:val="2"/>
    </w:pPr>
    <w:rPr>
      <w:spacing w:val="-10"/>
      <w:kern w:val="32"/>
    </w:rPr>
  </w:style>
  <w:style w:type="paragraph" w:styleId="Heading4">
    <w:name w:val="heading 4"/>
    <w:basedOn w:val="HeadingBase"/>
    <w:next w:val="BodyText"/>
    <w:link w:val="Heading4Char"/>
    <w:qFormat/>
    <w:rsid w:val="00CD120C"/>
    <w:pPr>
      <w:spacing w:before="160" w:after="120"/>
      <w:outlineLvl w:val="3"/>
    </w:pPr>
    <w:rPr>
      <w:sz w:val="22"/>
    </w:rPr>
  </w:style>
  <w:style w:type="paragraph" w:styleId="Heading5">
    <w:name w:val="heading 5"/>
    <w:basedOn w:val="HeadingBase"/>
    <w:next w:val="Normal"/>
    <w:link w:val="Heading5Char"/>
    <w:qFormat/>
    <w:rsid w:val="00CD120C"/>
    <w:pPr>
      <w:spacing w:before="80"/>
      <w:outlineLvl w:val="4"/>
    </w:pPr>
    <w:rPr>
      <w:color w:val="918585"/>
      <w:sz w:val="20"/>
    </w:rPr>
  </w:style>
  <w:style w:type="paragraph" w:styleId="Heading6">
    <w:name w:val="heading 6"/>
    <w:basedOn w:val="HeadingBase"/>
    <w:next w:val="Normal"/>
    <w:link w:val="Heading6Char"/>
    <w:qFormat/>
    <w:rsid w:val="00CD120C"/>
    <w:pPr>
      <w:spacing w:before="60"/>
      <w:outlineLvl w:val="5"/>
    </w:pPr>
    <w:rPr>
      <w:color w:val="918585"/>
      <w:sz w:val="20"/>
    </w:rPr>
  </w:style>
  <w:style w:type="paragraph" w:styleId="Heading7">
    <w:name w:val="heading 7"/>
    <w:basedOn w:val="Normal"/>
    <w:next w:val="Normal"/>
    <w:link w:val="Heading7Char"/>
    <w:qFormat/>
    <w:rsid w:val="00CD120C"/>
    <w:pPr>
      <w:ind w:left="720"/>
      <w:outlineLvl w:val="6"/>
    </w:pPr>
    <w:rPr>
      <w:i/>
    </w:rPr>
  </w:style>
  <w:style w:type="paragraph" w:styleId="Heading8">
    <w:name w:val="heading 8"/>
    <w:basedOn w:val="Normal"/>
    <w:next w:val="Normal"/>
    <w:link w:val="Heading8Char"/>
    <w:qFormat/>
    <w:rsid w:val="00CD120C"/>
    <w:pPr>
      <w:ind w:left="720"/>
      <w:outlineLvl w:val="7"/>
    </w:pPr>
    <w:rPr>
      <w:i/>
    </w:rPr>
  </w:style>
  <w:style w:type="paragraph" w:styleId="Heading9">
    <w:name w:val="heading 9"/>
    <w:basedOn w:val="Normal"/>
    <w:next w:val="Normal"/>
    <w:link w:val="Heading9Char"/>
    <w:qFormat/>
    <w:rsid w:val="00CD120C"/>
    <w:pPr>
      <w:ind w:left="720"/>
      <w:outlineLvl w:val="8"/>
    </w:pPr>
    <w:rPr>
      <w:i/>
    </w:rPr>
  </w:style>
  <w:style w:type="character" w:default="1" w:styleId="DefaultParagraphFont">
    <w:name w:val="Default Paragraph Font"/>
    <w:uiPriority w:val="1"/>
    <w:unhideWhenUsed/>
    <w:rsid w:val="00CD1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20C"/>
  </w:style>
  <w:style w:type="character" w:customStyle="1" w:styleId="Heading1Char">
    <w:name w:val="Heading 1 Char"/>
    <w:basedOn w:val="DefaultParagraphFont"/>
    <w:link w:val="Heading1"/>
    <w:rsid w:val="00CD12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120C"/>
    <w:rPr>
      <w:rFonts w:ascii="Times New Roman" w:eastAsia="Times New Roman" w:hAnsi="Times New Roman" w:cs="Times New Roman"/>
      <w:b/>
      <w:szCs w:val="20"/>
      <w:lang w:eastAsia="en-US"/>
    </w:rPr>
  </w:style>
  <w:style w:type="paragraph" w:styleId="BodyText">
    <w:name w:val="Body Text"/>
    <w:basedOn w:val="Normal"/>
    <w:link w:val="BodyTextChar"/>
    <w:rsid w:val="00CD1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20C"/>
    <w:rPr>
      <w:rFonts w:ascii="Times New Roman" w:eastAsia="Times New Roman" w:hAnsi="Times New Roman" w:cs="Times New Roman"/>
      <w:sz w:val="24"/>
      <w:lang w:eastAsia="en-US"/>
    </w:rPr>
  </w:style>
  <w:style w:type="paragraph" w:styleId="ListBullet2">
    <w:name w:val="List Bullet 2"/>
    <w:basedOn w:val="List2"/>
    <w:rsid w:val="00CD120C"/>
    <w:pPr>
      <w:numPr>
        <w:numId w:val="13"/>
      </w:numPr>
      <w:tabs>
        <w:tab w:val="clear" w:pos="680"/>
      </w:tabs>
    </w:pPr>
  </w:style>
  <w:style w:type="paragraph" w:customStyle="1" w:styleId="SuperHeading">
    <w:name w:val="SuperHeading"/>
    <w:basedOn w:val="Normal"/>
    <w:rsid w:val="00CD120C"/>
    <w:pPr>
      <w:spacing w:before="240" w:after="120"/>
      <w:outlineLvl w:val="0"/>
    </w:pPr>
    <w:rPr>
      <w:rFonts w:ascii="Times New Roman" w:hAnsi="Times New Roman"/>
      <w:b/>
      <w:sz w:val="32"/>
    </w:rPr>
  </w:style>
  <w:style w:type="paragraph" w:customStyle="1" w:styleId="AllowPageBreak">
    <w:name w:val="AllowPageBreak"/>
    <w:rsid w:val="00CD12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D120C"/>
    <w:pPr>
      <w:spacing w:before="60" w:after="60"/>
    </w:pPr>
  </w:style>
  <w:style w:type="character" w:customStyle="1" w:styleId="Heading2Char">
    <w:name w:val="Heading 2 Char"/>
    <w:basedOn w:val="DefaultParagraphFont"/>
    <w:link w:val="Heading2"/>
    <w:rsid w:val="00CD1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2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1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20C"/>
    <w:rPr>
      <w:rFonts w:ascii="Courier New" w:eastAsia="Times New Roman" w:hAnsi="Courier New" w:cs="Times New Roman"/>
      <w:i/>
      <w:szCs w:val="20"/>
      <w:lang w:eastAsia="en-US"/>
    </w:rPr>
  </w:style>
  <w:style w:type="paragraph" w:customStyle="1" w:styleId="HeadingBase">
    <w:name w:val="Heading Base"/>
    <w:rsid w:val="00CD1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20C"/>
    <w:pPr>
      <w:tabs>
        <w:tab w:val="right" w:leader="dot" w:pos="9072"/>
      </w:tabs>
      <w:ind w:left="567"/>
    </w:pPr>
    <w:rPr>
      <w:szCs w:val="22"/>
    </w:rPr>
  </w:style>
  <w:style w:type="paragraph" w:customStyle="1" w:styleId="TOCBase">
    <w:name w:val="TOC Base"/>
    <w:rsid w:val="00CD1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20C"/>
    <w:pPr>
      <w:tabs>
        <w:tab w:val="right" w:leader="dot" w:pos="9072"/>
      </w:tabs>
      <w:spacing w:before="40" w:after="40"/>
      <w:ind w:left="284"/>
    </w:pPr>
    <w:rPr>
      <w:rFonts w:ascii="Times New Roman" w:hAnsi="Times New Roman"/>
    </w:rPr>
  </w:style>
  <w:style w:type="paragraph" w:styleId="TOC1">
    <w:name w:val="toc 1"/>
    <w:basedOn w:val="TOCBase"/>
    <w:next w:val="Normal"/>
    <w:rsid w:val="00CD1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20C"/>
    <w:rPr>
      <w:rFonts w:ascii="Times New Roman" w:eastAsia="Times New Roman" w:hAnsi="Times New Roman" w:cs="Times New Roman"/>
      <w:sz w:val="16"/>
      <w:lang w:eastAsia="en-US"/>
    </w:rPr>
  </w:style>
  <w:style w:type="paragraph" w:styleId="Title">
    <w:name w:val="Title"/>
    <w:basedOn w:val="HeadingBase"/>
    <w:link w:val="TitleChar"/>
    <w:qFormat/>
    <w:rsid w:val="00CD120C"/>
    <w:pPr>
      <w:spacing w:before="5040"/>
      <w:jc w:val="center"/>
    </w:pPr>
    <w:rPr>
      <w:sz w:val="48"/>
      <w:szCs w:val="72"/>
      <w:lang w:val="en-US"/>
    </w:rPr>
  </w:style>
  <w:style w:type="character" w:customStyle="1" w:styleId="TitleChar">
    <w:name w:val="Title Char"/>
    <w:basedOn w:val="DefaultParagraphFont"/>
    <w:link w:val="Title"/>
    <w:rsid w:val="00CD1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20C"/>
    <w:pPr>
      <w:tabs>
        <w:tab w:val="left" w:pos="3600"/>
        <w:tab w:val="left" w:pos="3958"/>
      </w:tabs>
    </w:pPr>
  </w:style>
  <w:style w:type="paragraph" w:styleId="List">
    <w:name w:val="List"/>
    <w:basedOn w:val="BodyText"/>
    <w:next w:val="BodyText"/>
    <w:rsid w:val="00CD120C"/>
    <w:pPr>
      <w:tabs>
        <w:tab w:val="left" w:pos="340"/>
      </w:tabs>
      <w:spacing w:before="60" w:after="60"/>
      <w:ind w:left="340" w:hanging="340"/>
    </w:pPr>
  </w:style>
  <w:style w:type="paragraph" w:styleId="ListBullet">
    <w:name w:val="List Bullet"/>
    <w:basedOn w:val="List"/>
    <w:rsid w:val="00CD120C"/>
    <w:pPr>
      <w:numPr>
        <w:numId w:val="12"/>
      </w:numPr>
      <w:tabs>
        <w:tab w:val="clear" w:pos="340"/>
      </w:tabs>
      <w:spacing w:before="40" w:after="40"/>
    </w:pPr>
  </w:style>
  <w:style w:type="paragraph" w:customStyle="1" w:styleId="Note">
    <w:name w:val="Note"/>
    <w:basedOn w:val="BodyText"/>
    <w:rsid w:val="00CD12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120C"/>
    <w:rPr>
      <w:b/>
      <w:spacing w:val="0"/>
    </w:rPr>
  </w:style>
  <w:style w:type="paragraph" w:customStyle="1" w:styleId="SuperTitle">
    <w:name w:val="SuperTitle"/>
    <w:basedOn w:val="Title"/>
    <w:rsid w:val="00CD120C"/>
    <w:pPr>
      <w:framePr w:wrap="auto" w:hAnchor="text" w:y="6049"/>
    </w:pPr>
    <w:rPr>
      <w:color w:val="000000"/>
      <w:sz w:val="40"/>
    </w:rPr>
  </w:style>
  <w:style w:type="paragraph" w:customStyle="1" w:styleId="TOCTitle">
    <w:name w:val="TOCTitle"/>
    <w:basedOn w:val="Heading1"/>
    <w:rsid w:val="00CD120C"/>
    <w:pPr>
      <w:spacing w:after="240"/>
      <w:jc w:val="center"/>
      <w:outlineLvl w:val="9"/>
    </w:pPr>
    <w:rPr>
      <w:caps/>
    </w:rPr>
  </w:style>
  <w:style w:type="paragraph" w:customStyle="1" w:styleId="Version">
    <w:name w:val="Version"/>
    <w:rsid w:val="00CD1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20C"/>
    <w:pPr>
      <w:keepNext w:val="0"/>
      <w:tabs>
        <w:tab w:val="right" w:pos="4176"/>
      </w:tabs>
      <w:ind w:left="198" w:hanging="198"/>
    </w:pPr>
    <w:rPr>
      <w:rFonts w:ascii="Garamond" w:hAnsi="Garamond"/>
    </w:rPr>
  </w:style>
  <w:style w:type="paragraph" w:styleId="IndexHeading">
    <w:name w:val="index heading"/>
    <w:basedOn w:val="Normal"/>
    <w:next w:val="Index1"/>
    <w:semiHidden/>
    <w:rsid w:val="00CD120C"/>
    <w:pPr>
      <w:spacing w:before="120" w:after="120"/>
    </w:pPr>
    <w:rPr>
      <w:rFonts w:ascii="Arial" w:hAnsi="Arial"/>
      <w:b/>
      <w:color w:val="918585"/>
      <w:sz w:val="24"/>
    </w:rPr>
  </w:style>
  <w:style w:type="paragraph" w:styleId="Header">
    <w:name w:val="header"/>
    <w:basedOn w:val="Normal"/>
    <w:link w:val="HeaderChar"/>
    <w:rsid w:val="00CD1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20C"/>
    <w:rPr>
      <w:rFonts w:ascii="Times New Roman" w:eastAsia="Times New Roman" w:hAnsi="Times New Roman" w:cs="Times New Roman"/>
      <w:sz w:val="16"/>
      <w:szCs w:val="20"/>
      <w:lang w:val="en-GB" w:eastAsia="en-US"/>
    </w:rPr>
  </w:style>
  <w:style w:type="paragraph" w:customStyle="1" w:styleId="Chapter">
    <w:name w:val="Chapter"/>
    <w:basedOn w:val="Normal"/>
    <w:rsid w:val="00CD120C"/>
    <w:pPr>
      <w:spacing w:before="240"/>
    </w:pPr>
    <w:rPr>
      <w:rFonts w:ascii="Times New Roman" w:hAnsi="Times New Roman"/>
      <w:smallCaps/>
      <w:spacing w:val="80"/>
      <w:sz w:val="28"/>
    </w:rPr>
  </w:style>
  <w:style w:type="paragraph" w:customStyle="1" w:styleId="InChapter">
    <w:name w:val="InChapter"/>
    <w:basedOn w:val="Heading3"/>
    <w:rsid w:val="00CD120C"/>
    <w:pPr>
      <w:spacing w:after="240"/>
      <w:outlineLvl w:val="9"/>
    </w:pPr>
    <w:rPr>
      <w:noProof/>
    </w:rPr>
  </w:style>
  <w:style w:type="paragraph" w:styleId="Index2">
    <w:name w:val="index 2"/>
    <w:basedOn w:val="Normal"/>
    <w:next w:val="Normal"/>
    <w:semiHidden/>
    <w:rsid w:val="00CD120C"/>
    <w:pPr>
      <w:tabs>
        <w:tab w:val="right" w:pos="4176"/>
      </w:tabs>
      <w:ind w:left="568" w:hanging="284"/>
    </w:pPr>
    <w:rPr>
      <w:rFonts w:ascii="Garamond" w:hAnsi="Garamond"/>
    </w:rPr>
  </w:style>
  <w:style w:type="paragraph" w:customStyle="1" w:styleId="Byline">
    <w:name w:val="Byline"/>
    <w:rsid w:val="00CD1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20C"/>
    <w:pPr>
      <w:tabs>
        <w:tab w:val="clear" w:pos="3600"/>
        <w:tab w:val="clear" w:pos="3958"/>
      </w:tabs>
      <w:jc w:val="right"/>
    </w:pPr>
  </w:style>
  <w:style w:type="character" w:styleId="Emphasis">
    <w:name w:val="Emphasis"/>
    <w:basedOn w:val="DefaultParagraphFont"/>
    <w:qFormat/>
    <w:rsid w:val="00CD120C"/>
    <w:rPr>
      <w:i/>
    </w:rPr>
  </w:style>
  <w:style w:type="paragraph" w:styleId="Caption">
    <w:name w:val="caption"/>
    <w:basedOn w:val="BodyText"/>
    <w:next w:val="Normal"/>
    <w:qFormat/>
    <w:rsid w:val="00CD120C"/>
    <w:pPr>
      <w:framePr w:w="2268" w:hSpace="181" w:vSpace="181" w:wrap="around" w:vAnchor="text" w:hAnchor="page" w:x="1135" w:y="285" w:anchorLock="1"/>
    </w:pPr>
    <w:rPr>
      <w:i/>
    </w:rPr>
  </w:style>
  <w:style w:type="paragraph" w:customStyle="1" w:styleId="MiniTOCTitle">
    <w:name w:val="MiniTOCTitle"/>
    <w:basedOn w:val="Heading4"/>
    <w:rsid w:val="00CD120C"/>
    <w:pPr>
      <w:spacing w:before="240"/>
      <w:outlineLvl w:val="9"/>
    </w:pPr>
    <w:rPr>
      <w:noProof/>
      <w:sz w:val="24"/>
    </w:rPr>
  </w:style>
  <w:style w:type="paragraph" w:customStyle="1" w:styleId="MiniTOCItem">
    <w:name w:val="MiniTOCItem"/>
    <w:basedOn w:val="ListBullet"/>
    <w:rsid w:val="00CD120C"/>
    <w:pPr>
      <w:numPr>
        <w:numId w:val="0"/>
      </w:numPr>
      <w:tabs>
        <w:tab w:val="right" w:leader="dot" w:pos="6521"/>
      </w:tabs>
      <w:spacing w:before="0" w:after="0"/>
    </w:pPr>
  </w:style>
  <w:style w:type="paragraph" w:customStyle="1" w:styleId="TOFTitle">
    <w:name w:val="TOFTitle"/>
    <w:basedOn w:val="TOCTitle"/>
    <w:rsid w:val="00CD120C"/>
  </w:style>
  <w:style w:type="paragraph" w:styleId="TableofFigures">
    <w:name w:val="table of figures"/>
    <w:basedOn w:val="Normal"/>
    <w:next w:val="Normal"/>
    <w:semiHidden/>
    <w:rsid w:val="00CD120C"/>
    <w:pPr>
      <w:tabs>
        <w:tab w:val="right" w:leader="dot" w:pos="9072"/>
      </w:tabs>
      <w:ind w:left="970" w:hanging="403"/>
    </w:pPr>
    <w:rPr>
      <w:rFonts w:ascii="Times New Roman" w:hAnsi="Times New Roman"/>
      <w:b/>
    </w:rPr>
  </w:style>
  <w:style w:type="paragraph" w:styleId="ListNumber">
    <w:name w:val="List Number"/>
    <w:basedOn w:val="List"/>
    <w:rsid w:val="00CD120C"/>
    <w:pPr>
      <w:numPr>
        <w:numId w:val="10"/>
      </w:numPr>
    </w:pPr>
  </w:style>
  <w:style w:type="character" w:customStyle="1" w:styleId="WingdingSymbols">
    <w:name w:val="Wingding Symbols"/>
    <w:rsid w:val="00CD120C"/>
    <w:rPr>
      <w:rFonts w:ascii="Wingdings" w:hAnsi="Wingdings"/>
    </w:rPr>
  </w:style>
  <w:style w:type="paragraph" w:customStyle="1" w:styleId="TableHeading">
    <w:name w:val="Table Heading"/>
    <w:basedOn w:val="HeadingBase"/>
    <w:rsid w:val="00CD120C"/>
    <w:pPr>
      <w:keepLines/>
      <w:pBdr>
        <w:bottom w:val="single" w:sz="6" w:space="1" w:color="918585"/>
      </w:pBdr>
      <w:spacing w:before="240"/>
    </w:pPr>
  </w:style>
  <w:style w:type="character" w:customStyle="1" w:styleId="HotSpot">
    <w:name w:val="HotSpot"/>
    <w:rsid w:val="00CD120C"/>
    <w:rPr>
      <w:color w:val="0033CC"/>
      <w:u w:val="none"/>
    </w:rPr>
  </w:style>
  <w:style w:type="paragraph" w:customStyle="1" w:styleId="BodyTextRight">
    <w:name w:val="Body Text Right"/>
    <w:basedOn w:val="BodyText"/>
    <w:rsid w:val="00CD120C"/>
    <w:pPr>
      <w:spacing w:before="0" w:after="0"/>
      <w:jc w:val="right"/>
    </w:pPr>
  </w:style>
  <w:style w:type="paragraph" w:styleId="Index3">
    <w:name w:val="index 3"/>
    <w:basedOn w:val="ListNumber2"/>
    <w:next w:val="Normal"/>
    <w:semiHidden/>
    <w:rsid w:val="00CD120C"/>
    <w:pPr>
      <w:numPr>
        <w:numId w:val="0"/>
      </w:numPr>
      <w:tabs>
        <w:tab w:val="right" w:leader="dot" w:pos="4176"/>
      </w:tabs>
    </w:pPr>
  </w:style>
  <w:style w:type="paragraph" w:styleId="ListNumber2">
    <w:name w:val="List Number 2"/>
    <w:basedOn w:val="List2"/>
    <w:rsid w:val="00CD120C"/>
    <w:pPr>
      <w:numPr>
        <w:numId w:val="9"/>
      </w:numPr>
      <w:tabs>
        <w:tab w:val="clear" w:pos="1060"/>
      </w:tabs>
    </w:pPr>
  </w:style>
  <w:style w:type="paragraph" w:customStyle="1" w:styleId="MarginNote">
    <w:name w:val="Margin Note"/>
    <w:basedOn w:val="BodyText"/>
    <w:rsid w:val="00CD1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20C"/>
    <w:rPr>
      <w:sz w:val="32"/>
    </w:rPr>
  </w:style>
  <w:style w:type="paragraph" w:customStyle="1" w:styleId="HeadingProcedure">
    <w:name w:val="Heading Procedure"/>
    <w:basedOn w:val="HeadingBase"/>
    <w:next w:val="Normal"/>
    <w:rsid w:val="00CD120C"/>
    <w:pPr>
      <w:tabs>
        <w:tab w:val="left" w:pos="0"/>
      </w:tabs>
      <w:spacing w:before="120" w:after="60"/>
    </w:pPr>
    <w:rPr>
      <w:i/>
      <w:color w:val="918585"/>
      <w:sz w:val="22"/>
    </w:rPr>
  </w:style>
  <w:style w:type="paragraph" w:styleId="ListContinue">
    <w:name w:val="List Continue"/>
    <w:basedOn w:val="List"/>
    <w:rsid w:val="00CD120C"/>
    <w:pPr>
      <w:ind w:firstLine="0"/>
    </w:pPr>
  </w:style>
  <w:style w:type="paragraph" w:customStyle="1" w:styleId="ListNote">
    <w:name w:val="List Note"/>
    <w:basedOn w:val="List"/>
    <w:rsid w:val="00CD120C"/>
    <w:pPr>
      <w:pBdr>
        <w:top w:val="single" w:sz="6" w:space="2" w:color="918585"/>
        <w:bottom w:val="single" w:sz="6" w:space="2" w:color="918585"/>
      </w:pBdr>
      <w:tabs>
        <w:tab w:val="left" w:pos="1021"/>
      </w:tabs>
      <w:ind w:firstLine="0"/>
    </w:pPr>
  </w:style>
  <w:style w:type="paragraph" w:customStyle="1" w:styleId="Warning">
    <w:name w:val="Warning"/>
    <w:basedOn w:val="BodyText"/>
    <w:rsid w:val="00CD120C"/>
    <w:pPr>
      <w:shd w:val="clear" w:color="auto" w:fill="D9D9D9"/>
      <w:tabs>
        <w:tab w:val="left" w:pos="992"/>
      </w:tabs>
      <w:ind w:left="119" w:right="119"/>
    </w:pPr>
    <w:rPr>
      <w:sz w:val="20"/>
    </w:rPr>
  </w:style>
  <w:style w:type="paragraph" w:customStyle="1" w:styleId="MarginIcons">
    <w:name w:val="Margin Icons"/>
    <w:basedOn w:val="BodyText"/>
    <w:rsid w:val="00CD1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20C"/>
    <w:rPr>
      <w:rFonts w:ascii="Courier New" w:hAnsi="Courier New"/>
    </w:rPr>
  </w:style>
  <w:style w:type="paragraph" w:customStyle="1" w:styleId="NoteBullet">
    <w:name w:val="Note Bullet"/>
    <w:basedOn w:val="Note"/>
    <w:rsid w:val="00CD120C"/>
    <w:pPr>
      <w:tabs>
        <w:tab w:val="clear" w:pos="680"/>
      </w:tabs>
      <w:spacing w:before="60" w:after="60"/>
    </w:pPr>
  </w:style>
  <w:style w:type="paragraph" w:customStyle="1" w:styleId="SubHeading2">
    <w:name w:val="SubHeading2"/>
    <w:basedOn w:val="HeadingBase"/>
    <w:rsid w:val="00CD120C"/>
    <w:pPr>
      <w:spacing w:before="240" w:after="60"/>
    </w:pPr>
    <w:rPr>
      <w:sz w:val="20"/>
    </w:rPr>
  </w:style>
  <w:style w:type="paragraph" w:customStyle="1" w:styleId="SubHeading1">
    <w:name w:val="SubHeading1"/>
    <w:basedOn w:val="HeadingBase"/>
    <w:rsid w:val="00CD120C"/>
    <w:pPr>
      <w:spacing w:before="240" w:after="60"/>
    </w:pPr>
    <w:rPr>
      <w:color w:val="918585"/>
      <w:sz w:val="22"/>
    </w:rPr>
  </w:style>
  <w:style w:type="paragraph" w:customStyle="1" w:styleId="SideHeading">
    <w:name w:val="Side Heading"/>
    <w:basedOn w:val="HeadingBase"/>
    <w:rsid w:val="00CD1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20C"/>
    <w:pPr>
      <w:tabs>
        <w:tab w:val="num" w:pos="360"/>
      </w:tabs>
    </w:pPr>
  </w:style>
  <w:style w:type="paragraph" w:styleId="PlainText">
    <w:name w:val="Plain Text"/>
    <w:basedOn w:val="Normal"/>
    <w:link w:val="PlainTextChar"/>
    <w:rsid w:val="00CD120C"/>
    <w:rPr>
      <w:sz w:val="20"/>
    </w:rPr>
  </w:style>
  <w:style w:type="character" w:customStyle="1" w:styleId="PlainTextChar">
    <w:name w:val="Plain Text Char"/>
    <w:basedOn w:val="DefaultParagraphFont"/>
    <w:link w:val="PlainText"/>
    <w:rsid w:val="00CD120C"/>
    <w:rPr>
      <w:rFonts w:ascii="Courier New" w:eastAsia="Times New Roman" w:hAnsi="Courier New" w:cs="Times New Roman"/>
      <w:sz w:val="20"/>
      <w:szCs w:val="20"/>
      <w:lang w:eastAsia="en-US"/>
    </w:rPr>
  </w:style>
  <w:style w:type="character" w:customStyle="1" w:styleId="MenuOption">
    <w:name w:val="Menu Option"/>
    <w:basedOn w:val="DefaultParagraphFont"/>
    <w:rsid w:val="00CD120C"/>
    <w:rPr>
      <w:b/>
      <w:smallCaps/>
    </w:rPr>
  </w:style>
  <w:style w:type="paragraph" w:customStyle="1" w:styleId="TableListNumber">
    <w:name w:val="Table List Number"/>
    <w:basedOn w:val="ListNumber"/>
    <w:rsid w:val="00CD120C"/>
    <w:pPr>
      <w:numPr>
        <w:numId w:val="0"/>
      </w:numPr>
    </w:pPr>
  </w:style>
  <w:style w:type="paragraph" w:styleId="TOC4">
    <w:name w:val="toc 4"/>
    <w:basedOn w:val="TOCBase"/>
    <w:next w:val="Normal"/>
    <w:semiHidden/>
    <w:rsid w:val="00CD120C"/>
    <w:pPr>
      <w:tabs>
        <w:tab w:val="right" w:leader="dot" w:pos="9071"/>
      </w:tabs>
      <w:ind w:left="1701"/>
    </w:pPr>
  </w:style>
  <w:style w:type="paragraph" w:customStyle="1" w:styleId="ListAlpha">
    <w:name w:val="List Alpha"/>
    <w:basedOn w:val="List"/>
    <w:rsid w:val="00CD120C"/>
    <w:pPr>
      <w:numPr>
        <w:numId w:val="8"/>
      </w:numPr>
    </w:pPr>
  </w:style>
  <w:style w:type="paragraph" w:customStyle="1" w:styleId="ListAlpha2">
    <w:name w:val="List Alpha 2"/>
    <w:basedOn w:val="List2"/>
    <w:rsid w:val="00CD120C"/>
    <w:pPr>
      <w:numPr>
        <w:numId w:val="7"/>
      </w:numPr>
    </w:pPr>
  </w:style>
  <w:style w:type="paragraph" w:styleId="List2">
    <w:name w:val="List 2"/>
    <w:basedOn w:val="BodyText"/>
    <w:rsid w:val="00CD120C"/>
    <w:pPr>
      <w:tabs>
        <w:tab w:val="left" w:pos="680"/>
      </w:tabs>
      <w:spacing w:before="60" w:after="60"/>
      <w:ind w:left="680" w:hanging="340"/>
    </w:pPr>
  </w:style>
  <w:style w:type="paragraph" w:styleId="List3">
    <w:name w:val="List 3"/>
    <w:basedOn w:val="BodyText"/>
    <w:rsid w:val="00CD120C"/>
    <w:pPr>
      <w:tabs>
        <w:tab w:val="left" w:pos="1021"/>
      </w:tabs>
      <w:spacing w:before="60" w:after="60"/>
      <w:ind w:left="1020" w:hanging="340"/>
    </w:pPr>
  </w:style>
  <w:style w:type="paragraph" w:styleId="List4">
    <w:name w:val="List 4"/>
    <w:basedOn w:val="BodyText"/>
    <w:rsid w:val="00CD120C"/>
    <w:pPr>
      <w:tabs>
        <w:tab w:val="left" w:pos="1361"/>
      </w:tabs>
      <w:spacing w:before="60" w:after="60"/>
      <w:ind w:left="1361" w:hanging="340"/>
    </w:pPr>
  </w:style>
  <w:style w:type="paragraph" w:styleId="List5">
    <w:name w:val="List 5"/>
    <w:basedOn w:val="BodyText"/>
    <w:rsid w:val="00CD120C"/>
    <w:pPr>
      <w:tabs>
        <w:tab w:val="left" w:pos="1701"/>
      </w:tabs>
      <w:spacing w:before="60" w:after="60"/>
      <w:ind w:left="1701" w:hanging="340"/>
    </w:pPr>
  </w:style>
  <w:style w:type="paragraph" w:styleId="ListBullet3">
    <w:name w:val="List Bullet 3"/>
    <w:basedOn w:val="List3"/>
    <w:rsid w:val="00CD120C"/>
    <w:pPr>
      <w:numPr>
        <w:numId w:val="14"/>
      </w:numPr>
      <w:tabs>
        <w:tab w:val="clear" w:pos="1021"/>
      </w:tabs>
      <w:ind w:left="1037" w:hanging="357"/>
    </w:pPr>
  </w:style>
  <w:style w:type="paragraph" w:styleId="ListBullet4">
    <w:name w:val="List Bullet 4"/>
    <w:basedOn w:val="List4"/>
    <w:rsid w:val="00CD120C"/>
    <w:pPr>
      <w:numPr>
        <w:numId w:val="2"/>
      </w:numPr>
    </w:pPr>
  </w:style>
  <w:style w:type="paragraph" w:styleId="ListBullet5">
    <w:name w:val="List Bullet 5"/>
    <w:basedOn w:val="List5"/>
    <w:rsid w:val="00CD120C"/>
    <w:pPr>
      <w:numPr>
        <w:numId w:val="3"/>
      </w:numPr>
    </w:pPr>
  </w:style>
  <w:style w:type="paragraph" w:styleId="ListContinue2">
    <w:name w:val="List Continue 2"/>
    <w:basedOn w:val="List2"/>
    <w:rsid w:val="00CD120C"/>
    <w:pPr>
      <w:ind w:firstLine="0"/>
    </w:pPr>
  </w:style>
  <w:style w:type="paragraph" w:styleId="ListContinue3">
    <w:name w:val="List Continue 3"/>
    <w:basedOn w:val="List3"/>
    <w:rsid w:val="00CD120C"/>
    <w:pPr>
      <w:ind w:left="1021" w:firstLine="0"/>
    </w:pPr>
  </w:style>
  <w:style w:type="paragraph" w:styleId="ListContinue4">
    <w:name w:val="List Continue 4"/>
    <w:basedOn w:val="List4"/>
    <w:rsid w:val="00CD120C"/>
    <w:pPr>
      <w:ind w:firstLine="0"/>
    </w:pPr>
  </w:style>
  <w:style w:type="paragraph" w:styleId="ListContinue5">
    <w:name w:val="List Continue 5"/>
    <w:basedOn w:val="List5"/>
    <w:rsid w:val="00CD120C"/>
    <w:pPr>
      <w:ind w:firstLine="0"/>
    </w:pPr>
  </w:style>
  <w:style w:type="paragraph" w:styleId="ListNumber3">
    <w:name w:val="List Number 3"/>
    <w:basedOn w:val="List3"/>
    <w:rsid w:val="00CD120C"/>
    <w:pPr>
      <w:numPr>
        <w:numId w:val="4"/>
      </w:numPr>
    </w:pPr>
  </w:style>
  <w:style w:type="paragraph" w:styleId="ListNumber4">
    <w:name w:val="List Number 4"/>
    <w:basedOn w:val="List4"/>
    <w:rsid w:val="00CD120C"/>
    <w:pPr>
      <w:numPr>
        <w:numId w:val="5"/>
      </w:numPr>
    </w:pPr>
  </w:style>
  <w:style w:type="paragraph" w:styleId="ListNumber5">
    <w:name w:val="List Number 5"/>
    <w:basedOn w:val="List5"/>
    <w:rsid w:val="00CD120C"/>
    <w:pPr>
      <w:numPr>
        <w:numId w:val="6"/>
      </w:numPr>
    </w:pPr>
  </w:style>
  <w:style w:type="paragraph" w:styleId="BlockText">
    <w:name w:val="Block Text"/>
    <w:basedOn w:val="Normal"/>
    <w:rsid w:val="00CD120C"/>
    <w:pPr>
      <w:spacing w:after="120"/>
      <w:ind w:left="1440" w:right="1440"/>
    </w:pPr>
  </w:style>
  <w:style w:type="character" w:customStyle="1" w:styleId="Subscript">
    <w:name w:val="Subscript"/>
    <w:basedOn w:val="DefaultParagraphFont"/>
    <w:rsid w:val="00CD120C"/>
    <w:rPr>
      <w:sz w:val="16"/>
      <w:vertAlign w:val="subscript"/>
    </w:rPr>
  </w:style>
  <w:style w:type="character" w:customStyle="1" w:styleId="Superscript">
    <w:name w:val="Superscript"/>
    <w:basedOn w:val="DefaultParagraphFont"/>
    <w:rsid w:val="00CD120C"/>
    <w:rPr>
      <w:sz w:val="16"/>
      <w:vertAlign w:val="superscript"/>
    </w:rPr>
  </w:style>
  <w:style w:type="character" w:customStyle="1" w:styleId="Symbols">
    <w:name w:val="Symbols"/>
    <w:basedOn w:val="DefaultParagraphFont"/>
    <w:rsid w:val="00CD120C"/>
    <w:rPr>
      <w:rFonts w:ascii="Symbol" w:hAnsi="Symbol"/>
    </w:rPr>
  </w:style>
  <w:style w:type="character" w:customStyle="1" w:styleId="MenuOptions">
    <w:name w:val="Menu Options"/>
    <w:basedOn w:val="DefaultParagraphFont"/>
    <w:rsid w:val="00CD120C"/>
    <w:rPr>
      <w:rFonts w:ascii="Arial Narrow" w:hAnsi="Arial Narrow"/>
      <w:smallCaps/>
    </w:rPr>
  </w:style>
  <w:style w:type="character" w:customStyle="1" w:styleId="Buttons">
    <w:name w:val="Buttons"/>
    <w:basedOn w:val="DefaultParagraphFont"/>
    <w:rsid w:val="00CD120C"/>
    <w:rPr>
      <w:b/>
    </w:rPr>
  </w:style>
  <w:style w:type="character" w:customStyle="1" w:styleId="Underlined">
    <w:name w:val="Underlined"/>
    <w:basedOn w:val="DefaultParagraphFont"/>
    <w:rsid w:val="00CD120C"/>
    <w:rPr>
      <w:u w:val="single"/>
    </w:rPr>
  </w:style>
  <w:style w:type="paragraph" w:customStyle="1" w:styleId="TableBodyTextRight">
    <w:name w:val="Table Body Text Right"/>
    <w:basedOn w:val="TableBodyText"/>
    <w:rsid w:val="00CD120C"/>
    <w:pPr>
      <w:widowControl w:val="0"/>
      <w:autoSpaceDE w:val="0"/>
      <w:autoSpaceDN w:val="0"/>
      <w:adjustRightInd w:val="0"/>
      <w:jc w:val="right"/>
    </w:pPr>
    <w:rPr>
      <w:rFonts w:cs="Arial"/>
      <w:szCs w:val="18"/>
    </w:rPr>
  </w:style>
  <w:style w:type="paragraph" w:customStyle="1" w:styleId="CopyrightText">
    <w:name w:val="Copyright Text"/>
    <w:basedOn w:val="BodyText"/>
    <w:rsid w:val="00CD120C"/>
    <w:rPr>
      <w:sz w:val="18"/>
    </w:rPr>
  </w:style>
  <w:style w:type="paragraph" w:customStyle="1" w:styleId="BodySmallRight">
    <w:name w:val="Body Small Right"/>
    <w:basedOn w:val="BodyTextRight"/>
    <w:rsid w:val="00CD120C"/>
    <w:rPr>
      <w:sz w:val="18"/>
      <w:szCs w:val="18"/>
    </w:rPr>
  </w:style>
  <w:style w:type="paragraph" w:customStyle="1" w:styleId="MarginEdition">
    <w:name w:val="Margin Edition"/>
    <w:basedOn w:val="MarginNote"/>
    <w:rsid w:val="00CD120C"/>
    <w:pPr>
      <w:spacing w:before="0" w:after="0"/>
    </w:pPr>
    <w:rPr>
      <w:rFonts w:ascii="Times New Roman" w:hAnsi="Times New Roman"/>
      <w:color w:val="999999"/>
    </w:rPr>
  </w:style>
  <w:style w:type="paragraph" w:customStyle="1" w:styleId="Spacer">
    <w:name w:val="Spacer"/>
    <w:basedOn w:val="Normal"/>
    <w:rsid w:val="00CD120C"/>
    <w:rPr>
      <w:sz w:val="2"/>
      <w:szCs w:val="2"/>
    </w:rPr>
  </w:style>
  <w:style w:type="character" w:customStyle="1" w:styleId="Small">
    <w:name w:val="Small"/>
    <w:basedOn w:val="DefaultParagraphFont"/>
    <w:rsid w:val="00CD120C"/>
    <w:rPr>
      <w:sz w:val="16"/>
    </w:rPr>
  </w:style>
  <w:style w:type="paragraph" w:customStyle="1" w:styleId="WideTable">
    <w:name w:val="Wide Table"/>
    <w:basedOn w:val="Normal"/>
    <w:rsid w:val="00CD120C"/>
    <w:pPr>
      <w:ind w:left="-1418"/>
    </w:pPr>
    <w:rPr>
      <w:sz w:val="2"/>
      <w:szCs w:val="2"/>
    </w:rPr>
  </w:style>
  <w:style w:type="character" w:styleId="PageNumber">
    <w:name w:val="page number"/>
    <w:basedOn w:val="DefaultParagraphFont"/>
    <w:rsid w:val="00CD120C"/>
  </w:style>
  <w:style w:type="paragraph" w:styleId="Quote">
    <w:name w:val="Quote"/>
    <w:basedOn w:val="Heading1"/>
    <w:link w:val="QuoteChar"/>
    <w:qFormat/>
    <w:rsid w:val="00CD120C"/>
    <w:rPr>
      <w:b w:val="0"/>
      <w:sz w:val="72"/>
      <w:szCs w:val="72"/>
      <w:lang w:val="en-NZ"/>
    </w:rPr>
  </w:style>
  <w:style w:type="character" w:customStyle="1" w:styleId="QuoteChar">
    <w:name w:val="Quote Char"/>
    <w:basedOn w:val="DefaultParagraphFont"/>
    <w:link w:val="Quote"/>
    <w:rsid w:val="00CD1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20C"/>
    <w:pPr>
      <w:pageBreakBefore/>
    </w:pPr>
  </w:style>
  <w:style w:type="paragraph" w:customStyle="1" w:styleId="Border">
    <w:name w:val="Border"/>
    <w:basedOn w:val="Normal"/>
    <w:qFormat/>
    <w:rsid w:val="00CD1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20C"/>
    <w:rPr>
      <w:b/>
      <w:bCs/>
      <w:i/>
      <w:iCs/>
      <w:color w:val="auto"/>
    </w:rPr>
  </w:style>
  <w:style w:type="paragraph" w:styleId="IntenseQuote">
    <w:name w:val="Intense Quote"/>
    <w:basedOn w:val="Normal"/>
    <w:next w:val="Normal"/>
    <w:link w:val="IntenseQuoteChar"/>
    <w:uiPriority w:val="30"/>
    <w:qFormat/>
    <w:rsid w:val="00CD1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20C"/>
    <w:rPr>
      <w:smallCaps/>
      <w:color w:val="auto"/>
      <w:u w:val="single"/>
    </w:rPr>
  </w:style>
  <w:style w:type="character" w:styleId="IntenseReference">
    <w:name w:val="Intense Reference"/>
    <w:basedOn w:val="DefaultParagraphFont"/>
    <w:uiPriority w:val="32"/>
    <w:qFormat/>
    <w:rsid w:val="00CD120C"/>
    <w:rPr>
      <w:b/>
      <w:bCs/>
      <w:smallCaps/>
      <w:color w:val="auto"/>
      <w:spacing w:val="5"/>
      <w:u w:val="single"/>
    </w:rPr>
  </w:style>
  <w:style w:type="paragraph" w:customStyle="1" w:styleId="2ColumnHeading">
    <w:name w:val="2Column Heading"/>
    <w:basedOn w:val="BodyText"/>
    <w:qFormat/>
    <w:rsid w:val="00CD120C"/>
    <w:pPr>
      <w:spacing w:after="60"/>
      <w:ind w:left="-2268"/>
    </w:pPr>
    <w:rPr>
      <w:b/>
    </w:rPr>
  </w:style>
  <w:style w:type="paragraph" w:customStyle="1" w:styleId="Heading1TOC">
    <w:name w:val="Heading1 TOC"/>
    <w:basedOn w:val="Normal"/>
    <w:qFormat/>
    <w:rsid w:val="00CD120C"/>
    <w:pPr>
      <w:spacing w:before="240" w:after="120"/>
    </w:pPr>
    <w:rPr>
      <w:rFonts w:ascii="Times New Roman" w:hAnsi="Times New Roman"/>
      <w:b/>
      <w:sz w:val="32"/>
    </w:rPr>
  </w:style>
  <w:style w:type="paragraph" w:customStyle="1" w:styleId="Heading2TOC">
    <w:name w:val="Heading2 TOC"/>
    <w:basedOn w:val="Normal"/>
    <w:qFormat/>
    <w:rsid w:val="00CD120C"/>
    <w:pPr>
      <w:spacing w:before="240" w:after="60"/>
    </w:pPr>
    <w:rPr>
      <w:rFonts w:ascii="Times New Roman" w:hAnsi="Times New Roman"/>
      <w:b/>
      <w:sz w:val="28"/>
    </w:rPr>
  </w:style>
  <w:style w:type="character" w:customStyle="1" w:styleId="Underline">
    <w:name w:val="Underline"/>
    <w:basedOn w:val="DefaultParagraphFont"/>
    <w:qFormat/>
    <w:rsid w:val="00CD120C"/>
    <w:rPr>
      <w:u w:val="single"/>
    </w:rPr>
  </w:style>
  <w:style w:type="character" w:customStyle="1" w:styleId="BoldandItalics">
    <w:name w:val="Bold and Italics"/>
    <w:qFormat/>
    <w:rsid w:val="00CD120C"/>
    <w:rPr>
      <w:b/>
      <w:i/>
      <w:u w:val="none"/>
    </w:rPr>
  </w:style>
  <w:style w:type="paragraph" w:styleId="BalloonText">
    <w:name w:val="Balloon Text"/>
    <w:basedOn w:val="Normal"/>
    <w:link w:val="BalloonTextChar"/>
    <w:rsid w:val="00CD120C"/>
    <w:rPr>
      <w:rFonts w:ascii="Tahoma" w:hAnsi="Tahoma" w:cs="Tahoma"/>
      <w:sz w:val="16"/>
      <w:szCs w:val="16"/>
    </w:rPr>
  </w:style>
  <w:style w:type="character" w:customStyle="1" w:styleId="BalloonTextChar">
    <w:name w:val="Balloon Text Char"/>
    <w:basedOn w:val="DefaultParagraphFont"/>
    <w:link w:val="BalloonText"/>
    <w:rsid w:val="00CD1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20C"/>
    <w:rPr>
      <w:b/>
      <w:color w:val="660033"/>
      <w:spacing w:val="0"/>
    </w:rPr>
  </w:style>
  <w:style w:type="paragraph" w:customStyle="1" w:styleId="Nameditemlist">
    <w:name w:val="Named item list"/>
    <w:basedOn w:val="BodyText"/>
    <w:qFormat/>
    <w:rsid w:val="00CD12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8241</Characters>
  <Application>Microsoft Office Word</Application>
  <DocSecurity>0</DocSecurity>
  <Lines>442</Lines>
  <Paragraphs>331</Paragraphs>
  <ScaleCrop>false</ScaleCrop>
  <Company>Author-it Software Corporation Ltd.</Company>
  <LinksUpToDate>false</LinksUpToDate>
  <CharactersWithSpaces>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UET40412 Certificate IV in ESI - Network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2013-03-15T13:19:00Z</dcterms:created>
  <dcterms:modified xsi:type="dcterms:W3CDTF">2013-03-15T13:19:00Z</dcterms:modified>
</cp:coreProperties>
</file>