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E86" w:rsidP="00F00E86">
      <w:pPr>
        <w:pStyle w:val="Title"/>
      </w:pPr>
      <w:r>
        <w:fldChar w:fldCharType="begin"/>
      </w:r>
      <w:r>
        <w:instrText xml:space="preserve"> TITLE   \* MERGEFORMAT </w:instrText>
      </w:r>
      <w:r>
        <w:fldChar w:fldCharType="separate"/>
      </w:r>
      <w:r>
        <w:t>UET30512 Certificate III in ESI - Power Systems - Transmission Overhead</w:t>
      </w:r>
      <w:r>
        <w:fldChar w:fldCharType="end"/>
      </w:r>
    </w:p>
    <w:p w:rsidR="00F00E86" w:rsidP="00F00E86">
      <w:pPr>
        <w:pStyle w:val="Version"/>
        <w:sectPr w:rsidSect="00983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83AE1" w:rsidP="00983AE1">
      <w:pPr>
        <w:pStyle w:val="SuperHeading"/>
      </w:pPr>
      <w:r w:rsidRPr="00983AE1">
        <w:t>UET30512 Certificate III in ESI - Power Systems - Transmission Overhead</w:t>
      </w:r>
    </w:p>
    <w:p w:rsidR="00000000" w:rsidRPr="00983AE1" w:rsidP="00983AE1">
      <w:pPr>
        <w:pStyle w:val="Heading1"/>
      </w:pPr>
      <w:bookmarkStart w:id="1" w:name="O_699123"/>
      <w:bookmarkEnd w:id="1"/>
      <w:r w:rsidRPr="00983AE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Points</w:t>
            </w:r>
          </w:p>
        </w:tc>
      </w:tr>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BodyText"/>
              <w:rPr>
                <w:lang w:val="en-NZ"/>
              </w:rPr>
            </w:pPr>
            <w:r w:rsidRPr="00983AE1">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E1" w:rsidP="00983AE1">
            <w:pPr>
              <w:pStyle w:val="BodyText"/>
            </w:pPr>
            <w:r w:rsidRPr="00983AE1">
              <w:t>Update name of unit</w:t>
            </w:r>
          </w:p>
          <w:p w:rsidR="00000000" w:rsidP="00983AE1">
            <w:pPr>
              <w:pStyle w:val="BodyText"/>
              <w:rPr>
                <w:lang w:val="en-NZ"/>
              </w:rPr>
            </w:pPr>
            <w:r w:rsidRPr="00983AE1">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E1" w:rsidP="00983AE1">
            <w:pPr>
              <w:pStyle w:val="BodyText"/>
            </w:pPr>
            <w:r w:rsidRPr="00983AE1">
              <w:t>40</w:t>
            </w:r>
          </w:p>
        </w:tc>
      </w:tr>
    </w:tbl>
    <w:p w:rsidR="00000000" w:rsidRPr="00983AE1" w:rsidP="00983AE1">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TLIC3003A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20</w:t>
            </w:r>
          </w:p>
        </w:tc>
      </w:tr>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TLIC3004A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20</w:t>
            </w:r>
          </w:p>
        </w:tc>
      </w:tr>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TLILIC2015B</w:t>
            </w:r>
            <w:r w:rsidRPr="00983AE1">
              <w:tab/>
            </w:r>
            <w:r w:rsidRPr="00983AE1">
              <w:t>Licence to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20</w:t>
            </w:r>
          </w:p>
        </w:tc>
      </w:tr>
      <w:tr w:rsidTr="00F00E8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Add</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Group A</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BodyText"/>
              <w:rPr>
                <w:lang w:val="en-NZ"/>
              </w:rPr>
            </w:pPr>
            <w:r w:rsidRPr="00983AE1">
              <w:t>TLILIC2016B</w:t>
            </w:r>
            <w:r w:rsidRPr="00983AE1">
              <w:tab/>
              <w:t>Licence to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E1" w:rsidP="00983AE1">
            <w:pPr>
              <w:pStyle w:val="BodyText"/>
            </w:pPr>
            <w:r w:rsidRPr="00983AE1">
              <w:t>20</w:t>
            </w:r>
          </w:p>
        </w:tc>
      </w:tr>
    </w:tbl>
    <w:p w:rsidR="00000000" w:rsidRPr="00983AE1" w:rsidP="00983AE1">
      <w:pPr>
        <w:pStyle w:val="BodyText"/>
      </w:pPr>
    </w:p>
    <w:p w:rsidR="00000000" w:rsidRPr="00983AE1" w:rsidP="00983AE1">
      <w:pPr>
        <w:pStyle w:val="AllowPageBreak"/>
      </w:pPr>
    </w:p>
    <w:p w:rsidR="00000000" w:rsidRPr="00983AE1" w:rsidP="00983AE1">
      <w:pPr>
        <w:pStyle w:val="Heading1"/>
      </w:pPr>
      <w:bookmarkStart w:id="2" w:name="O_699122"/>
      <w:bookmarkEnd w:id="2"/>
      <w:r w:rsidRPr="00983AE1">
        <w:t>Description</w:t>
      </w:r>
    </w:p>
    <w:p w:rsidR="00000000" w:rsidRPr="00983AE1" w:rsidP="00983AE1">
      <w:pPr>
        <w:pStyle w:val="Heading4"/>
      </w:pPr>
      <w:r w:rsidRPr="00983AE1">
        <w:t>Scope:</w:t>
      </w:r>
    </w:p>
    <w:p w:rsidR="00000000" w:rsidRPr="00983AE1" w:rsidP="00983AE1">
      <w:pPr>
        <w:pStyle w:val="BodyText"/>
      </w:pPr>
      <w:r w:rsidRPr="00983AE1">
        <w:t>Those gaining this qualification will be able to acquire the skills and knowledge needed for a career in the Electricity Supply Industry. The scope of this qualification covers:</w:t>
      </w:r>
    </w:p>
    <w:p w:rsidR="00000000" w:rsidRPr="00983AE1" w:rsidP="00983AE1">
      <w:pPr>
        <w:pStyle w:val="BodyText"/>
      </w:pPr>
      <w:r w:rsidRPr="00983AE1">
        <w:t>Transmission overhead powerline industry such as erection of towers, poles, st</w:t>
      </w:r>
      <w:r w:rsidRPr="00983AE1">
        <w:t>ructures and associated hardware including the installation and maintenance of conductors and cables. Inspection procedures for overhead structures and electrical apparatus are also included.</w:t>
      </w:r>
    </w:p>
    <w:p w:rsidR="00000000" w:rsidRPr="00983AE1" w:rsidP="00983AE1">
      <w:pPr>
        <w:pStyle w:val="AllowPageBreak"/>
      </w:pPr>
    </w:p>
    <w:p w:rsidR="00000000" w:rsidRPr="00983AE1" w:rsidP="00983AE1">
      <w:pPr>
        <w:pStyle w:val="Heading1"/>
      </w:pPr>
      <w:bookmarkStart w:id="3" w:name="O_699121"/>
      <w:bookmarkEnd w:id="3"/>
      <w:r w:rsidRPr="00983AE1">
        <w:t>Pathways Information</w:t>
      </w:r>
    </w:p>
    <w:p w:rsidR="00000000" w:rsidRPr="00983AE1" w:rsidP="00983AE1">
      <w:pPr>
        <w:pStyle w:val="BodyText"/>
      </w:pPr>
      <w:r w:rsidRPr="00983AE1">
        <w:t>Not applicable.</w:t>
      </w:r>
    </w:p>
    <w:p w:rsidR="00000000" w:rsidRPr="00983AE1" w:rsidP="00983AE1">
      <w:pPr>
        <w:pStyle w:val="AllowPageBreak"/>
      </w:pPr>
    </w:p>
    <w:p w:rsidR="00000000" w:rsidRPr="00983AE1" w:rsidP="00983AE1">
      <w:pPr>
        <w:pStyle w:val="Heading1"/>
      </w:pPr>
      <w:bookmarkStart w:id="4" w:name="O_699120"/>
      <w:bookmarkEnd w:id="4"/>
      <w:r w:rsidRPr="00983AE1">
        <w:t>Licensing/Regulatory Information</w:t>
      </w:r>
    </w:p>
    <w:p w:rsidR="00000000" w:rsidRPr="00983AE1" w:rsidP="00983AE1">
      <w:pPr>
        <w:pStyle w:val="BodyText"/>
      </w:pPr>
      <w:r w:rsidRPr="00983AE1">
        <w:t>Not applicable.</w:t>
      </w:r>
    </w:p>
    <w:p w:rsidR="00000000" w:rsidRPr="00983AE1" w:rsidP="00983AE1">
      <w:pPr>
        <w:pStyle w:val="AllowPageBreak"/>
      </w:pPr>
    </w:p>
    <w:p w:rsidR="00000000" w:rsidRPr="00983AE1" w:rsidP="00983AE1">
      <w:pPr>
        <w:pStyle w:val="Heading1"/>
      </w:pPr>
      <w:bookmarkStart w:id="5" w:name="O_699119"/>
      <w:bookmarkEnd w:id="5"/>
      <w:r w:rsidRPr="00983AE1">
        <w:t>Entry Requirements</w:t>
      </w:r>
    </w:p>
    <w:p w:rsidR="00000000" w:rsidRPr="00983AE1" w:rsidP="00983AE1">
      <w:pPr>
        <w:pStyle w:val="BodyText"/>
      </w:pPr>
      <w:r w:rsidRPr="00983AE1">
        <w:t>Not applicable.</w:t>
      </w:r>
    </w:p>
    <w:p w:rsidR="00000000" w:rsidRPr="00983AE1" w:rsidP="00983AE1">
      <w:pPr>
        <w:pStyle w:val="AllowPageBreak"/>
      </w:pPr>
    </w:p>
    <w:p w:rsidR="00000000" w:rsidRPr="00983AE1" w:rsidP="00983AE1">
      <w:pPr>
        <w:pStyle w:val="Heading1"/>
      </w:pPr>
      <w:bookmarkStart w:id="6" w:name="O_699118"/>
      <w:bookmarkEnd w:id="6"/>
      <w:r w:rsidRPr="00983AE1">
        <w:t>Employability Skills Summary</w:t>
      </w:r>
    </w:p>
    <w:p w:rsidR="00000000" w:rsidRPr="00983AE1" w:rsidP="00983AE1">
      <w:pPr>
        <w:pStyle w:val="BodyText"/>
      </w:pPr>
      <w:r w:rsidRPr="00983AE1">
        <w:t>Not applicable.</w:t>
      </w:r>
    </w:p>
    <w:p w:rsidR="00000000" w:rsidRPr="00983AE1" w:rsidP="00983AE1">
      <w:pPr>
        <w:pStyle w:val="AllowPageBreak"/>
      </w:pPr>
    </w:p>
    <w:p w:rsidR="00000000" w:rsidRPr="00983AE1" w:rsidP="00983AE1">
      <w:pPr>
        <w:pStyle w:val="Heading1"/>
      </w:pPr>
      <w:bookmarkStart w:id="7" w:name="O_699117"/>
      <w:bookmarkEnd w:id="7"/>
      <w:r w:rsidRPr="00983AE1">
        <w:t>Packaging Rules</w:t>
      </w:r>
    </w:p>
    <w:p w:rsidR="00000000" w:rsidRPr="00983AE1" w:rsidP="00983AE1">
      <w:pPr>
        <w:pStyle w:val="Heading4"/>
      </w:pPr>
      <w:r w:rsidRPr="00983AE1">
        <w:t>Completion requirements</w:t>
      </w:r>
    </w:p>
    <w:p w:rsidR="00000000" w:rsidRPr="00983AE1" w:rsidP="00983AE1">
      <w:pPr>
        <w:pStyle w:val="BodyText"/>
      </w:pPr>
      <w:r w:rsidRPr="00983AE1">
        <w:t>The requirements for granting</w:t>
      </w:r>
      <w:r w:rsidRPr="00983AE1">
        <w:t xml:space="preserve"> this qualification will be met when competency is demonstrated and achieved for:</w:t>
      </w:r>
    </w:p>
    <w:p w:rsidR="00000000" w:rsidRPr="00983AE1" w:rsidP="00983AE1">
      <w:pPr>
        <w:pStyle w:val="ListBullet"/>
      </w:pPr>
      <w:r w:rsidRPr="00983AE1">
        <w:t>All the Core competency standard units, defined in the Core Competency Standard Units table below and</w:t>
      </w:r>
    </w:p>
    <w:p w:rsidR="00000000" w:rsidRPr="00983AE1" w:rsidP="00983AE1">
      <w:pPr>
        <w:pStyle w:val="ListBullet"/>
      </w:pPr>
      <w:r w:rsidRPr="00983AE1">
        <w:t>A combination of Elective competency standard units to achieve a total weighting of 220 points in accordance with the Elective Competency Standard Units table below.</w:t>
      </w:r>
    </w:p>
    <w:p w:rsidR="00000000" w:rsidRPr="00983AE1" w:rsidP="00983AE1">
      <w:pPr>
        <w:pStyle w:val="ListBullet"/>
      </w:pPr>
      <w:r w:rsidRPr="00983AE1">
        <w:t>All the required prerequisite competency standard units have been met.</w:t>
      </w:r>
    </w:p>
    <w:tbl>
      <w:tblPr>
        <w:tblW w:w="0" w:type="auto"/>
        <w:tblInd w:w="360" w:type="dxa"/>
        <w:tblLayout w:type="fixed"/>
        <w:tblCellMar>
          <w:left w:w="62" w:type="dxa"/>
          <w:right w:w="62" w:type="dxa"/>
        </w:tblCellMar>
        <w:tblLook w:val="0000"/>
      </w:tblPr>
      <w:tblGrid>
        <w:gridCol w:w="1985"/>
        <w:gridCol w:w="4961"/>
        <w:gridCol w:w="1559"/>
      </w:tblGrid>
      <w:tr w:rsidTr="00983AE1">
        <w:tblPrEx>
          <w:tblW w:w="0" w:type="auto"/>
          <w:tblInd w:w="360" w:type="dxa"/>
          <w:tblLayout w:type="fixed"/>
          <w:tblCellMar>
            <w:left w:w="62" w:type="dxa"/>
            <w:right w:w="62" w:type="dxa"/>
          </w:tblCellMar>
          <w:tblLook w:val="0000"/>
        </w:tblPrEx>
        <w:tc>
          <w:tcPr>
            <w:tcW w:w="69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Core Units — All mu</w:t>
            </w:r>
            <w:r w:rsidRPr="00983AE1">
              <w:t>st be achieved</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Weighting Points</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CPCCLDG3001A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perform dogging</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CPCCLRG3001A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perform rigging basic level</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TLILIC2005A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License to Operate a Boom Type Elevating Work Platform (Boom Length 11 Metres or more)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Apply Occupational Health Safety regulations, codes and practices in the workplace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Fabricate, assemble and dismantle utilities industry components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Solve problems in d.c. circuits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80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Fix and secure electrotechnology equipment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Use drawings, diagrams, schedules, standards, codes and specifications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UEENEEG101A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Solve problems in electromagnetic devices and related circuits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UEENEEG102A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Solve problems in low voltage a</w:t>
            </w:r>
            <w:r w:rsidRPr="00983AE1">
              <w:t>.c. circuits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80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UETTDREL11A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Apply sustainable energy and environmental procedures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UETTDREL12A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Operate plant and equipment near live electrical conductors and apparatus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UETTDREL16A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Working safely near live electrical apparatus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UETTDRIS54A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Install and maintain poles, structures,  overhead conductors and cables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UETTDRTP26A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Erect power systems transmission structures and associated hardware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UETTDRTP27A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Maintain power systems transmission structures and associated hardware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UETTDRTP29A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Install and maintain overhead transmission conductors and cables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UETTDRTP30A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Inspect overhead structures and electrical apparatus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83AE1">
            <w:pPr>
              <w:pStyle w:val="TableBodyText"/>
              <w:rPr>
                <w:lang w:val="en-NZ"/>
              </w:rPr>
            </w:pPr>
            <w:r w:rsidRPr="00983AE1">
              <w:t>UETTDRTP99A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83AE1">
            <w:pPr>
              <w:pStyle w:val="TableBodyText"/>
              <w:rPr>
                <w:lang w:val="en-NZ"/>
              </w:rPr>
            </w:pPr>
            <w:r w:rsidRPr="00983AE1">
              <w:t>Test and verify transmission overhead installations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983AE1">
        <w:tblPrEx>
          <w:tblW w:w="0" w:type="auto"/>
          <w:tblInd w:w="360" w:type="dxa"/>
          <w:tblLayout w:type="fixed"/>
          <w:tblCellMar>
            <w:left w:w="62" w:type="dxa"/>
            <w:right w:w="62" w:type="dxa"/>
          </w:tblCellMar>
          <w:tblLook w:val="0000"/>
        </w:tblPrEx>
        <w:tc>
          <w:tcPr>
            <w:tcW w:w="69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Total points in core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E1" w:rsidP="00983AE1">
            <w:pPr>
              <w:pStyle w:val="Heading4"/>
            </w:pPr>
            <w:r w:rsidRPr="00983AE1">
              <w:t>840</w:t>
            </w:r>
          </w:p>
        </w:tc>
      </w:tr>
    </w:tbl>
    <w:p w:rsidR="00000000" w:rsidRPr="00983AE1" w:rsidP="00983AE1">
      <w:pPr>
        <w:pStyle w:val="BodyText"/>
      </w:pPr>
    </w:p>
    <w:tbl>
      <w:tblPr>
        <w:tblW w:w="0" w:type="auto"/>
        <w:tblLayout w:type="fixed"/>
        <w:tblCellMar>
          <w:left w:w="62" w:type="dxa"/>
          <w:right w:w="62" w:type="dxa"/>
        </w:tblCellMar>
        <w:tblLook w:val="0000"/>
      </w:tblPr>
      <w:tblGrid>
        <w:gridCol w:w="390"/>
        <w:gridCol w:w="5560"/>
        <w:gridCol w:w="1273"/>
        <w:gridCol w:w="1282"/>
      </w:tblGrid>
      <w:tr w:rsidTr="00F00E86">
        <w:tblPrEx>
          <w:tblW w:w="0" w:type="auto"/>
          <w:tblLayout w:type="fixed"/>
          <w:tblCellMar>
            <w:left w:w="62" w:type="dxa"/>
            <w:right w:w="62" w:type="dxa"/>
          </w:tblCellMar>
          <w:tblLook w:val="0000"/>
        </w:tblPrEx>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83AE1" w:rsidP="00983AE1">
            <w:pPr>
              <w:pStyle w:val="Heading4"/>
            </w:pPr>
            <w:r w:rsidRPr="00983AE1">
              <w:t>Elective Competency Standard Units</w:t>
            </w:r>
          </w:p>
          <w:p w:rsidR="00000000" w:rsidP="00983AE1">
            <w:pPr>
              <w:pStyle w:val="TableBodyText"/>
              <w:rPr>
                <w:lang w:val="en-NZ"/>
              </w:rPr>
            </w:pPr>
            <w:r w:rsidRPr="00983AE1">
              <w:t xml:space="preserve">Complete Elective units to achieve a total of weighting of 220 points from the following groups: </w:t>
            </w:r>
          </w:p>
        </w:tc>
      </w:tr>
      <w:tr w:rsidTr="00F00E86">
        <w:tblPrEx>
          <w:tblW w:w="0" w:type="auto"/>
          <w:tblLayout w:type="fixed"/>
          <w:tblCellMar>
            <w:left w:w="62" w:type="dxa"/>
            <w:right w:w="62" w:type="dxa"/>
          </w:tblCellMar>
          <w:tblLook w:val="0000"/>
        </w:tblPrEx>
        <w:tc>
          <w:tcPr>
            <w:tcW w:w="59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Group</w:t>
            </w:r>
          </w:p>
        </w:tc>
        <w:tc>
          <w:tcPr>
            <w:tcW w:w="1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Heading4"/>
              <w:rPr>
                <w:lang w:val="en-NZ"/>
              </w:rPr>
            </w:pPr>
            <w:r w:rsidRPr="00983AE1">
              <w:t>Minimum points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Heading4"/>
              <w:rPr>
                <w:lang w:val="en-NZ"/>
              </w:rPr>
            </w:pPr>
            <w:r w:rsidRPr="00983AE1">
              <w:t>Maximum points</w:t>
            </w:r>
          </w:p>
        </w:tc>
      </w:tr>
      <w:tr w:rsidTr="00F00E86">
        <w:tblPrEx>
          <w:tblW w:w="0" w:type="auto"/>
          <w:tblLayout w:type="fixed"/>
          <w:tblCellMar>
            <w:left w:w="62" w:type="dxa"/>
            <w:right w:w="62" w:type="dxa"/>
          </w:tblCellMar>
          <w:tblLook w:val="0000"/>
        </w:tblPrEx>
        <w:trPr>
          <w:trHeight w:val="2060"/>
        </w:trPr>
        <w:tc>
          <w:tcPr>
            <w:tcW w:w="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A</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E1" w:rsidP="00983AE1">
            <w:pPr>
              <w:pStyle w:val="Heading4"/>
            </w:pPr>
            <w:r w:rsidRPr="00983AE1">
              <w:t>Imported and Common Elective Units</w:t>
            </w:r>
          </w:p>
          <w:p w:rsidR="00000000" w:rsidP="00983AE1">
            <w:pPr>
              <w:pStyle w:val="TableBodyText"/>
              <w:rPr>
                <w:lang w:val="en-NZ"/>
              </w:rPr>
            </w:pPr>
            <w:r w:rsidRPr="00983AE1">
              <w:t>Imported units from other training packages and/or state accredited courses can be added to this group, but they must be selected from qualifications where the unit is first packaged at AQF level 3.  If units have not being assigned a weighting by the rele</w:t>
            </w:r>
            <w:r w:rsidRPr="00983AE1">
              <w:t>vant EE-Oz Industry Technical Advisory Committee, their weighting will be 10 points.</w:t>
            </w:r>
          </w:p>
        </w:tc>
        <w:tc>
          <w:tcPr>
            <w:tcW w:w="1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0</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70</w:t>
            </w:r>
          </w:p>
        </w:tc>
      </w:tr>
      <w:tr w:rsidTr="00F00E86">
        <w:tblPrEx>
          <w:tblW w:w="0" w:type="auto"/>
          <w:tblLayout w:type="fixed"/>
          <w:tblCellMar>
            <w:left w:w="62" w:type="dxa"/>
            <w:right w:w="62" w:type="dxa"/>
          </w:tblCellMar>
          <w:tblLook w:val="0000"/>
        </w:tblPrEx>
        <w:tc>
          <w:tcPr>
            <w:tcW w:w="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B</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E1" w:rsidP="00983AE1">
            <w:pPr>
              <w:pStyle w:val="Heading4"/>
            </w:pPr>
            <w:r w:rsidRPr="00983AE1">
              <w:t xml:space="preserve">Qualification Electives </w:t>
            </w:r>
          </w:p>
          <w:p w:rsidR="00000000" w:rsidP="00983AE1">
            <w:pPr>
              <w:pStyle w:val="TableBodyText"/>
              <w:rPr>
                <w:lang w:val="en-NZ"/>
              </w:rPr>
            </w:pPr>
            <w:r w:rsidRPr="00983AE1">
              <w:t>You may select all your elective units from this Group</w:t>
            </w:r>
          </w:p>
        </w:tc>
        <w:tc>
          <w:tcPr>
            <w:tcW w:w="1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Heading4"/>
              <w:rPr>
                <w:lang w:val="en-NZ"/>
              </w:rPr>
            </w:pPr>
            <w:r w:rsidRPr="00983AE1">
              <w:t>160</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E1" w:rsidP="00983AE1">
            <w:pPr>
              <w:pStyle w:val="Heading4"/>
            </w:pPr>
            <w:r w:rsidRPr="00983AE1">
              <w:t>220</w:t>
            </w:r>
          </w:p>
        </w:tc>
      </w:tr>
    </w:tbl>
    <w:p w:rsidR="00000000" w:rsidRPr="00983AE1" w:rsidP="00983AE1">
      <w:pPr>
        <w:pStyle w:val="BodyText"/>
      </w:pPr>
    </w:p>
    <w:tbl>
      <w:tblPr>
        <w:tblW w:w="0" w:type="auto"/>
        <w:tblLayout w:type="fixed"/>
        <w:tblCellMar>
          <w:left w:w="62" w:type="dxa"/>
          <w:right w:w="62" w:type="dxa"/>
        </w:tblCellMar>
        <w:tblLook w:val="0000"/>
      </w:tblPr>
      <w:tblGrid>
        <w:gridCol w:w="1942"/>
        <w:gridCol w:w="5380"/>
        <w:gridCol w:w="1292"/>
      </w:tblGrid>
      <w:tr w:rsidTr="00F00E86">
        <w:tblPrEx>
          <w:tblW w:w="0" w:type="auto"/>
          <w:tblLayout w:type="fixed"/>
          <w:tblCellMar>
            <w:left w:w="62" w:type="dxa"/>
            <w:right w:w="62" w:type="dxa"/>
          </w:tblCellMar>
          <w:tblLook w:val="0000"/>
        </w:tblPrEx>
        <w:tc>
          <w:tcPr>
            <w:tcW w:w="7322"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83AE1" w:rsidP="00983AE1">
            <w:pPr>
              <w:pStyle w:val="Heading4"/>
            </w:pPr>
            <w:r w:rsidRPr="00983AE1">
              <w:t>Group A – Imported and Common Elective Units</w:t>
            </w:r>
          </w:p>
          <w:p w:rsidR="00000000" w:rsidP="00983AE1">
            <w:pPr>
              <w:pStyle w:val="Heading4"/>
              <w:rPr>
                <w:lang w:val="en-NZ"/>
              </w:rPr>
            </w:pPr>
            <w:r w:rsidRPr="00983AE1">
              <w:t>You may complete units to a maximum weighting of 60 points</w:t>
            </w:r>
          </w:p>
        </w:tc>
        <w:tc>
          <w:tcPr>
            <w:tcW w:w="1292"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83AE1">
            <w:pPr>
              <w:pStyle w:val="Heading4"/>
              <w:rPr>
                <w:lang w:val="en-NZ"/>
              </w:rPr>
            </w:pPr>
            <w:r w:rsidRPr="00983AE1">
              <w:t>Weighting Points</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CPCCLHS3001A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operate a personnel and materials hoist</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10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CPCCLHS3002A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operate a materials hoist</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10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CPCCLRG3002A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perform rigging intermediate level</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CPCCLSF2001A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erect, alter and dismantle scaffolding basic level</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F00E86">
        <w:tblPrEx>
          <w:tblW w:w="0" w:type="auto"/>
          <w:tblLayout w:type="fixed"/>
          <w:tblCellMar>
            <w:left w:w="62" w:type="dxa"/>
            <w:right w:w="62" w:type="dxa"/>
          </w:tblCellMar>
          <w:tblLook w:val="0000"/>
        </w:tblPrEx>
        <w:trPr>
          <w:trHeight w:val="564"/>
        </w:trPr>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CPCCLSF3001A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Licence to erect, alter and dismantle scaffolding intermediate level</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AHCARB205A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Operate and maintain chainsaws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TLILIC2001A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operate a forklift truck</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TLILIC2015B</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drive medium rigid vehicle</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TLILIC2016B</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drive heavy rigid vehicle</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20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TLILIC4011A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operate a slewing mobile crane (over 100 tonnes)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70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TLILIC0012A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License to operate a vehicle loading crane (Capacity 10 metre tonnes and above)</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TLILIC3003A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operate a bridge and gantry crane</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70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TLILIC3008A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operate a slewing mobile crane (up to 20 tonnes)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70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TLILIC4009A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Licence to operate a slewing mobile crane (up to 60 tonnes)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70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UEENEEE108A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Lay wiring/cabling and terminate accessories for ELV circuits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UEENEEG106A</w:t>
            </w: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Terminate cables, cords and accessories for low voltage circuits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E1" w:rsidP="00983AE1">
            <w:pPr>
              <w:pStyle w:val="TableBodyText"/>
            </w:pPr>
            <w:r w:rsidRPr="00983AE1">
              <w:t>Imported units from other training packages and/or state accredited courses can be added to this group, but they must be selected from qualifications where the unit is first packaged at AQF level 3.  If units have not being assigned a weighting by the rele</w:t>
            </w:r>
            <w:r w:rsidRPr="00983AE1">
              <w:t xml:space="preserve">vant EE-Oz Industry Technical Advisory Committee, their weighting will be 10 points. </w:t>
            </w:r>
          </w:p>
          <w:p w:rsidR="00000000" w:rsidRPr="00983AE1" w:rsidP="00983AE1">
            <w:pPr>
              <w:pStyle w:val="TableBodyText"/>
            </w:pPr>
          </w:p>
          <w:p w:rsidR="00000000" w:rsidP="00983AE1">
            <w:pPr>
              <w:pStyle w:val="TableBodyText"/>
              <w:rPr>
                <w:lang w:val="en-NZ"/>
              </w:rPr>
            </w:pPr>
            <w:r w:rsidRPr="00983AE1">
              <w:t>Note: For further information see Application of the NQC Flexibility Formula, Page 10, UET12 Electricity Supply Industry – Transmission, Distribution and Rail Sector Tra</w:t>
            </w:r>
            <w:r w:rsidRPr="00983AE1">
              <w:t>ining Package, Version 1, Volume 1 Qualification Framework.</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E1" w:rsidP="00983AE1">
            <w:pPr>
              <w:pStyle w:val="TableBodyText"/>
            </w:pPr>
            <w:r w:rsidRPr="00983AE1">
              <w:t>Up to 70 Points</w:t>
            </w:r>
          </w:p>
        </w:tc>
      </w:tr>
    </w:tbl>
    <w:p w:rsidR="00000000" w:rsidRPr="00983AE1" w:rsidP="00983AE1">
      <w:pPr>
        <w:pStyle w:val="Heading4"/>
      </w:pPr>
    </w:p>
    <w:tbl>
      <w:tblPr>
        <w:tblW w:w="0" w:type="auto"/>
        <w:tblLayout w:type="fixed"/>
        <w:tblCellMar>
          <w:left w:w="62" w:type="dxa"/>
          <w:right w:w="62" w:type="dxa"/>
        </w:tblCellMar>
        <w:tblLook w:val="0000"/>
      </w:tblPr>
      <w:tblGrid>
        <w:gridCol w:w="2026"/>
        <w:gridCol w:w="5204"/>
        <w:gridCol w:w="1275"/>
      </w:tblGrid>
      <w:tr w:rsidTr="00F00E86">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983AE1" w:rsidP="00983AE1">
            <w:pPr>
              <w:pStyle w:val="Heading4"/>
            </w:pPr>
            <w:r w:rsidRPr="00983AE1">
              <w:t>Group B – Qualification Electives</w:t>
            </w:r>
          </w:p>
          <w:p w:rsidR="00000000" w:rsidRPr="00983AE1" w:rsidP="00983AE1">
            <w:pPr>
              <w:pStyle w:val="Heading4"/>
            </w:pPr>
            <w:r w:rsidRPr="00983AE1">
              <w:t xml:space="preserve">Complete units to at least 160 points from this group.  </w:t>
            </w:r>
          </w:p>
          <w:p w:rsidR="00000000" w:rsidP="00983AE1">
            <w:pPr>
              <w:pStyle w:val="TableBodyText"/>
              <w:rPr>
                <w:lang w:val="en-NZ"/>
              </w:rPr>
            </w:pPr>
            <w:r w:rsidRPr="00983AE1">
              <w:t>You may select all your elective units from this Group.</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P="00983AE1">
            <w:pPr>
              <w:pStyle w:val="Heading4"/>
              <w:rPr>
                <w:lang w:val="en-NZ"/>
              </w:rPr>
            </w:pPr>
            <w:r w:rsidRPr="00983AE1">
              <w:t>Weighting Points</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UETTDRDP11A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Inspect overhead poles/structures and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UETTDRDP12A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Maintain overhead energised low voltage conductors and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UETTDRIS41A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Install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UETTDRIS42A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Maintain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60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UETTDRIS43A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 xml:space="preserve">Perform low voltage field switching operation to a given schedule.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UETTDRIS44A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Perform HV field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UETTDRIS52A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Install and maintain poles, st</w:t>
            </w:r>
            <w:r w:rsidRPr="00983AE1">
              <w:t>ructures and associated hardware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UETTDRIS53A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 xml:space="preserve">Install and maintain power system public lighting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UETTDRIS56A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Install and maintain low voltage overhead services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40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UETTDRIS57A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Conduct visual checking and treatment of power system poles and structures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30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UETTDRIS61A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 xml:space="preserve">Install mobile generation set for synchronised LV Genset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UETTDRSB39A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Perform power system substation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50</w:t>
            </w:r>
          </w:p>
        </w:tc>
      </w:tr>
      <w:tr w:rsidTr="00F00E86">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E1">
            <w:pPr>
              <w:pStyle w:val="TableBodyText"/>
              <w:rPr>
                <w:lang w:val="en-NZ"/>
              </w:rPr>
            </w:pPr>
            <w:r w:rsidRPr="00983AE1">
              <w:t>UETTDRVC29A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E1">
            <w:pPr>
              <w:pStyle w:val="TableBodyText"/>
              <w:rPr>
                <w:lang w:val="en-NZ"/>
              </w:rPr>
            </w:pPr>
            <w:r w:rsidRPr="00983AE1">
              <w:t>Con</w:t>
            </w:r>
            <w:r w:rsidRPr="00983AE1">
              <w:t>trol vegetation whilst performing linework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E1" w:rsidP="00983AE1">
            <w:pPr>
              <w:pStyle w:val="TableBodyText"/>
            </w:pPr>
            <w:r w:rsidRPr="00983AE1">
              <w:t>40</w:t>
            </w:r>
          </w:p>
        </w:tc>
      </w:tr>
    </w:tbl>
    <w:p w:rsidR="00000000" w:rsidRPr="00983AE1" w:rsidP="00983AE1">
      <w:pPr>
        <w:pStyle w:val="BodyText"/>
      </w:pPr>
      <w:r w:rsidRPr="00983AE1">
        <w:t xml:space="preserve">Note: </w:t>
      </w:r>
    </w:p>
    <w:p w:rsidR="00000000" w:rsidRPr="00983AE1" w:rsidP="00983AE1">
      <w:pPr>
        <w:pStyle w:val="BodyText"/>
      </w:pPr>
      <w:r w:rsidRPr="00983AE1">
        <w:t xml:space="preserve">1. </w:t>
      </w:r>
      <w:r w:rsidRPr="00983AE1">
        <w:tab/>
        <w:t>Prerequisite pathways shall be identified and met for all elective units selected.</w:t>
      </w:r>
    </w:p>
    <w:p w:rsidR="00000000" w:rsidRPr="00983AE1" w:rsidP="00983AE1">
      <w:pPr>
        <w:pStyle w:val="BodyText"/>
      </w:pPr>
      <w:r w:rsidRPr="00983AE1">
        <w:t xml:space="preserve">2. </w:t>
      </w:r>
      <w:r w:rsidRPr="00983AE1">
        <w:tab/>
      </w:r>
      <w:r w:rsidRPr="00983AE1">
        <w:t>In selecting elective units considerations to career planning advice should be given to units that form part of a prerequisite pathway for the progression to achieve particular competencies or qualification at a higher level.</w:t>
      </w:r>
    </w:p>
    <w:p w:rsidR="00000000" w:rsidRPr="00983AE1" w:rsidP="00983AE1">
      <w:pPr>
        <w:pStyle w:val="Heading4"/>
      </w:pPr>
      <w:r w:rsidRPr="00983AE1">
        <w:t>END OF QUALIFICATION</w:t>
      </w:r>
    </w:p>
    <w:p w:rsidR="00000000" w:rsidRPr="00983AE1" w:rsidP="00983AE1">
      <w:pPr>
        <w:pStyle w:val="Heading1"/>
      </w:pPr>
      <w:bookmarkStart w:id="8" w:name="O_699116"/>
      <w:bookmarkEnd w:id="8"/>
      <w:r w:rsidRPr="00983AE1">
        <w:t>Custom Content Section</w:t>
      </w:r>
    </w:p>
    <w:p w:rsidR="00000000" w:rsidRPr="00983AE1" w:rsidP="00983AE1">
      <w:pPr>
        <w:pStyle w:val="BodyText"/>
      </w:pPr>
      <w:r w:rsidRPr="00983AE1">
        <w:t>Not applicable.</w:t>
      </w:r>
    </w:p>
    <w:p w:rsidR="00000000" w:rsidRPr="00983AE1" w:rsidP="00983AE1"/>
    <w:sectPr w:rsidSect="00983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rsidRPr="00F00E86" w:rsidP="00F00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86" w:rsidP="00983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0E86" w:rsidP="00983AE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00E86" w:rsidP="00983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rsidRPr="00F00E86" w:rsidP="00F00E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86" w:rsidRPr="002D2AF8" w:rsidP="00983AE1">
    <w:pPr>
      <w:pStyle w:val="Header"/>
      <w:framePr w:wrap="around"/>
    </w:pPr>
    <w:r>
      <w:fldChar w:fldCharType="begin"/>
    </w:r>
    <w:r>
      <w:instrText xml:space="preserve"> TITLE   \* MERGEFORMAT </w:instrText>
    </w:r>
    <w:r>
      <w:fldChar w:fldCharType="separate"/>
    </w:r>
    <w:r>
      <w:t>UET30512 Certificate III in ESI - Power Systems - Transmission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F00E86" w:rsidP="00983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B05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0D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AE1"/>
    <w:pPr>
      <w:spacing w:before="360" w:after="60"/>
      <w:outlineLvl w:val="0"/>
    </w:pPr>
    <w:rPr>
      <w:sz w:val="32"/>
    </w:rPr>
  </w:style>
  <w:style w:type="paragraph" w:styleId="Heading2">
    <w:name w:val="heading 2"/>
    <w:basedOn w:val="HeadingBase"/>
    <w:next w:val="BodyText"/>
    <w:link w:val="Heading2Char"/>
    <w:qFormat/>
    <w:rsid w:val="00983AE1"/>
    <w:pPr>
      <w:keepLines/>
      <w:spacing w:before="240" w:after="120"/>
      <w:outlineLvl w:val="1"/>
    </w:pPr>
    <w:rPr>
      <w:sz w:val="28"/>
      <w:szCs w:val="40"/>
    </w:rPr>
  </w:style>
  <w:style w:type="paragraph" w:styleId="Heading3">
    <w:name w:val="heading 3"/>
    <w:basedOn w:val="HeadingBase"/>
    <w:next w:val="BodyText"/>
    <w:link w:val="Heading3Char"/>
    <w:qFormat/>
    <w:rsid w:val="00983AE1"/>
    <w:pPr>
      <w:spacing w:before="180" w:after="120"/>
      <w:outlineLvl w:val="2"/>
    </w:pPr>
    <w:rPr>
      <w:spacing w:val="-10"/>
      <w:kern w:val="32"/>
    </w:rPr>
  </w:style>
  <w:style w:type="paragraph" w:styleId="Heading4">
    <w:name w:val="heading 4"/>
    <w:basedOn w:val="HeadingBase"/>
    <w:next w:val="BodyText"/>
    <w:link w:val="Heading4Char"/>
    <w:qFormat/>
    <w:rsid w:val="00983AE1"/>
    <w:pPr>
      <w:spacing w:before="160" w:after="120"/>
      <w:outlineLvl w:val="3"/>
    </w:pPr>
    <w:rPr>
      <w:sz w:val="22"/>
    </w:rPr>
  </w:style>
  <w:style w:type="paragraph" w:styleId="Heading5">
    <w:name w:val="heading 5"/>
    <w:basedOn w:val="HeadingBase"/>
    <w:next w:val="Normal"/>
    <w:link w:val="Heading5Char"/>
    <w:qFormat/>
    <w:rsid w:val="00983AE1"/>
    <w:pPr>
      <w:spacing w:before="80"/>
      <w:outlineLvl w:val="4"/>
    </w:pPr>
    <w:rPr>
      <w:color w:val="918585"/>
      <w:sz w:val="20"/>
    </w:rPr>
  </w:style>
  <w:style w:type="paragraph" w:styleId="Heading6">
    <w:name w:val="heading 6"/>
    <w:basedOn w:val="HeadingBase"/>
    <w:next w:val="Normal"/>
    <w:link w:val="Heading6Char"/>
    <w:qFormat/>
    <w:rsid w:val="00983AE1"/>
    <w:pPr>
      <w:spacing w:before="60"/>
      <w:outlineLvl w:val="5"/>
    </w:pPr>
    <w:rPr>
      <w:color w:val="918585"/>
      <w:sz w:val="20"/>
    </w:rPr>
  </w:style>
  <w:style w:type="paragraph" w:styleId="Heading7">
    <w:name w:val="heading 7"/>
    <w:basedOn w:val="Normal"/>
    <w:next w:val="Normal"/>
    <w:link w:val="Heading7Char"/>
    <w:qFormat/>
    <w:rsid w:val="00983AE1"/>
    <w:pPr>
      <w:ind w:left="720"/>
      <w:outlineLvl w:val="6"/>
    </w:pPr>
    <w:rPr>
      <w:i/>
    </w:rPr>
  </w:style>
  <w:style w:type="paragraph" w:styleId="Heading8">
    <w:name w:val="heading 8"/>
    <w:basedOn w:val="Normal"/>
    <w:next w:val="Normal"/>
    <w:link w:val="Heading8Char"/>
    <w:qFormat/>
    <w:rsid w:val="00983AE1"/>
    <w:pPr>
      <w:ind w:left="720"/>
      <w:outlineLvl w:val="7"/>
    </w:pPr>
    <w:rPr>
      <w:i/>
    </w:rPr>
  </w:style>
  <w:style w:type="paragraph" w:styleId="Heading9">
    <w:name w:val="heading 9"/>
    <w:basedOn w:val="Normal"/>
    <w:next w:val="Normal"/>
    <w:link w:val="Heading9Char"/>
    <w:qFormat/>
    <w:rsid w:val="00983AE1"/>
    <w:pPr>
      <w:ind w:left="720"/>
      <w:outlineLvl w:val="8"/>
    </w:pPr>
    <w:rPr>
      <w:i/>
    </w:rPr>
  </w:style>
  <w:style w:type="character" w:default="1" w:styleId="DefaultParagraphFont">
    <w:name w:val="Default Paragraph Font"/>
    <w:uiPriority w:val="1"/>
    <w:unhideWhenUsed/>
    <w:rsid w:val="00983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AE1"/>
  </w:style>
  <w:style w:type="character" w:customStyle="1" w:styleId="Heading1Char">
    <w:name w:val="Heading 1 Char"/>
    <w:basedOn w:val="DefaultParagraphFont"/>
    <w:link w:val="Heading1"/>
    <w:rsid w:val="00983AE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3AE1"/>
    <w:rPr>
      <w:rFonts w:ascii="Times New Roman" w:eastAsia="Times New Roman" w:hAnsi="Times New Roman" w:cs="Times New Roman"/>
      <w:b/>
      <w:szCs w:val="20"/>
      <w:lang w:eastAsia="en-US"/>
    </w:rPr>
  </w:style>
  <w:style w:type="paragraph" w:styleId="BodyText">
    <w:name w:val="Body Text"/>
    <w:basedOn w:val="Normal"/>
    <w:link w:val="BodyTextChar"/>
    <w:rsid w:val="00983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AE1"/>
    <w:rPr>
      <w:rFonts w:ascii="Times New Roman" w:eastAsia="Times New Roman" w:hAnsi="Times New Roman" w:cs="Times New Roman"/>
      <w:sz w:val="24"/>
      <w:lang w:eastAsia="en-US"/>
    </w:rPr>
  </w:style>
  <w:style w:type="paragraph" w:styleId="ListBullet">
    <w:name w:val="List Bullet"/>
    <w:basedOn w:val="List"/>
    <w:rsid w:val="00983AE1"/>
    <w:pPr>
      <w:numPr>
        <w:numId w:val="12"/>
      </w:numPr>
      <w:tabs>
        <w:tab w:val="clear" w:pos="340"/>
      </w:tabs>
      <w:spacing w:before="40" w:after="40"/>
    </w:pPr>
  </w:style>
  <w:style w:type="paragraph" w:customStyle="1" w:styleId="SuperHeading">
    <w:name w:val="SuperHeading"/>
    <w:basedOn w:val="Normal"/>
    <w:rsid w:val="00983AE1"/>
    <w:pPr>
      <w:spacing w:before="240" w:after="120"/>
      <w:outlineLvl w:val="0"/>
    </w:pPr>
    <w:rPr>
      <w:rFonts w:ascii="Times New Roman" w:hAnsi="Times New Roman"/>
      <w:b/>
      <w:sz w:val="32"/>
    </w:rPr>
  </w:style>
  <w:style w:type="paragraph" w:customStyle="1" w:styleId="AllowPageBreak">
    <w:name w:val="AllowPageBreak"/>
    <w:rsid w:val="00983A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83AE1"/>
    <w:pPr>
      <w:spacing w:before="60" w:after="60"/>
    </w:pPr>
  </w:style>
  <w:style w:type="character" w:customStyle="1" w:styleId="Heading2Char">
    <w:name w:val="Heading 2 Char"/>
    <w:basedOn w:val="DefaultParagraphFont"/>
    <w:link w:val="Heading2"/>
    <w:rsid w:val="00983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AE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3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AE1"/>
    <w:rPr>
      <w:rFonts w:ascii="Courier New" w:eastAsia="Times New Roman" w:hAnsi="Courier New" w:cs="Times New Roman"/>
      <w:i/>
      <w:szCs w:val="20"/>
      <w:lang w:eastAsia="en-US"/>
    </w:rPr>
  </w:style>
  <w:style w:type="paragraph" w:customStyle="1" w:styleId="HeadingBase">
    <w:name w:val="Heading Base"/>
    <w:rsid w:val="00983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AE1"/>
    <w:pPr>
      <w:tabs>
        <w:tab w:val="right" w:leader="dot" w:pos="9072"/>
      </w:tabs>
      <w:ind w:left="567"/>
    </w:pPr>
    <w:rPr>
      <w:szCs w:val="22"/>
    </w:rPr>
  </w:style>
  <w:style w:type="paragraph" w:customStyle="1" w:styleId="TOCBase">
    <w:name w:val="TOC Base"/>
    <w:rsid w:val="00983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AE1"/>
    <w:pPr>
      <w:tabs>
        <w:tab w:val="right" w:leader="dot" w:pos="9072"/>
      </w:tabs>
      <w:spacing w:before="40" w:after="40"/>
      <w:ind w:left="284"/>
    </w:pPr>
    <w:rPr>
      <w:rFonts w:ascii="Times New Roman" w:hAnsi="Times New Roman"/>
    </w:rPr>
  </w:style>
  <w:style w:type="paragraph" w:styleId="TOC1">
    <w:name w:val="toc 1"/>
    <w:basedOn w:val="TOCBase"/>
    <w:next w:val="Normal"/>
    <w:rsid w:val="00983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AE1"/>
    <w:rPr>
      <w:rFonts w:ascii="Times New Roman" w:eastAsia="Times New Roman" w:hAnsi="Times New Roman" w:cs="Times New Roman"/>
      <w:sz w:val="16"/>
      <w:lang w:eastAsia="en-US"/>
    </w:rPr>
  </w:style>
  <w:style w:type="paragraph" w:styleId="Title">
    <w:name w:val="Title"/>
    <w:basedOn w:val="HeadingBase"/>
    <w:link w:val="TitleChar"/>
    <w:qFormat/>
    <w:rsid w:val="00983AE1"/>
    <w:pPr>
      <w:spacing w:before="5040"/>
      <w:jc w:val="center"/>
    </w:pPr>
    <w:rPr>
      <w:sz w:val="48"/>
      <w:szCs w:val="72"/>
      <w:lang w:val="en-US"/>
    </w:rPr>
  </w:style>
  <w:style w:type="character" w:customStyle="1" w:styleId="TitleChar">
    <w:name w:val="Title Char"/>
    <w:basedOn w:val="DefaultParagraphFont"/>
    <w:link w:val="Title"/>
    <w:rsid w:val="00983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AE1"/>
    <w:pPr>
      <w:tabs>
        <w:tab w:val="left" w:pos="3600"/>
        <w:tab w:val="left" w:pos="3958"/>
      </w:tabs>
    </w:pPr>
  </w:style>
  <w:style w:type="paragraph" w:styleId="List">
    <w:name w:val="List"/>
    <w:basedOn w:val="BodyText"/>
    <w:next w:val="BodyText"/>
    <w:rsid w:val="00983AE1"/>
    <w:pPr>
      <w:tabs>
        <w:tab w:val="left" w:pos="340"/>
      </w:tabs>
      <w:spacing w:before="60" w:after="60"/>
      <w:ind w:left="340" w:hanging="340"/>
    </w:pPr>
  </w:style>
  <w:style w:type="paragraph" w:customStyle="1" w:styleId="Note">
    <w:name w:val="Note"/>
    <w:basedOn w:val="BodyText"/>
    <w:rsid w:val="00983A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AE1"/>
    <w:rPr>
      <w:b/>
      <w:spacing w:val="0"/>
    </w:rPr>
  </w:style>
  <w:style w:type="paragraph" w:customStyle="1" w:styleId="SuperTitle">
    <w:name w:val="SuperTitle"/>
    <w:basedOn w:val="Title"/>
    <w:rsid w:val="00983AE1"/>
    <w:pPr>
      <w:framePr w:wrap="auto" w:hAnchor="text" w:y="6049"/>
    </w:pPr>
    <w:rPr>
      <w:color w:val="000000"/>
      <w:sz w:val="40"/>
    </w:rPr>
  </w:style>
  <w:style w:type="paragraph" w:customStyle="1" w:styleId="TOCTitle">
    <w:name w:val="TOCTitle"/>
    <w:basedOn w:val="Heading1"/>
    <w:rsid w:val="00983AE1"/>
    <w:pPr>
      <w:spacing w:after="240"/>
      <w:jc w:val="center"/>
      <w:outlineLvl w:val="9"/>
    </w:pPr>
    <w:rPr>
      <w:caps/>
    </w:rPr>
  </w:style>
  <w:style w:type="paragraph" w:customStyle="1" w:styleId="Version">
    <w:name w:val="Version"/>
    <w:rsid w:val="00983A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AE1"/>
    <w:pPr>
      <w:numPr>
        <w:numId w:val="13"/>
      </w:numPr>
      <w:tabs>
        <w:tab w:val="clear" w:pos="680"/>
      </w:tabs>
    </w:pPr>
  </w:style>
  <w:style w:type="paragraph" w:styleId="Index1">
    <w:name w:val="index 1"/>
    <w:basedOn w:val="Normal"/>
    <w:next w:val="Normal"/>
    <w:semiHidden/>
    <w:rsid w:val="00983AE1"/>
    <w:pPr>
      <w:keepNext w:val="0"/>
      <w:tabs>
        <w:tab w:val="right" w:pos="4176"/>
      </w:tabs>
      <w:ind w:left="198" w:hanging="198"/>
    </w:pPr>
    <w:rPr>
      <w:rFonts w:ascii="Garamond" w:hAnsi="Garamond"/>
    </w:rPr>
  </w:style>
  <w:style w:type="paragraph" w:styleId="IndexHeading">
    <w:name w:val="index heading"/>
    <w:basedOn w:val="Normal"/>
    <w:next w:val="Index1"/>
    <w:semiHidden/>
    <w:rsid w:val="00983AE1"/>
    <w:pPr>
      <w:spacing w:before="120" w:after="120"/>
    </w:pPr>
    <w:rPr>
      <w:rFonts w:ascii="Arial" w:hAnsi="Arial"/>
      <w:b/>
      <w:color w:val="918585"/>
      <w:sz w:val="24"/>
    </w:rPr>
  </w:style>
  <w:style w:type="paragraph" w:styleId="Header">
    <w:name w:val="header"/>
    <w:basedOn w:val="Normal"/>
    <w:link w:val="HeaderChar"/>
    <w:rsid w:val="00983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AE1"/>
    <w:rPr>
      <w:rFonts w:ascii="Times New Roman" w:eastAsia="Times New Roman" w:hAnsi="Times New Roman" w:cs="Times New Roman"/>
      <w:sz w:val="16"/>
      <w:szCs w:val="20"/>
      <w:lang w:val="en-GB" w:eastAsia="en-US"/>
    </w:rPr>
  </w:style>
  <w:style w:type="paragraph" w:customStyle="1" w:styleId="Chapter">
    <w:name w:val="Chapter"/>
    <w:basedOn w:val="Normal"/>
    <w:rsid w:val="00983AE1"/>
    <w:pPr>
      <w:spacing w:before="240"/>
    </w:pPr>
    <w:rPr>
      <w:rFonts w:ascii="Times New Roman" w:hAnsi="Times New Roman"/>
      <w:smallCaps/>
      <w:spacing w:val="80"/>
      <w:sz w:val="28"/>
    </w:rPr>
  </w:style>
  <w:style w:type="paragraph" w:customStyle="1" w:styleId="InChapter">
    <w:name w:val="InChapter"/>
    <w:basedOn w:val="Heading3"/>
    <w:rsid w:val="00983AE1"/>
    <w:pPr>
      <w:spacing w:after="240"/>
      <w:outlineLvl w:val="9"/>
    </w:pPr>
    <w:rPr>
      <w:noProof/>
    </w:rPr>
  </w:style>
  <w:style w:type="paragraph" w:styleId="Index2">
    <w:name w:val="index 2"/>
    <w:basedOn w:val="Normal"/>
    <w:next w:val="Normal"/>
    <w:semiHidden/>
    <w:rsid w:val="00983AE1"/>
    <w:pPr>
      <w:tabs>
        <w:tab w:val="right" w:pos="4176"/>
      </w:tabs>
      <w:ind w:left="568" w:hanging="284"/>
    </w:pPr>
    <w:rPr>
      <w:rFonts w:ascii="Garamond" w:hAnsi="Garamond"/>
    </w:rPr>
  </w:style>
  <w:style w:type="paragraph" w:customStyle="1" w:styleId="Byline">
    <w:name w:val="Byline"/>
    <w:rsid w:val="00983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AE1"/>
    <w:pPr>
      <w:tabs>
        <w:tab w:val="clear" w:pos="3600"/>
        <w:tab w:val="clear" w:pos="3958"/>
      </w:tabs>
      <w:jc w:val="right"/>
    </w:pPr>
  </w:style>
  <w:style w:type="character" w:styleId="Emphasis">
    <w:name w:val="Emphasis"/>
    <w:basedOn w:val="DefaultParagraphFont"/>
    <w:qFormat/>
    <w:rsid w:val="00983AE1"/>
    <w:rPr>
      <w:i/>
    </w:rPr>
  </w:style>
  <w:style w:type="paragraph" w:styleId="Caption">
    <w:name w:val="caption"/>
    <w:basedOn w:val="BodyText"/>
    <w:next w:val="Normal"/>
    <w:qFormat/>
    <w:rsid w:val="00983AE1"/>
    <w:pPr>
      <w:framePr w:w="2268" w:hSpace="181" w:vSpace="181" w:wrap="around" w:vAnchor="text" w:hAnchor="page" w:x="1135" w:y="285" w:anchorLock="1"/>
    </w:pPr>
    <w:rPr>
      <w:i/>
    </w:rPr>
  </w:style>
  <w:style w:type="paragraph" w:customStyle="1" w:styleId="MiniTOCTitle">
    <w:name w:val="MiniTOCTitle"/>
    <w:basedOn w:val="Heading4"/>
    <w:rsid w:val="00983AE1"/>
    <w:pPr>
      <w:spacing w:before="240"/>
      <w:outlineLvl w:val="9"/>
    </w:pPr>
    <w:rPr>
      <w:noProof/>
      <w:sz w:val="24"/>
    </w:rPr>
  </w:style>
  <w:style w:type="paragraph" w:customStyle="1" w:styleId="MiniTOCItem">
    <w:name w:val="MiniTOCItem"/>
    <w:basedOn w:val="ListBullet"/>
    <w:rsid w:val="00983AE1"/>
    <w:pPr>
      <w:numPr>
        <w:numId w:val="0"/>
      </w:numPr>
      <w:tabs>
        <w:tab w:val="right" w:leader="dot" w:pos="6521"/>
      </w:tabs>
      <w:spacing w:before="0" w:after="0"/>
    </w:pPr>
  </w:style>
  <w:style w:type="paragraph" w:customStyle="1" w:styleId="TOFTitle">
    <w:name w:val="TOFTitle"/>
    <w:basedOn w:val="TOCTitle"/>
    <w:rsid w:val="00983AE1"/>
  </w:style>
  <w:style w:type="paragraph" w:styleId="TableofFigures">
    <w:name w:val="table of figures"/>
    <w:basedOn w:val="Normal"/>
    <w:next w:val="Normal"/>
    <w:semiHidden/>
    <w:rsid w:val="00983AE1"/>
    <w:pPr>
      <w:tabs>
        <w:tab w:val="right" w:leader="dot" w:pos="9072"/>
      </w:tabs>
      <w:ind w:left="970" w:hanging="403"/>
    </w:pPr>
    <w:rPr>
      <w:rFonts w:ascii="Times New Roman" w:hAnsi="Times New Roman"/>
      <w:b/>
    </w:rPr>
  </w:style>
  <w:style w:type="paragraph" w:styleId="ListNumber">
    <w:name w:val="List Number"/>
    <w:basedOn w:val="List"/>
    <w:rsid w:val="00983AE1"/>
    <w:pPr>
      <w:numPr>
        <w:numId w:val="10"/>
      </w:numPr>
    </w:pPr>
  </w:style>
  <w:style w:type="character" w:customStyle="1" w:styleId="WingdingSymbols">
    <w:name w:val="Wingding Symbols"/>
    <w:rsid w:val="00983AE1"/>
    <w:rPr>
      <w:rFonts w:ascii="Wingdings" w:hAnsi="Wingdings"/>
    </w:rPr>
  </w:style>
  <w:style w:type="paragraph" w:customStyle="1" w:styleId="TableHeading">
    <w:name w:val="Table Heading"/>
    <w:basedOn w:val="HeadingBase"/>
    <w:rsid w:val="00983AE1"/>
    <w:pPr>
      <w:keepLines/>
      <w:pBdr>
        <w:bottom w:val="single" w:sz="6" w:space="1" w:color="918585"/>
      </w:pBdr>
      <w:spacing w:before="240"/>
    </w:pPr>
  </w:style>
  <w:style w:type="character" w:customStyle="1" w:styleId="HotSpot">
    <w:name w:val="HotSpot"/>
    <w:rsid w:val="00983AE1"/>
    <w:rPr>
      <w:color w:val="0033CC"/>
      <w:u w:val="none"/>
    </w:rPr>
  </w:style>
  <w:style w:type="paragraph" w:customStyle="1" w:styleId="BodyTextRight">
    <w:name w:val="Body Text Right"/>
    <w:basedOn w:val="BodyText"/>
    <w:rsid w:val="00983AE1"/>
    <w:pPr>
      <w:spacing w:before="0" w:after="0"/>
      <w:jc w:val="right"/>
    </w:pPr>
  </w:style>
  <w:style w:type="paragraph" w:styleId="Index3">
    <w:name w:val="index 3"/>
    <w:basedOn w:val="ListNumber2"/>
    <w:next w:val="Normal"/>
    <w:semiHidden/>
    <w:rsid w:val="00983AE1"/>
    <w:pPr>
      <w:numPr>
        <w:numId w:val="0"/>
      </w:numPr>
      <w:tabs>
        <w:tab w:val="right" w:leader="dot" w:pos="4176"/>
      </w:tabs>
    </w:pPr>
  </w:style>
  <w:style w:type="paragraph" w:styleId="ListNumber2">
    <w:name w:val="List Number 2"/>
    <w:basedOn w:val="List2"/>
    <w:rsid w:val="00983AE1"/>
    <w:pPr>
      <w:numPr>
        <w:numId w:val="9"/>
      </w:numPr>
      <w:tabs>
        <w:tab w:val="clear" w:pos="1060"/>
      </w:tabs>
    </w:pPr>
  </w:style>
  <w:style w:type="paragraph" w:customStyle="1" w:styleId="MarginNote">
    <w:name w:val="Margin Note"/>
    <w:basedOn w:val="BodyText"/>
    <w:rsid w:val="00983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AE1"/>
    <w:rPr>
      <w:sz w:val="32"/>
    </w:rPr>
  </w:style>
  <w:style w:type="paragraph" w:customStyle="1" w:styleId="HeadingProcedure">
    <w:name w:val="Heading Procedure"/>
    <w:basedOn w:val="HeadingBase"/>
    <w:next w:val="Normal"/>
    <w:rsid w:val="00983AE1"/>
    <w:pPr>
      <w:tabs>
        <w:tab w:val="left" w:pos="0"/>
      </w:tabs>
      <w:spacing w:before="120" w:after="60"/>
    </w:pPr>
    <w:rPr>
      <w:i/>
      <w:color w:val="918585"/>
      <w:sz w:val="22"/>
    </w:rPr>
  </w:style>
  <w:style w:type="paragraph" w:styleId="ListContinue">
    <w:name w:val="List Continue"/>
    <w:basedOn w:val="List"/>
    <w:rsid w:val="00983AE1"/>
    <w:pPr>
      <w:ind w:firstLine="0"/>
    </w:pPr>
  </w:style>
  <w:style w:type="paragraph" w:customStyle="1" w:styleId="ListNote">
    <w:name w:val="List Note"/>
    <w:basedOn w:val="List"/>
    <w:rsid w:val="00983AE1"/>
    <w:pPr>
      <w:pBdr>
        <w:top w:val="single" w:sz="6" w:space="2" w:color="918585"/>
        <w:bottom w:val="single" w:sz="6" w:space="2" w:color="918585"/>
      </w:pBdr>
      <w:tabs>
        <w:tab w:val="left" w:pos="1021"/>
      </w:tabs>
      <w:ind w:firstLine="0"/>
    </w:pPr>
  </w:style>
  <w:style w:type="paragraph" w:customStyle="1" w:styleId="Warning">
    <w:name w:val="Warning"/>
    <w:basedOn w:val="BodyText"/>
    <w:rsid w:val="00983AE1"/>
    <w:pPr>
      <w:shd w:val="clear" w:color="auto" w:fill="D9D9D9"/>
      <w:tabs>
        <w:tab w:val="left" w:pos="992"/>
      </w:tabs>
      <w:ind w:left="119" w:right="119"/>
    </w:pPr>
    <w:rPr>
      <w:sz w:val="20"/>
    </w:rPr>
  </w:style>
  <w:style w:type="paragraph" w:customStyle="1" w:styleId="MarginIcons">
    <w:name w:val="Margin Icons"/>
    <w:basedOn w:val="BodyText"/>
    <w:rsid w:val="00983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AE1"/>
    <w:rPr>
      <w:rFonts w:ascii="Courier New" w:hAnsi="Courier New"/>
    </w:rPr>
  </w:style>
  <w:style w:type="paragraph" w:customStyle="1" w:styleId="NoteBullet">
    <w:name w:val="Note Bullet"/>
    <w:basedOn w:val="Note"/>
    <w:rsid w:val="00983AE1"/>
    <w:pPr>
      <w:tabs>
        <w:tab w:val="clear" w:pos="680"/>
      </w:tabs>
      <w:spacing w:before="60" w:after="60"/>
    </w:pPr>
  </w:style>
  <w:style w:type="paragraph" w:customStyle="1" w:styleId="SubHeading2">
    <w:name w:val="SubHeading2"/>
    <w:basedOn w:val="HeadingBase"/>
    <w:rsid w:val="00983AE1"/>
    <w:pPr>
      <w:spacing w:before="240" w:after="60"/>
    </w:pPr>
    <w:rPr>
      <w:sz w:val="20"/>
    </w:rPr>
  </w:style>
  <w:style w:type="paragraph" w:customStyle="1" w:styleId="SubHeading1">
    <w:name w:val="SubHeading1"/>
    <w:basedOn w:val="HeadingBase"/>
    <w:rsid w:val="00983AE1"/>
    <w:pPr>
      <w:spacing w:before="240" w:after="60"/>
    </w:pPr>
    <w:rPr>
      <w:color w:val="918585"/>
      <w:sz w:val="22"/>
    </w:rPr>
  </w:style>
  <w:style w:type="paragraph" w:customStyle="1" w:styleId="SideHeading">
    <w:name w:val="Side Heading"/>
    <w:basedOn w:val="HeadingBase"/>
    <w:rsid w:val="00983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AE1"/>
    <w:pPr>
      <w:tabs>
        <w:tab w:val="num" w:pos="360"/>
      </w:tabs>
    </w:pPr>
  </w:style>
  <w:style w:type="paragraph" w:styleId="PlainText">
    <w:name w:val="Plain Text"/>
    <w:basedOn w:val="Normal"/>
    <w:link w:val="PlainTextChar"/>
    <w:rsid w:val="00983AE1"/>
    <w:rPr>
      <w:sz w:val="20"/>
    </w:rPr>
  </w:style>
  <w:style w:type="character" w:customStyle="1" w:styleId="PlainTextChar">
    <w:name w:val="Plain Text Char"/>
    <w:basedOn w:val="DefaultParagraphFont"/>
    <w:link w:val="PlainText"/>
    <w:rsid w:val="00983AE1"/>
    <w:rPr>
      <w:rFonts w:ascii="Courier New" w:eastAsia="Times New Roman" w:hAnsi="Courier New" w:cs="Times New Roman"/>
      <w:sz w:val="20"/>
      <w:szCs w:val="20"/>
      <w:lang w:eastAsia="en-US"/>
    </w:rPr>
  </w:style>
  <w:style w:type="character" w:customStyle="1" w:styleId="MenuOption">
    <w:name w:val="Menu Option"/>
    <w:basedOn w:val="DefaultParagraphFont"/>
    <w:rsid w:val="00983AE1"/>
    <w:rPr>
      <w:b/>
      <w:smallCaps/>
    </w:rPr>
  </w:style>
  <w:style w:type="paragraph" w:customStyle="1" w:styleId="TableListNumber">
    <w:name w:val="Table List Number"/>
    <w:basedOn w:val="ListNumber"/>
    <w:rsid w:val="00983AE1"/>
    <w:pPr>
      <w:numPr>
        <w:numId w:val="0"/>
      </w:numPr>
    </w:pPr>
  </w:style>
  <w:style w:type="paragraph" w:styleId="TOC4">
    <w:name w:val="toc 4"/>
    <w:basedOn w:val="TOCBase"/>
    <w:next w:val="Normal"/>
    <w:semiHidden/>
    <w:rsid w:val="00983AE1"/>
    <w:pPr>
      <w:tabs>
        <w:tab w:val="right" w:leader="dot" w:pos="9071"/>
      </w:tabs>
      <w:ind w:left="1701"/>
    </w:pPr>
  </w:style>
  <w:style w:type="paragraph" w:customStyle="1" w:styleId="ListAlpha">
    <w:name w:val="List Alpha"/>
    <w:basedOn w:val="List"/>
    <w:rsid w:val="00983AE1"/>
    <w:pPr>
      <w:numPr>
        <w:numId w:val="8"/>
      </w:numPr>
    </w:pPr>
  </w:style>
  <w:style w:type="paragraph" w:customStyle="1" w:styleId="ListAlpha2">
    <w:name w:val="List Alpha 2"/>
    <w:basedOn w:val="List2"/>
    <w:rsid w:val="00983AE1"/>
    <w:pPr>
      <w:numPr>
        <w:numId w:val="7"/>
      </w:numPr>
    </w:pPr>
  </w:style>
  <w:style w:type="paragraph" w:styleId="List2">
    <w:name w:val="List 2"/>
    <w:basedOn w:val="BodyText"/>
    <w:rsid w:val="00983AE1"/>
    <w:pPr>
      <w:tabs>
        <w:tab w:val="left" w:pos="680"/>
      </w:tabs>
      <w:spacing w:before="60" w:after="60"/>
      <w:ind w:left="680" w:hanging="340"/>
    </w:pPr>
  </w:style>
  <w:style w:type="paragraph" w:styleId="List3">
    <w:name w:val="List 3"/>
    <w:basedOn w:val="BodyText"/>
    <w:rsid w:val="00983AE1"/>
    <w:pPr>
      <w:tabs>
        <w:tab w:val="left" w:pos="1021"/>
      </w:tabs>
      <w:spacing w:before="60" w:after="60"/>
      <w:ind w:left="1020" w:hanging="340"/>
    </w:pPr>
  </w:style>
  <w:style w:type="paragraph" w:styleId="List4">
    <w:name w:val="List 4"/>
    <w:basedOn w:val="BodyText"/>
    <w:rsid w:val="00983AE1"/>
    <w:pPr>
      <w:tabs>
        <w:tab w:val="left" w:pos="1361"/>
      </w:tabs>
      <w:spacing w:before="60" w:after="60"/>
      <w:ind w:left="1361" w:hanging="340"/>
    </w:pPr>
  </w:style>
  <w:style w:type="paragraph" w:styleId="List5">
    <w:name w:val="List 5"/>
    <w:basedOn w:val="BodyText"/>
    <w:rsid w:val="00983AE1"/>
    <w:pPr>
      <w:tabs>
        <w:tab w:val="left" w:pos="1701"/>
      </w:tabs>
      <w:spacing w:before="60" w:after="60"/>
      <w:ind w:left="1701" w:hanging="340"/>
    </w:pPr>
  </w:style>
  <w:style w:type="paragraph" w:styleId="ListBullet3">
    <w:name w:val="List Bullet 3"/>
    <w:basedOn w:val="List3"/>
    <w:rsid w:val="00983AE1"/>
    <w:pPr>
      <w:numPr>
        <w:numId w:val="14"/>
      </w:numPr>
      <w:tabs>
        <w:tab w:val="clear" w:pos="1021"/>
      </w:tabs>
      <w:ind w:left="1037" w:hanging="357"/>
    </w:pPr>
  </w:style>
  <w:style w:type="paragraph" w:styleId="ListBullet4">
    <w:name w:val="List Bullet 4"/>
    <w:basedOn w:val="List4"/>
    <w:rsid w:val="00983AE1"/>
    <w:pPr>
      <w:numPr>
        <w:numId w:val="2"/>
      </w:numPr>
    </w:pPr>
  </w:style>
  <w:style w:type="paragraph" w:styleId="ListBullet5">
    <w:name w:val="List Bullet 5"/>
    <w:basedOn w:val="List5"/>
    <w:rsid w:val="00983AE1"/>
    <w:pPr>
      <w:numPr>
        <w:numId w:val="3"/>
      </w:numPr>
    </w:pPr>
  </w:style>
  <w:style w:type="paragraph" w:styleId="ListContinue2">
    <w:name w:val="List Continue 2"/>
    <w:basedOn w:val="List2"/>
    <w:rsid w:val="00983AE1"/>
    <w:pPr>
      <w:ind w:firstLine="0"/>
    </w:pPr>
  </w:style>
  <w:style w:type="paragraph" w:styleId="ListContinue3">
    <w:name w:val="List Continue 3"/>
    <w:basedOn w:val="List3"/>
    <w:rsid w:val="00983AE1"/>
    <w:pPr>
      <w:ind w:left="1021" w:firstLine="0"/>
    </w:pPr>
  </w:style>
  <w:style w:type="paragraph" w:styleId="ListContinue4">
    <w:name w:val="List Continue 4"/>
    <w:basedOn w:val="List4"/>
    <w:rsid w:val="00983AE1"/>
    <w:pPr>
      <w:ind w:firstLine="0"/>
    </w:pPr>
  </w:style>
  <w:style w:type="paragraph" w:styleId="ListContinue5">
    <w:name w:val="List Continue 5"/>
    <w:basedOn w:val="List5"/>
    <w:rsid w:val="00983AE1"/>
    <w:pPr>
      <w:ind w:firstLine="0"/>
    </w:pPr>
  </w:style>
  <w:style w:type="paragraph" w:styleId="ListNumber3">
    <w:name w:val="List Number 3"/>
    <w:basedOn w:val="List3"/>
    <w:rsid w:val="00983AE1"/>
    <w:pPr>
      <w:numPr>
        <w:numId w:val="4"/>
      </w:numPr>
    </w:pPr>
  </w:style>
  <w:style w:type="paragraph" w:styleId="ListNumber4">
    <w:name w:val="List Number 4"/>
    <w:basedOn w:val="List4"/>
    <w:rsid w:val="00983AE1"/>
    <w:pPr>
      <w:numPr>
        <w:numId w:val="5"/>
      </w:numPr>
    </w:pPr>
  </w:style>
  <w:style w:type="paragraph" w:styleId="ListNumber5">
    <w:name w:val="List Number 5"/>
    <w:basedOn w:val="List5"/>
    <w:rsid w:val="00983AE1"/>
    <w:pPr>
      <w:numPr>
        <w:numId w:val="6"/>
      </w:numPr>
    </w:pPr>
  </w:style>
  <w:style w:type="paragraph" w:styleId="BlockText">
    <w:name w:val="Block Text"/>
    <w:basedOn w:val="Normal"/>
    <w:rsid w:val="00983AE1"/>
    <w:pPr>
      <w:spacing w:after="120"/>
      <w:ind w:left="1440" w:right="1440"/>
    </w:pPr>
  </w:style>
  <w:style w:type="character" w:customStyle="1" w:styleId="Subscript">
    <w:name w:val="Subscript"/>
    <w:basedOn w:val="DefaultParagraphFont"/>
    <w:rsid w:val="00983AE1"/>
    <w:rPr>
      <w:sz w:val="16"/>
      <w:vertAlign w:val="subscript"/>
    </w:rPr>
  </w:style>
  <w:style w:type="character" w:customStyle="1" w:styleId="Superscript">
    <w:name w:val="Superscript"/>
    <w:basedOn w:val="DefaultParagraphFont"/>
    <w:rsid w:val="00983AE1"/>
    <w:rPr>
      <w:sz w:val="16"/>
      <w:vertAlign w:val="superscript"/>
    </w:rPr>
  </w:style>
  <w:style w:type="character" w:customStyle="1" w:styleId="Symbols">
    <w:name w:val="Symbols"/>
    <w:basedOn w:val="DefaultParagraphFont"/>
    <w:rsid w:val="00983AE1"/>
    <w:rPr>
      <w:rFonts w:ascii="Symbol" w:hAnsi="Symbol"/>
    </w:rPr>
  </w:style>
  <w:style w:type="character" w:customStyle="1" w:styleId="MenuOptions">
    <w:name w:val="Menu Options"/>
    <w:basedOn w:val="DefaultParagraphFont"/>
    <w:rsid w:val="00983AE1"/>
    <w:rPr>
      <w:rFonts w:ascii="Arial Narrow" w:hAnsi="Arial Narrow"/>
      <w:smallCaps/>
    </w:rPr>
  </w:style>
  <w:style w:type="character" w:customStyle="1" w:styleId="Buttons">
    <w:name w:val="Buttons"/>
    <w:basedOn w:val="DefaultParagraphFont"/>
    <w:rsid w:val="00983AE1"/>
    <w:rPr>
      <w:b/>
    </w:rPr>
  </w:style>
  <w:style w:type="character" w:customStyle="1" w:styleId="Underlined">
    <w:name w:val="Underlined"/>
    <w:basedOn w:val="DefaultParagraphFont"/>
    <w:rsid w:val="00983AE1"/>
    <w:rPr>
      <w:u w:val="single"/>
    </w:rPr>
  </w:style>
  <w:style w:type="paragraph" w:customStyle="1" w:styleId="TableBodyTextRight">
    <w:name w:val="Table Body Text Right"/>
    <w:basedOn w:val="TableBodyText"/>
    <w:rsid w:val="00983AE1"/>
    <w:pPr>
      <w:widowControl w:val="0"/>
      <w:autoSpaceDE w:val="0"/>
      <w:autoSpaceDN w:val="0"/>
      <w:adjustRightInd w:val="0"/>
      <w:jc w:val="right"/>
    </w:pPr>
    <w:rPr>
      <w:rFonts w:cs="Arial"/>
      <w:szCs w:val="18"/>
    </w:rPr>
  </w:style>
  <w:style w:type="paragraph" w:customStyle="1" w:styleId="CopyrightText">
    <w:name w:val="Copyright Text"/>
    <w:basedOn w:val="BodyText"/>
    <w:rsid w:val="00983AE1"/>
    <w:rPr>
      <w:sz w:val="18"/>
    </w:rPr>
  </w:style>
  <w:style w:type="paragraph" w:customStyle="1" w:styleId="BodySmallRight">
    <w:name w:val="Body Small Right"/>
    <w:basedOn w:val="BodyTextRight"/>
    <w:rsid w:val="00983AE1"/>
    <w:rPr>
      <w:sz w:val="18"/>
      <w:szCs w:val="18"/>
    </w:rPr>
  </w:style>
  <w:style w:type="paragraph" w:customStyle="1" w:styleId="MarginEdition">
    <w:name w:val="Margin Edition"/>
    <w:basedOn w:val="MarginNote"/>
    <w:rsid w:val="00983AE1"/>
    <w:pPr>
      <w:spacing w:before="0" w:after="0"/>
    </w:pPr>
    <w:rPr>
      <w:rFonts w:ascii="Times New Roman" w:hAnsi="Times New Roman"/>
      <w:color w:val="999999"/>
    </w:rPr>
  </w:style>
  <w:style w:type="paragraph" w:customStyle="1" w:styleId="Spacer">
    <w:name w:val="Spacer"/>
    <w:basedOn w:val="Normal"/>
    <w:rsid w:val="00983AE1"/>
    <w:rPr>
      <w:sz w:val="2"/>
      <w:szCs w:val="2"/>
    </w:rPr>
  </w:style>
  <w:style w:type="character" w:customStyle="1" w:styleId="Small">
    <w:name w:val="Small"/>
    <w:basedOn w:val="DefaultParagraphFont"/>
    <w:rsid w:val="00983AE1"/>
    <w:rPr>
      <w:sz w:val="16"/>
    </w:rPr>
  </w:style>
  <w:style w:type="paragraph" w:customStyle="1" w:styleId="WideTable">
    <w:name w:val="Wide Table"/>
    <w:basedOn w:val="Normal"/>
    <w:rsid w:val="00983AE1"/>
    <w:pPr>
      <w:ind w:left="-1418"/>
    </w:pPr>
    <w:rPr>
      <w:sz w:val="2"/>
      <w:szCs w:val="2"/>
    </w:rPr>
  </w:style>
  <w:style w:type="character" w:styleId="PageNumber">
    <w:name w:val="page number"/>
    <w:basedOn w:val="DefaultParagraphFont"/>
    <w:rsid w:val="00983AE1"/>
  </w:style>
  <w:style w:type="paragraph" w:styleId="Quote">
    <w:name w:val="Quote"/>
    <w:basedOn w:val="Heading1"/>
    <w:link w:val="QuoteChar"/>
    <w:qFormat/>
    <w:rsid w:val="00983AE1"/>
    <w:rPr>
      <w:b w:val="0"/>
      <w:sz w:val="72"/>
      <w:szCs w:val="72"/>
      <w:lang w:val="en-NZ"/>
    </w:rPr>
  </w:style>
  <w:style w:type="character" w:customStyle="1" w:styleId="QuoteChar">
    <w:name w:val="Quote Char"/>
    <w:basedOn w:val="DefaultParagraphFont"/>
    <w:link w:val="Quote"/>
    <w:rsid w:val="00983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AE1"/>
    <w:pPr>
      <w:pageBreakBefore/>
    </w:pPr>
  </w:style>
  <w:style w:type="paragraph" w:customStyle="1" w:styleId="Border">
    <w:name w:val="Border"/>
    <w:basedOn w:val="Normal"/>
    <w:qFormat/>
    <w:rsid w:val="00983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AE1"/>
    <w:rPr>
      <w:b/>
      <w:bCs/>
      <w:i/>
      <w:iCs/>
      <w:color w:val="auto"/>
    </w:rPr>
  </w:style>
  <w:style w:type="paragraph" w:styleId="IntenseQuote">
    <w:name w:val="Intense Quote"/>
    <w:basedOn w:val="Normal"/>
    <w:next w:val="Normal"/>
    <w:link w:val="IntenseQuoteChar"/>
    <w:uiPriority w:val="30"/>
    <w:qFormat/>
    <w:rsid w:val="00983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AE1"/>
    <w:rPr>
      <w:smallCaps/>
      <w:color w:val="auto"/>
      <w:u w:val="single"/>
    </w:rPr>
  </w:style>
  <w:style w:type="character" w:styleId="IntenseReference">
    <w:name w:val="Intense Reference"/>
    <w:basedOn w:val="DefaultParagraphFont"/>
    <w:uiPriority w:val="32"/>
    <w:qFormat/>
    <w:rsid w:val="00983AE1"/>
    <w:rPr>
      <w:b/>
      <w:bCs/>
      <w:smallCaps/>
      <w:color w:val="auto"/>
      <w:spacing w:val="5"/>
      <w:u w:val="single"/>
    </w:rPr>
  </w:style>
  <w:style w:type="paragraph" w:customStyle="1" w:styleId="2ColumnHeading">
    <w:name w:val="2Column Heading"/>
    <w:basedOn w:val="BodyText"/>
    <w:qFormat/>
    <w:rsid w:val="00983AE1"/>
    <w:pPr>
      <w:spacing w:after="60"/>
      <w:ind w:left="-2268"/>
    </w:pPr>
    <w:rPr>
      <w:b/>
    </w:rPr>
  </w:style>
  <w:style w:type="paragraph" w:customStyle="1" w:styleId="Heading1TOC">
    <w:name w:val="Heading1 TOC"/>
    <w:basedOn w:val="Normal"/>
    <w:qFormat/>
    <w:rsid w:val="00983AE1"/>
    <w:pPr>
      <w:spacing w:before="240" w:after="120"/>
    </w:pPr>
    <w:rPr>
      <w:rFonts w:ascii="Times New Roman" w:hAnsi="Times New Roman"/>
      <w:b/>
      <w:sz w:val="32"/>
    </w:rPr>
  </w:style>
  <w:style w:type="paragraph" w:customStyle="1" w:styleId="Heading2TOC">
    <w:name w:val="Heading2 TOC"/>
    <w:basedOn w:val="Normal"/>
    <w:qFormat/>
    <w:rsid w:val="00983AE1"/>
    <w:pPr>
      <w:spacing w:before="240" w:after="60"/>
    </w:pPr>
    <w:rPr>
      <w:rFonts w:ascii="Times New Roman" w:hAnsi="Times New Roman"/>
      <w:b/>
      <w:sz w:val="28"/>
    </w:rPr>
  </w:style>
  <w:style w:type="character" w:customStyle="1" w:styleId="Underline">
    <w:name w:val="Underline"/>
    <w:basedOn w:val="DefaultParagraphFont"/>
    <w:qFormat/>
    <w:rsid w:val="00983AE1"/>
    <w:rPr>
      <w:u w:val="single"/>
    </w:rPr>
  </w:style>
  <w:style w:type="character" w:customStyle="1" w:styleId="BoldandItalics">
    <w:name w:val="Bold and Italics"/>
    <w:qFormat/>
    <w:rsid w:val="00983AE1"/>
    <w:rPr>
      <w:b/>
      <w:i/>
      <w:u w:val="none"/>
    </w:rPr>
  </w:style>
  <w:style w:type="paragraph" w:styleId="BalloonText">
    <w:name w:val="Balloon Text"/>
    <w:basedOn w:val="Normal"/>
    <w:link w:val="BalloonTextChar"/>
    <w:rsid w:val="00983AE1"/>
    <w:rPr>
      <w:rFonts w:ascii="Tahoma" w:hAnsi="Tahoma" w:cs="Tahoma"/>
      <w:sz w:val="16"/>
      <w:szCs w:val="16"/>
    </w:rPr>
  </w:style>
  <w:style w:type="character" w:customStyle="1" w:styleId="BalloonTextChar">
    <w:name w:val="Balloon Text Char"/>
    <w:basedOn w:val="DefaultParagraphFont"/>
    <w:link w:val="BalloonText"/>
    <w:rsid w:val="00983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AE1"/>
    <w:rPr>
      <w:b/>
      <w:color w:val="660033"/>
      <w:spacing w:val="0"/>
    </w:rPr>
  </w:style>
  <w:style w:type="paragraph" w:customStyle="1" w:styleId="Nameditemlist">
    <w:name w:val="Named item list"/>
    <w:basedOn w:val="BodyText"/>
    <w:qFormat/>
    <w:rsid w:val="00983A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1018</Words>
  <Characters>6081</Characters>
  <Application>Microsoft Office Word</Application>
  <DocSecurity>0</DocSecurity>
  <Lines>313</Lines>
  <Paragraphs>232</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UET30512 Certificate III in ESI - Power Systems - Transmission Overhead</dc:title>
  <dc:subject>Approved</dc:subject>
  <dc:creator>E-OZ Training Standards</dc:creator>
  <cp:keywords>Release 3</cp:keywords>
  <dc:description>Review Date: 12 April 2008</dc:description>
  <cp:lastModifiedBy>TPCMS</cp:lastModifiedBy>
  <cp:revision>3</cp:revision>
  <dcterms:created xsi:type="dcterms:W3CDTF">2014-11-05T10:10:27Z</dcterms:created>
  <dcterms:modified xsi:type="dcterms:W3CDTF">2014-10-31T04:22:00Z</dcterms:modified>
</cp:coreProperties>
</file>