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6787" w:rsidP="00766787">
      <w:pPr>
        <w:pStyle w:val="Title"/>
      </w:pPr>
      <w:bookmarkStart w:id="0" w:name="_GoBack"/>
      <w:bookmarkEnd w:id="0"/>
      <w:r>
        <w:fldChar w:fldCharType="begin"/>
      </w:r>
      <w:r>
        <w:instrText xml:space="preserve"> TITLE   \* MERGEFORMAT </w:instrText>
      </w:r>
      <w:r>
        <w:fldChar w:fldCharType="separate"/>
      </w:r>
      <w:r>
        <w:t>UETTDRVC02B Operate vegetation control plant, machinery and equipment near live electrical apparatus</w:t>
      </w:r>
      <w:r>
        <w:fldChar w:fldCharType="end"/>
      </w:r>
    </w:p>
    <w:p w:rsidR="00766787" w:rsidP="00766787">
      <w:pPr>
        <w:pStyle w:val="Version"/>
        <w:sectPr w:rsidSect="00FB66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667F" w:rsidP="00FB667F">
      <w:pPr>
        <w:pStyle w:val="SuperHeading"/>
      </w:pPr>
      <w:r w:rsidRPr="00FB667F">
        <w:t>UETTDRVC02B Operate vegetation control plant, machinery and equipment near live electrical apparatus</w:t>
      </w:r>
    </w:p>
    <w:p w:rsidR="00000000" w:rsidRPr="00FB667F" w:rsidP="00FB667F">
      <w:pPr>
        <w:pStyle w:val="Heading1"/>
      </w:pPr>
      <w:bookmarkStart w:id="1" w:name="O_275588"/>
      <w:bookmarkEnd w:id="1"/>
      <w:r w:rsidRPr="00FB667F">
        <w:t>Modification History</w:t>
      </w:r>
    </w:p>
    <w:p w:rsidR="00000000" w:rsidRPr="00FB667F" w:rsidP="00FB667F">
      <w:pPr>
        <w:pStyle w:val="BodyText"/>
      </w:pPr>
      <w:r w:rsidRPr="00FB667F">
        <w:t>Not Applicable</w:t>
      </w:r>
    </w:p>
    <w:p w:rsidR="00000000" w:rsidRPr="00FB667F" w:rsidP="00FB667F">
      <w:pPr>
        <w:pStyle w:val="AllowPageBreak"/>
      </w:pPr>
    </w:p>
    <w:p w:rsidR="00000000" w:rsidRPr="00FB667F" w:rsidP="00FB667F">
      <w:pPr>
        <w:pStyle w:val="Heading1"/>
      </w:pPr>
      <w:bookmarkStart w:id="2" w:name="O_232264"/>
      <w:bookmarkEnd w:id="2"/>
      <w:r w:rsidRPr="00FB667F">
        <w:t>Unit Descriptor</w:t>
      </w:r>
    </w:p>
    <w:tbl>
      <w:tblPr>
        <w:tblW w:w="0" w:type="auto"/>
        <w:tblLayout w:type="fixed"/>
        <w:tblCellMar>
          <w:left w:w="62" w:type="dxa"/>
          <w:right w:w="62" w:type="dxa"/>
        </w:tblCellMar>
        <w:tblLook w:val="0000"/>
      </w:tblPr>
      <w:tblGrid>
        <w:gridCol w:w="2753"/>
        <w:gridCol w:w="5887"/>
      </w:tblGrid>
      <w:tr w:rsidTr="00766787">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rPr>
                <w:rStyle w:val="SpecialBold"/>
              </w:rPr>
              <w:t>Unit Descriptor</w:t>
            </w:r>
          </w:p>
        </w:tc>
        <w:tc>
          <w:tcPr>
            <w:tcW w:w="5887" w:type="dxa"/>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rPr>
                <w:rStyle w:val="SpecialBold"/>
              </w:rPr>
              <w:t>1</w:t>
            </w:r>
            <w:r w:rsidRPr="00FB667F">
              <w:t xml:space="preserve">) </w:t>
            </w:r>
          </w:p>
          <w:p w:rsidR="00000000" w:rsidP="00FB667F">
            <w:pPr>
              <w:pStyle w:val="BodyText"/>
              <w:rPr>
                <w:lang w:val="en-NZ"/>
              </w:rPr>
            </w:pPr>
            <w:r w:rsidRPr="00FB667F">
              <w:rPr>
                <w:rStyle w:val="SpecialBold"/>
              </w:rPr>
              <w:t>1</w:t>
            </w:r>
            <w:r w:rsidRPr="00FB667F">
              <w:t>.</w:t>
            </w:r>
            <w:r w:rsidRPr="00FB667F">
              <w:rPr>
                <w:rStyle w:val="SpecialBold"/>
              </w:rPr>
              <w:t>1</w:t>
            </w:r>
            <w:r w:rsidRPr="00FB667F">
              <w:t xml:space="preserve">) </w:t>
            </w:r>
            <w:r w:rsidRPr="00FB667F">
              <w:rPr>
                <w:rStyle w:val="SpecialBold"/>
              </w:rPr>
              <w:t>Descriptor</w:t>
            </w:r>
          </w:p>
        </w:tc>
      </w:tr>
      <w:tr w:rsidTr="00766787">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7" w:type="dxa"/>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t>This Competency Standard Unit covers the operation and routine maintenance of vegetation control machinery and equipment such as chippers, chainsaws, brush cutters, power pruners, chemical control and other related associated and powered vegetation control</w:t>
            </w:r>
            <w:r w:rsidRPr="00FB667F">
              <w:t xml:space="preserve"> machinery and equipment used near live electrical apparatus. It excludes plant and machinery that encompasses driving/flying and associated licenses, such as aerial croppers, slashers, tritters, boom-operated mowers, stump grinders, insulated elevating wo</w:t>
            </w:r>
            <w:r w:rsidRPr="00FB667F">
              <w:t>rk platforms and the like. Also included is the preparation of risk assessment control measures that encompass job safety assessment. It also includes traffic control measures and compliance with relevant State or Territory regulatory agencies/bodies, loca</w:t>
            </w:r>
            <w:r w:rsidRPr="00FB667F">
              <w:t>l government legislation, Industry bi-partite body - Guidelines/Codes of Practices or other related requirements for safe use of equipment near live electrical and mechanical apparatus.</w:t>
            </w:r>
          </w:p>
        </w:tc>
      </w:tr>
    </w:tbl>
    <w:p w:rsidR="00766787" w:rsidP="00FB667F">
      <w:pPr>
        <w:pStyle w:val="BodyText"/>
      </w:pPr>
    </w:p>
    <w:p w:rsidR="00766787" w:rsidP="00FB667F">
      <w:pPr>
        <w:pStyle w:val="BodyText"/>
      </w:pPr>
    </w:p>
    <w:p w:rsidR="00000000" w:rsidRPr="00FB667F" w:rsidP="00FB667F">
      <w:pPr>
        <w:pStyle w:val="Heading1"/>
      </w:pPr>
      <w:bookmarkStart w:id="3" w:name="O_232269"/>
      <w:bookmarkEnd w:id="3"/>
      <w:r w:rsidRPr="00FB667F">
        <w:t>Application of the Unit</w:t>
      </w:r>
    </w:p>
    <w:tbl>
      <w:tblPr>
        <w:tblW w:w="0" w:type="auto"/>
        <w:tblLayout w:type="fixed"/>
        <w:tblCellMar>
          <w:left w:w="62" w:type="dxa"/>
          <w:right w:w="62" w:type="dxa"/>
        </w:tblCellMar>
        <w:tblLook w:val="0000"/>
      </w:tblPr>
      <w:tblGrid>
        <w:gridCol w:w="2753"/>
        <w:gridCol w:w="5887"/>
      </w:tblGrid>
      <w:tr w:rsidTr="00766787">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rPr>
                <w:rStyle w:val="SpecialBold"/>
              </w:rPr>
              <w:t>Application of the Unit</w:t>
            </w:r>
          </w:p>
        </w:tc>
        <w:tc>
          <w:tcPr>
            <w:tcW w:w="588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rPr>
                <w:rStyle w:val="SpecialBold"/>
              </w:rPr>
              <w:t>4</w:t>
            </w:r>
            <w:r w:rsidRPr="00FB667F">
              <w:t>)</w:t>
            </w:r>
          </w:p>
        </w:tc>
      </w:tr>
      <w:tr w:rsidTr="00766787">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7" w:type="dxa"/>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t>This competency standards unit shall apply to Transmission, Distribution, Rail Traction, Telecommunications and Vegetation Management Control industry sectors.</w:t>
            </w:r>
          </w:p>
        </w:tc>
      </w:tr>
    </w:tbl>
    <w:p w:rsidR="00766787" w:rsidP="00FB667F">
      <w:pPr>
        <w:pStyle w:val="BodyText"/>
      </w:pPr>
    </w:p>
    <w:p w:rsidR="00766787" w:rsidP="00FB667F">
      <w:pPr>
        <w:pStyle w:val="BodyText"/>
      </w:pPr>
    </w:p>
    <w:p w:rsidR="00000000" w:rsidRPr="00FB667F" w:rsidP="00FB667F">
      <w:pPr>
        <w:pStyle w:val="Heading1"/>
      </w:pPr>
      <w:bookmarkStart w:id="4" w:name="O_232265"/>
      <w:bookmarkEnd w:id="4"/>
      <w:r w:rsidRPr="00FB667F">
        <w:t>Licensing/Regulatory Information</w:t>
      </w:r>
    </w:p>
    <w:tbl>
      <w:tblPr>
        <w:tblW w:w="0" w:type="auto"/>
        <w:tblLayout w:type="fixed"/>
        <w:tblCellMar>
          <w:left w:w="62" w:type="dxa"/>
          <w:right w:w="62" w:type="dxa"/>
        </w:tblCellMar>
        <w:tblLook w:val="0000"/>
      </w:tblPr>
      <w:tblGrid>
        <w:gridCol w:w="8640"/>
      </w:tblGrid>
      <w:tr w:rsidTr="0076678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rPr>
                <w:rStyle w:val="SpecialBold"/>
              </w:rPr>
              <w:t>1</w:t>
            </w:r>
            <w:r w:rsidRPr="00FB667F">
              <w:t>.</w:t>
            </w:r>
            <w:r w:rsidRPr="00FB667F">
              <w:rPr>
                <w:rStyle w:val="SpecialBold"/>
              </w:rPr>
              <w:t>2</w:t>
            </w:r>
            <w:r w:rsidRPr="00FB667F">
              <w:t xml:space="preserve">) </w:t>
            </w:r>
            <w:r w:rsidRPr="00FB667F">
              <w:rPr>
                <w:rStyle w:val="SpecialBold"/>
              </w:rPr>
              <w:t>License to practice</w:t>
            </w:r>
          </w:p>
        </w:tc>
      </w:tr>
      <w:tr w:rsidTr="0076678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t>The skills and knowledge described in this unit may only be practiced under the regulations pertaining to each State and Territory for the safe planning for the removal of vegetation around live powerlines up to the live work zone including near live elect</w:t>
            </w:r>
            <w:r w:rsidRPr="00FB667F">
              <w:t>rical apparatus, and regulations that directly relate to Occupational Health and Safety and/or contracts of training where they apply.</w:t>
            </w:r>
          </w:p>
        </w:tc>
      </w:tr>
    </w:tbl>
    <w:p w:rsidR="00766787" w:rsidP="00FB667F">
      <w:pPr>
        <w:pStyle w:val="BodyText"/>
      </w:pPr>
    </w:p>
    <w:p w:rsidR="00766787" w:rsidP="00FB667F">
      <w:pPr>
        <w:pStyle w:val="BodyText"/>
      </w:pPr>
    </w:p>
    <w:p w:rsidR="00000000" w:rsidRPr="00FB667F" w:rsidP="00FB667F">
      <w:pPr>
        <w:pStyle w:val="Heading1"/>
      </w:pPr>
      <w:bookmarkStart w:id="5" w:name="O_232266"/>
      <w:bookmarkEnd w:id="5"/>
      <w:r w:rsidRPr="00FB667F">
        <w:t>Pre-Requisites</w:t>
      </w:r>
    </w:p>
    <w:tbl>
      <w:tblPr>
        <w:tblW w:w="0" w:type="auto"/>
        <w:tblLayout w:type="fixed"/>
        <w:tblCellMar>
          <w:left w:w="62" w:type="dxa"/>
          <w:right w:w="62" w:type="dxa"/>
        </w:tblCellMar>
        <w:tblLook w:val="0000"/>
      </w:tblPr>
      <w:tblGrid>
        <w:gridCol w:w="2753"/>
        <w:gridCol w:w="736"/>
        <w:gridCol w:w="2023"/>
        <w:gridCol w:w="3128"/>
      </w:tblGrid>
      <w:tr w:rsidTr="00766787">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rPr>
                <w:rStyle w:val="SpecialBold"/>
              </w:rPr>
              <w:t>Prerequisite Unit</w:t>
            </w:r>
            <w:r w:rsidRPr="00FB667F">
              <w:t>(</w:t>
            </w:r>
            <w:r w:rsidRPr="00FB667F">
              <w:rPr>
                <w:rStyle w:val="SpecialBold"/>
              </w:rPr>
              <w:t>s</w:t>
            </w:r>
            <w:r w:rsidRPr="00FB667F">
              <w:t>)</w:t>
            </w:r>
          </w:p>
        </w:tc>
        <w:tc>
          <w:tcPr>
            <w:tcW w:w="5887" w:type="dxa"/>
            <w:gridSpan w:val="3"/>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rPr>
                <w:rStyle w:val="SpecialBold"/>
              </w:rPr>
              <w:t>2</w:t>
            </w:r>
            <w:r w:rsidRPr="00FB667F">
              <w:t xml:space="preserve">) </w:t>
            </w:r>
          </w:p>
        </w:tc>
      </w:tr>
      <w:tr w:rsidTr="00766787">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rsidRPr="00FB667F">
            <w:pPr>
              <w:pStyle w:val="BodyText"/>
              <w:keepNext w:val="0"/>
              <w:keepLines w:val="0"/>
              <w:contextualSpacing w:val="0"/>
            </w:pPr>
          </w:p>
        </w:tc>
        <w:tc>
          <w:tcPr>
            <w:tcW w:w="5887" w:type="dxa"/>
            <w:gridSpan w:val="3"/>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rPr>
                <w:rStyle w:val="SpecialBold"/>
              </w:rPr>
              <w:t>2</w:t>
            </w:r>
            <w:r w:rsidRPr="00FB667F">
              <w:t>.</w:t>
            </w:r>
            <w:r w:rsidRPr="00FB667F">
              <w:rPr>
                <w:rStyle w:val="SpecialBold"/>
              </w:rPr>
              <w:t>1</w:t>
            </w:r>
            <w:r w:rsidRPr="00FB667F">
              <w:t xml:space="preserve">) </w:t>
            </w:r>
            <w:r w:rsidRPr="00FB667F">
              <w:rPr>
                <w:rStyle w:val="SpecialBold"/>
              </w:rPr>
              <w:t>Competencies</w:t>
            </w:r>
          </w:p>
        </w:tc>
      </w:tr>
      <w:tr w:rsidTr="00766787">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7" w:type="dxa"/>
            <w:gridSpan w:val="3"/>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Granting of competency in this unit shall be made only after competency in the following unit(s) has/have been confirmed:.</w:t>
            </w:r>
          </w:p>
        </w:tc>
      </w:tr>
      <w:tr w:rsidTr="00766787">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3"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UETTDRVC03B</w:t>
            </w:r>
          </w:p>
        </w:tc>
        <w:tc>
          <w:tcPr>
            <w:tcW w:w="3128"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Plan for the removal of vegetation up to vegetation exclusion zone near live electrical apparatus</w:t>
            </w:r>
          </w:p>
        </w:tc>
      </w:tr>
      <w:tr w:rsidTr="00766787">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7" w:type="dxa"/>
            <w:gridSpan w:val="3"/>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t>For the full prerequisite chain details for this unit please refer to Table 3 in Volume 1, Part 2</w:t>
            </w:r>
          </w:p>
        </w:tc>
      </w:tr>
    </w:tbl>
    <w:p w:rsidR="00766787" w:rsidP="00FB667F">
      <w:pPr>
        <w:pStyle w:val="BodyText"/>
      </w:pPr>
    </w:p>
    <w:p w:rsidR="00766787" w:rsidP="00FB667F">
      <w:pPr>
        <w:pStyle w:val="BodyText"/>
      </w:pPr>
    </w:p>
    <w:p w:rsidR="00000000" w:rsidRPr="00FB667F" w:rsidP="00FB667F">
      <w:pPr>
        <w:pStyle w:val="Heading1"/>
      </w:pPr>
      <w:bookmarkStart w:id="6" w:name="O_232268"/>
      <w:bookmarkEnd w:id="6"/>
      <w:r w:rsidRPr="00FB667F">
        <w:t>Employability Skills Information</w:t>
      </w:r>
    </w:p>
    <w:tbl>
      <w:tblPr>
        <w:tblW w:w="0" w:type="auto"/>
        <w:tblLayout w:type="fixed"/>
        <w:tblCellMar>
          <w:left w:w="62" w:type="dxa"/>
          <w:right w:w="62" w:type="dxa"/>
        </w:tblCellMar>
        <w:tblLook w:val="0000"/>
      </w:tblPr>
      <w:tblGrid>
        <w:gridCol w:w="2753"/>
        <w:gridCol w:w="5887"/>
      </w:tblGrid>
      <w:tr w:rsidTr="00766787">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rPr>
                <w:rStyle w:val="SpecialBold"/>
              </w:rPr>
              <w:t>Employability Skills</w:t>
            </w:r>
          </w:p>
        </w:tc>
        <w:tc>
          <w:tcPr>
            <w:tcW w:w="5887" w:type="dxa"/>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rPr>
                <w:rStyle w:val="SpecialBold"/>
              </w:rPr>
              <w:t>3</w:t>
            </w:r>
            <w:r w:rsidRPr="00FB667F">
              <w:t>)</w:t>
            </w:r>
          </w:p>
          <w:p w:rsidR="00000000" w:rsidRPr="00FB667F" w:rsidP="00FB667F">
            <w:pPr>
              <w:pStyle w:val="BodyText"/>
            </w:pPr>
            <w:r w:rsidRPr="00FB667F">
              <w:t>The required outcomes described in this unit of competency contain applicable f</w:t>
            </w:r>
            <w:r w:rsidRPr="00FB667F">
              <w:t>acets of Employability Skills. The Employability Skills Summary of the qualification in which this unit of competency is packaged will assist in identifying Employability Skill requirements.</w:t>
            </w:r>
          </w:p>
        </w:tc>
      </w:tr>
    </w:tbl>
    <w:p w:rsidR="00766787" w:rsidP="00FB667F">
      <w:pPr>
        <w:pStyle w:val="BodyText"/>
      </w:pPr>
    </w:p>
    <w:p w:rsidR="00766787" w:rsidP="00FB667F">
      <w:pPr>
        <w:pStyle w:val="BodyText"/>
      </w:pPr>
    </w:p>
    <w:p w:rsidR="00000000" w:rsidRPr="00FB667F" w:rsidP="00FB667F">
      <w:pPr>
        <w:pStyle w:val="Heading1"/>
      </w:pPr>
      <w:bookmarkStart w:id="7" w:name="O_293634"/>
      <w:bookmarkEnd w:id="7"/>
      <w:r w:rsidRPr="00FB667F">
        <w:t>Elements and Performance Criteria Pre-Content</w:t>
      </w:r>
    </w:p>
    <w:tbl>
      <w:tblPr>
        <w:tblW w:w="0" w:type="auto"/>
        <w:tblLayout w:type="fixed"/>
        <w:tblCellMar>
          <w:left w:w="62" w:type="dxa"/>
          <w:right w:w="62" w:type="dxa"/>
        </w:tblCellMar>
        <w:tblLook w:val="0000"/>
      </w:tblPr>
      <w:tblGrid>
        <w:gridCol w:w="2753"/>
        <w:gridCol w:w="5887"/>
      </w:tblGrid>
      <w:tr w:rsidTr="00766787">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rPr>
                <w:rStyle w:val="SpecialBold"/>
              </w:rPr>
              <w:t>6</w:t>
            </w:r>
            <w:r w:rsidRPr="00FB667F">
              <w:t xml:space="preserve">) </w:t>
            </w:r>
            <w:r w:rsidRPr="00FB667F">
              <w:rPr>
                <w:rStyle w:val="SpecialBold"/>
              </w:rPr>
              <w:t>Elements</w:t>
            </w:r>
            <w:r w:rsidRPr="00FB667F">
              <w:t>: Elements describe the essential outcomes of a unit of competency</w:t>
            </w:r>
          </w:p>
        </w:tc>
        <w:tc>
          <w:tcPr>
            <w:tcW w:w="5887" w:type="dxa"/>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t>Performance Criteria describe the required performance needed to demonstrate achievement of the Element. Assessment of performance is to be consistent with the Evidence Guide.</w:t>
            </w:r>
          </w:p>
        </w:tc>
      </w:tr>
    </w:tbl>
    <w:p w:rsidR="00000000" w:rsidRPr="00FB667F" w:rsidP="00FB667F">
      <w:pPr>
        <w:pStyle w:val="BodyText"/>
      </w:pPr>
    </w:p>
    <w:p w:rsidR="00000000" w:rsidRPr="00FB667F" w:rsidP="00FB667F">
      <w:pPr>
        <w:pStyle w:val="AllowPageBreak"/>
      </w:pPr>
    </w:p>
    <w:p w:rsidR="00000000" w:rsidRPr="00FB667F" w:rsidP="00FB667F">
      <w:pPr>
        <w:pStyle w:val="Heading1"/>
      </w:pPr>
      <w:bookmarkStart w:id="8" w:name="O_240302"/>
      <w:bookmarkEnd w:id="8"/>
      <w:r w:rsidRPr="00FB667F">
        <w:t>Elements and Performance Criteria</w:t>
      </w:r>
    </w:p>
    <w:tbl>
      <w:tblPr>
        <w:tblW w:w="0" w:type="auto"/>
        <w:tblLayout w:type="fixed"/>
        <w:tblCellMar>
          <w:left w:w="62" w:type="dxa"/>
          <w:right w:w="62" w:type="dxa"/>
        </w:tblCellMar>
        <w:tblLook w:val="0000"/>
      </w:tblPr>
      <w:tblGrid>
        <w:gridCol w:w="408"/>
        <w:gridCol w:w="2345"/>
        <w:gridCol w:w="920"/>
        <w:gridCol w:w="4967"/>
      </w:tblGrid>
      <w:tr w:rsidTr="00766787">
        <w:tblPrEx>
          <w:tblW w:w="0" w:type="auto"/>
          <w:tblLayout w:type="fixed"/>
          <w:tblCellMar>
            <w:left w:w="62" w:type="dxa"/>
            <w:right w:w="62" w:type="dxa"/>
          </w:tblCellMar>
          <w:tblLook w:val="0000"/>
        </w:tblPrEx>
        <w:trPr>
          <w:tblHeader/>
        </w:trPr>
        <w:tc>
          <w:tcPr>
            <w:tcW w:w="2753" w:type="dxa"/>
            <w:gridSpan w:val="2"/>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rPr>
                <w:rStyle w:val="SpecialBold"/>
              </w:rPr>
              <w:t>ELEMENT</w:t>
            </w:r>
          </w:p>
        </w:tc>
        <w:tc>
          <w:tcPr>
            <w:tcW w:w="5887" w:type="dxa"/>
            <w:gridSpan w:val="2"/>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rPr>
                <w:rStyle w:val="SpecialBold"/>
              </w:rPr>
              <w:t>PERFORMANCE CRITERIA</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1</w:t>
            </w:r>
          </w:p>
        </w:tc>
        <w:tc>
          <w:tcPr>
            <w:tcW w:w="2345" w:type="dxa"/>
            <w:vMerge w:val="restart"/>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Prepare to operate and conduct routine maintenance of vegetation control machinery and equipment near live electrical apparatus.</w:t>
            </w: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1.1</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Work instructions are received and confirmed.</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1.2</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Relevant requirements and established procedures to be followed for the work to be preformed are discussed with all personnel to establish and confirm the work schedule.</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1.3</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OHS policies and procedures to be followed for the work to be performed are received and confirmed.</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1.4</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Suggestions to assist and/or improve meeting safe operation of vegetation control machinery and equipment near live electrical apparatus outcomes are</w:t>
            </w:r>
            <w:r w:rsidRPr="00FB667F">
              <w:t xml:space="preserve"> made to others involved in the work.</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1.5</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Scope of responsibility under the relevant work permit(s)/access authorisation(s) identified according to requirements and established procedures with relevant personnel.</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1.6</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Hazards are identified, OHS risks are identified and reported according to established procedures.</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1.7</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Resources including, equipment, tools and personal protective equipment required for the job are obtained and, confirmed in working order according to</w:t>
            </w:r>
            <w:r w:rsidRPr="00FB667F">
              <w:t xml:space="preserve"> established procedures.</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1.8</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Relevant responsibility associated with First Aid and/or other related work safety procedures at the worksite are confirmed in accordance with requirements and established procedures to ensure safety measures are followed in</w:t>
            </w:r>
            <w:r w:rsidRPr="00FB667F">
              <w:t xml:space="preserve"> the instance of an incident.</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1.9</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Client issues are identified and referred to appropriate personnel in accordance with industry/acceptable /community standards.</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1.10</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Site is prepared to produce a quality out</w:t>
            </w:r>
            <w:r w:rsidRPr="00FB667F">
              <w:t>come, follow sustainable energy principles and practices, and to minimise risk and damage to property, commerce, stock and individuals in accordance with established procedures.</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1.11</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Road signs, barriers and warning devices are obtained and positioned i</w:t>
            </w:r>
            <w:r w:rsidRPr="00FB667F">
              <w:t>n accordance with given instructions and requirements.</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1.12</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Pre-operational checks are undertaken to confirm safe and correct operation of machinery and equipment for safe use near live electrical apparatus according to requirements and established proc</w:t>
            </w:r>
            <w:r w:rsidRPr="00FB667F">
              <w:t>edures.</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1.13</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Work permit(s)/access authorisation(s) are confirmed and received, where applicable, for commencement of the work according to requirements and established procedures with relevant personnel.</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2</w:t>
            </w:r>
          </w:p>
        </w:tc>
        <w:tc>
          <w:tcPr>
            <w:tcW w:w="2345" w:type="dxa"/>
            <w:vMerge w:val="restart"/>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Operate and conduct routine maintenance of ve</w:t>
            </w:r>
            <w:r w:rsidRPr="00FB667F">
              <w:t>getation control machinery and equipment near live electrical apparatus.</w:t>
            </w: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2.1</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OHS and sustainable energy principles and practices to reduce the incidents of accidents and minimise waste are followed in accordance with given instructions, requirements and/or</w:t>
            </w:r>
            <w:r w:rsidRPr="00FB667F">
              <w:t xml:space="preserve"> established procedures.</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2.2</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Use of machinery and equipment, techniques and practices are safely followed in accordance with given instructions and, according to requirements confirmed to eliminate the prospects of incidents.</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2.3</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 xml:space="preserve">Operational knowledge for the usage of vegetation control machinery and equipment near live electrical apparatus to be applied to the work is confirmed to ensure completion in an agreed timeframe and, to quality standards with a minimum of waste according </w:t>
            </w:r>
            <w:r w:rsidRPr="00FB667F">
              <w:t>to requirements and established procedures.</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2.4</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Vegetation control machinery and equipment is safely operated near live electrical apparatus in accordance with the work schedule, requirements, given instructions and established procedures.</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2.5</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Hazard warnings and safety signs are recognised and hazards and assessed OHS risks are monitored and reported/referred to the immediate authorised personnel for directions according to established procedures.</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2.6</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Non-routine events are referred to the i</w:t>
            </w:r>
            <w:r w:rsidRPr="00FB667F">
              <w:t>mmediate authorised personnel for directions according to established procedures.</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2.7</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 xml:space="preserve">Problems associated with the operation of vegetation control machinery and equipment near live electrical apparatus are attended to using acquired known solutions and </w:t>
            </w:r>
            <w:r w:rsidRPr="00FB667F">
              <w:t>skills related to routine procedures to ensure work instructions and established procedures are met.</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2.8</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On going checks of quality of the work are undertaken in accordance with given instructions and established procedures.</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3</w:t>
            </w:r>
          </w:p>
        </w:tc>
        <w:tc>
          <w:tcPr>
            <w:tcW w:w="2345" w:type="dxa"/>
            <w:vMerge w:val="restart"/>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Complete the operation and routine maintenance of vegetation control machinery and equipment near live electrical apparatus.</w:t>
            </w: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3.1</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 xml:space="preserve">Work undertaken is checked against work schedule and anomalies reported to Authorised personnel in accordance with established </w:t>
            </w:r>
            <w:r w:rsidRPr="00FB667F">
              <w:t>procedures.</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3.2</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Accidents and/or incidents are actioned and reported to authorised personnel in accordance with established procedures.</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3.3</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Work site is rehabilitated, cleaned-up, sustainable energy principles and practices applied, and made safe in accordance with given instructions and established procedures or an agreed standard.</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3.4</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 xml:space="preserve">Machinery, equipment, tools and any surplus resources </w:t>
            </w:r>
            <w:r w:rsidRPr="00FB667F">
              <w:t>and materials are, where appropriate, cleaned, checked and returned to storage in accordance with established procedures.</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3.5</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Appropriate personnel are notified of work completion according to established procedures.</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3.6</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Post-operational checks, minor maintenance and/or relevant documentation of machinery and equipment are conducted according to requirements.</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3.7</w:t>
            </w:r>
          </w:p>
        </w:tc>
        <w:tc>
          <w:tcPr>
            <w:tcW w:w="496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Requirements for returning work permit(s) and/or access authorisation permits are confirmed, where applicabl</w:t>
            </w:r>
            <w:r w:rsidRPr="00FB667F">
              <w:t>e.</w:t>
            </w:r>
          </w:p>
        </w:tc>
      </w:tr>
      <w:tr w:rsidTr="00766787">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3.8</w:t>
            </w:r>
          </w:p>
        </w:tc>
        <w:tc>
          <w:tcPr>
            <w:tcW w:w="4967" w:type="dxa"/>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t>Works completion records, report forms/data sheets are completed accurately in accordance with given instructions and established procedures.</w:t>
            </w:r>
          </w:p>
        </w:tc>
      </w:tr>
    </w:tbl>
    <w:p w:rsidR="00766787" w:rsidP="00FB667F">
      <w:pPr>
        <w:pStyle w:val="BodyText"/>
      </w:pPr>
    </w:p>
    <w:p w:rsidR="00766787" w:rsidP="00FB667F">
      <w:pPr>
        <w:pStyle w:val="BodyText"/>
      </w:pPr>
    </w:p>
    <w:p w:rsidR="00000000" w:rsidRPr="00FB667F" w:rsidP="00FB667F">
      <w:pPr>
        <w:pStyle w:val="Heading1"/>
      </w:pPr>
      <w:bookmarkStart w:id="9" w:name="O_264093"/>
      <w:bookmarkEnd w:id="9"/>
      <w:r w:rsidRPr="00FB667F">
        <w:t>Required Skills and Knowledge</w:t>
      </w:r>
    </w:p>
    <w:tbl>
      <w:tblPr>
        <w:tblW w:w="0" w:type="auto"/>
        <w:tblLayout w:type="fixed"/>
        <w:tblCellMar>
          <w:left w:w="62" w:type="dxa"/>
          <w:right w:w="62" w:type="dxa"/>
        </w:tblCellMar>
        <w:tblLook w:val="0000"/>
      </w:tblPr>
      <w:tblGrid>
        <w:gridCol w:w="2753"/>
        <w:gridCol w:w="1104"/>
        <w:gridCol w:w="4783"/>
      </w:tblGrid>
      <w:tr w:rsidTr="00766787">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rPr>
                <w:rStyle w:val="SpecialBold"/>
              </w:rPr>
              <w:t>REQUIRED SKILLS AND KNOWLEDGE</w:t>
            </w:r>
          </w:p>
        </w:tc>
      </w:tr>
      <w:tr w:rsidTr="00766787">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rPr>
                <w:rStyle w:val="SpecialBold"/>
              </w:rPr>
              <w:t>7</w:t>
            </w:r>
            <w:r w:rsidRPr="00FB667F">
              <w:t xml:space="preserve">) </w:t>
            </w:r>
            <w:r w:rsidRPr="00FB667F">
              <w:rPr>
                <w:rStyle w:val="SpecialBold"/>
              </w:rPr>
              <w:t>Essential Knowledge and Associated Skills</w:t>
            </w:r>
            <w:r w:rsidRPr="00FB667F">
              <w:t xml:space="preserve"> (</w:t>
            </w:r>
            <w:r w:rsidRPr="00FB667F">
              <w:rPr>
                <w:rStyle w:val="SpecialBold"/>
              </w:rPr>
              <w:t>EKAS</w:t>
            </w:r>
            <w:r w:rsidRPr="00FB667F">
              <w:t>): This describes the essential skills and knowledge and their level, required for this unit.</w:t>
            </w:r>
          </w:p>
        </w:tc>
      </w:tr>
      <w:tr w:rsidTr="00766787">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t>Evidence shall show that knowledge has been acquired of operating vegetation control plant, machinery and equipm</w:t>
            </w:r>
            <w:r w:rsidRPr="00FB667F">
              <w:t xml:space="preserve">ent near live electrical apparatus. </w:t>
            </w:r>
          </w:p>
          <w:p w:rsidR="00000000" w:rsidRPr="00FB667F" w:rsidP="00FB667F">
            <w:pPr>
              <w:pStyle w:val="BodyText"/>
            </w:pPr>
            <w:r w:rsidRPr="00FB667F">
              <w:t>All knowledge and skills detailed in this unit should be contextualised to current industry practices and technologies.</w:t>
            </w:r>
          </w:p>
          <w:p w:rsidR="00000000" w:rsidP="00FB667F">
            <w:pPr>
              <w:pStyle w:val="BodyText"/>
              <w:rPr>
                <w:lang w:val="en-NZ"/>
              </w:rPr>
            </w:pPr>
            <w:r w:rsidRPr="00FB667F">
              <w:t xml:space="preserve">The extent of the essential knowledge and associated skills (EKAS) required is given in Volume 2 - </w:t>
            </w:r>
            <w:r w:rsidRPr="00FB667F">
              <w:t>Part 2.2 EKAS. It forms an integral part of this unit.</w:t>
            </w:r>
          </w:p>
        </w:tc>
      </w:tr>
      <w:tr w:rsidTr="00766787">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E2.11.1</w:t>
            </w:r>
          </w:p>
        </w:tc>
        <w:tc>
          <w:tcPr>
            <w:tcW w:w="4783"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Hand tools</w:t>
            </w:r>
          </w:p>
        </w:tc>
      </w:tr>
      <w:tr w:rsidTr="00766787">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E2.11.2.1</w:t>
            </w:r>
          </w:p>
        </w:tc>
        <w:tc>
          <w:tcPr>
            <w:tcW w:w="4783"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Power tools</w:t>
            </w:r>
          </w:p>
        </w:tc>
      </w:tr>
      <w:tr w:rsidTr="00766787">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E2.18.1</w:t>
            </w:r>
          </w:p>
        </w:tc>
        <w:tc>
          <w:tcPr>
            <w:tcW w:w="4783"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Occupational Health and Safety principles</w:t>
            </w:r>
          </w:p>
        </w:tc>
      </w:tr>
      <w:tr w:rsidTr="00766787">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E2.18.2</w:t>
            </w:r>
          </w:p>
        </w:tc>
        <w:tc>
          <w:tcPr>
            <w:tcW w:w="4783"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Electrical safe working practice</w:t>
            </w:r>
          </w:p>
        </w:tc>
      </w:tr>
      <w:tr w:rsidTr="00766787">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T2.1.3</w:t>
            </w:r>
          </w:p>
        </w:tc>
        <w:tc>
          <w:tcPr>
            <w:tcW w:w="4783"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Engineering applications of material properties.</w:t>
            </w:r>
          </w:p>
        </w:tc>
      </w:tr>
      <w:tr w:rsidTr="00766787">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T2.1.7</w:t>
            </w:r>
          </w:p>
        </w:tc>
        <w:tc>
          <w:tcPr>
            <w:tcW w:w="4783"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Enterprise vehicles</w:t>
            </w:r>
          </w:p>
        </w:tc>
      </w:tr>
      <w:tr w:rsidTr="00766787">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 xml:space="preserve">T2.1.8. </w:t>
            </w:r>
          </w:p>
        </w:tc>
        <w:tc>
          <w:tcPr>
            <w:tcW w:w="4783"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Chain saw principles</w:t>
            </w:r>
          </w:p>
        </w:tc>
      </w:tr>
      <w:tr w:rsidTr="00766787">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T2.2.1</w:t>
            </w:r>
          </w:p>
        </w:tc>
        <w:tc>
          <w:tcPr>
            <w:tcW w:w="4783"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Generation power systems</w:t>
            </w:r>
          </w:p>
        </w:tc>
      </w:tr>
      <w:tr w:rsidTr="00766787">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T2.3.1</w:t>
            </w:r>
          </w:p>
        </w:tc>
        <w:tc>
          <w:tcPr>
            <w:tcW w:w="4783"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Powerline safety practices.</w:t>
            </w:r>
          </w:p>
        </w:tc>
      </w:tr>
      <w:tr w:rsidTr="00766787">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T2.5.5</w:t>
            </w:r>
          </w:p>
        </w:tc>
        <w:tc>
          <w:tcPr>
            <w:tcW w:w="4783"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 xml:space="preserve">Powerline clearances and approach distances </w:t>
            </w:r>
          </w:p>
        </w:tc>
      </w:tr>
      <w:tr w:rsidTr="00766787">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T2.8.12</w:t>
            </w:r>
          </w:p>
        </w:tc>
        <w:tc>
          <w:tcPr>
            <w:tcW w:w="4783" w:type="dxa"/>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t>Enterprise specific - vegetation control equipment</w:t>
            </w:r>
          </w:p>
        </w:tc>
      </w:tr>
    </w:tbl>
    <w:p w:rsidR="00766787" w:rsidP="00FB667F">
      <w:pPr>
        <w:pStyle w:val="BodyText"/>
      </w:pPr>
    </w:p>
    <w:p w:rsidR="00766787" w:rsidP="00FB667F">
      <w:pPr>
        <w:pStyle w:val="BodyText"/>
      </w:pPr>
    </w:p>
    <w:p w:rsidR="00000000" w:rsidRPr="00FB667F" w:rsidP="00FB667F">
      <w:pPr>
        <w:pStyle w:val="Heading1"/>
      </w:pPr>
      <w:bookmarkStart w:id="10" w:name="O_248285"/>
      <w:bookmarkEnd w:id="10"/>
      <w:r w:rsidRPr="00FB667F">
        <w:t>Evidence Guide</w:t>
      </w:r>
    </w:p>
    <w:tbl>
      <w:tblPr>
        <w:tblW w:w="0" w:type="auto"/>
        <w:tblLayout w:type="fixed"/>
        <w:tblCellMar>
          <w:left w:w="62" w:type="dxa"/>
          <w:right w:w="62" w:type="dxa"/>
        </w:tblCellMar>
        <w:tblLook w:val="0000"/>
      </w:tblPr>
      <w:tblGrid>
        <w:gridCol w:w="2188"/>
        <w:gridCol w:w="731"/>
        <w:gridCol w:w="969"/>
        <w:gridCol w:w="128"/>
        <w:gridCol w:w="1744"/>
        <w:gridCol w:w="2880"/>
      </w:tblGrid>
      <w:tr w:rsidTr="00766787">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rPr>
                <w:rStyle w:val="SpecialBold"/>
              </w:rPr>
              <w:t>EVIDENCE GUIDE</w:t>
            </w:r>
          </w:p>
        </w:tc>
      </w:tr>
      <w:tr w:rsidTr="00766787">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rPr>
                <w:rStyle w:val="SpecialBold"/>
              </w:rPr>
              <w:t>9</w:t>
            </w:r>
            <w:r w:rsidRPr="00FB667F">
              <w:t xml:space="preserve">) This provides essential advice for assessment of the unit of competency and must be read in conjunction with the Performance Criteria and the Range Statement of the unit of competency and the Training </w:t>
            </w:r>
            <w:r w:rsidRPr="00FB667F">
              <w:t>Package Assessment Guidelines.</w:t>
            </w:r>
          </w:p>
          <w:p w:rsidR="00000000" w:rsidP="00FB667F">
            <w:pPr>
              <w:pStyle w:val="BodyText"/>
              <w:rPr>
                <w:lang w:val="en-NZ"/>
              </w:rPr>
            </w:pPr>
            <w:r w:rsidRPr="00FB667F">
              <w:t>The Evidence Guide forms an integral part of this Competency Standard Unit and shall be used in conjunction with all component parts of this unit and, performed in accordance with the Assessment Guidelines of this Training Pa</w:t>
            </w:r>
            <w:r w:rsidRPr="00FB667F">
              <w:t>ckage.</w:t>
            </w:r>
          </w:p>
        </w:tc>
      </w:tr>
      <w:tr w:rsidTr="00766787">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rPr>
                <w:rStyle w:val="SpecialBold"/>
              </w:rPr>
              <w:t>Overview of Assessment</w:t>
            </w:r>
          </w:p>
        </w:tc>
        <w:tc>
          <w:tcPr>
            <w:tcW w:w="6452" w:type="dxa"/>
            <w:gridSpan w:val="5"/>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rPr>
                <w:rStyle w:val="SpecialBold"/>
              </w:rPr>
              <w:t>9</w:t>
            </w:r>
            <w:r w:rsidRPr="00FB667F">
              <w:t>.</w:t>
            </w:r>
            <w:r w:rsidRPr="00FB667F">
              <w:rPr>
                <w:rStyle w:val="SpecialBold"/>
              </w:rPr>
              <w:t>1</w:t>
            </w:r>
            <w:r w:rsidRPr="00FB667F">
              <w:t xml:space="preserve">) </w:t>
            </w:r>
          </w:p>
          <w:p w:rsidR="00000000" w:rsidRPr="00FB667F" w:rsidP="00FB667F">
            <w:pPr>
              <w:pStyle w:val="BodyText"/>
            </w:pPr>
            <w:r w:rsidRPr="00FB667F">
              <w:t>Longi</w:t>
            </w:r>
            <w:r w:rsidRPr="00FB667F">
              <w:t>tudinal competency development approaches to assessment, such as Profiling, require data to be reliably gathered in a form that can be consistently interpreted over time. This approach is best utilised in Apprenticeship programs and reduces assessment inte</w:t>
            </w:r>
            <w:r w:rsidRPr="00FB667F">
              <w:t>rvention. It is the Industry's preferred model for apprenticeships. However, where summative (or final) assessment is used it is to include the application of the competency in the normal work environment or, at a minimum, the application of the competency</w:t>
            </w:r>
            <w:r w:rsidRPr="00FB667F">
              <w:t xml:space="preserve"> in a realistically simulated work environment. It is recognised that, in some circumstances, assessment in part or full can occur outside the workplace. However, it must be in accord with Industry and, Regulatory policy in this regard.</w:t>
            </w:r>
          </w:p>
          <w:p w:rsidR="00000000" w:rsidRPr="00FB667F" w:rsidP="00FB667F">
            <w:pPr>
              <w:pStyle w:val="BodyText"/>
            </w:pPr>
            <w:r w:rsidRPr="00FB667F">
              <w:t xml:space="preserve">Methods chosen for </w:t>
            </w:r>
            <w:r w:rsidRPr="00FB667F">
              <w:t>a particular assessment will be influenced by various factors. These include the extent of the assessment, the most effective locations for the assessment activities to take place, access to physical resources, additional safety measures that may be requir</w:t>
            </w:r>
            <w:r w:rsidRPr="00FB667F">
              <w:t>ed and the critical nature of the competencies being assessed.</w:t>
            </w:r>
          </w:p>
          <w:p w:rsidR="00000000" w:rsidRPr="00FB667F" w:rsidP="00FB667F">
            <w:pPr>
              <w:pStyle w:val="BodyText"/>
            </w:pPr>
            <w:r w:rsidRPr="00FB667F">
              <w:t>The critical safety nature of working with electricity, electrical equipment, gas or any other hazardous substance/material carries risk in deeming a person competent. Hence, sources of evidenc</w:t>
            </w:r>
            <w:r w:rsidRPr="00FB667F">
              <w:t>e need to be 'rich' in nature so as to minimise error in judgment.</w:t>
            </w:r>
          </w:p>
          <w:p w:rsidR="00000000" w:rsidP="00FB667F">
            <w:pPr>
              <w:pStyle w:val="BodyText"/>
              <w:rPr>
                <w:lang w:val="en-NZ"/>
              </w:rPr>
            </w:pPr>
            <w:r w:rsidRPr="00FB667F">
              <w:t>Activities associated with normal every day work have a bearing on the decision as to how much and how detailed the data gathered will contribute to its 'richness'. Some skills are more cri</w:t>
            </w:r>
            <w:r w:rsidRPr="00FB667F">
              <w:t>tical to safety and operational requirements while the same skills may be more or less frequently practiced. These points are raised for the assessors to consider when choosing an assessment method and developing assessment instruments. Sample assessment i</w:t>
            </w:r>
            <w:r w:rsidRPr="00FB667F">
              <w:t>nstruments are included for Assessors in the Assessment Guidelines of this Training Package.</w:t>
            </w:r>
          </w:p>
        </w:tc>
      </w:tr>
      <w:tr w:rsidTr="00766787">
        <w:tblPrEx>
          <w:tblW w:w="0" w:type="auto"/>
          <w:tblLayout w:type="fixed"/>
          <w:tblCellMar>
            <w:left w:w="62" w:type="dxa"/>
            <w:right w:w="62" w:type="dxa"/>
          </w:tblCellMar>
          <w:tblLook w:val="0000"/>
        </w:tblPrEx>
        <w:tc>
          <w:tcPr>
            <w:tcW w:w="2188" w:type="dxa"/>
            <w:vMerge w:val="restart"/>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rPr>
                <w:rStyle w:val="SpecialBold"/>
              </w:rPr>
              <w:t xml:space="preserve">Critical aspects of evidence required to demonstrate competency </w:t>
            </w:r>
            <w:r w:rsidRPr="00FB667F">
              <w:rPr>
                <w:rStyle w:val="SpecialBold"/>
              </w:rPr>
              <w:t>in this unit</w:t>
            </w:r>
          </w:p>
        </w:tc>
        <w:tc>
          <w:tcPr>
            <w:tcW w:w="6452" w:type="dxa"/>
            <w:gridSpan w:val="5"/>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rPr>
                <w:rStyle w:val="SpecialBold"/>
              </w:rPr>
              <w:t>9</w:t>
            </w:r>
            <w:r w:rsidRPr="00FB667F">
              <w:t>.</w:t>
            </w:r>
            <w:r w:rsidRPr="00FB667F">
              <w:rPr>
                <w:rStyle w:val="SpecialBold"/>
              </w:rPr>
              <w:t>2</w:t>
            </w:r>
            <w:r w:rsidRPr="00FB667F">
              <w:t xml:space="preserve">) </w:t>
            </w:r>
          </w:p>
          <w:p w:rsidR="00000000" w:rsidP="00FB667F">
            <w:pPr>
              <w:pStyle w:val="BodyText"/>
              <w:rPr>
                <w:lang w:val="en-NZ"/>
              </w:rPr>
            </w:pPr>
            <w:r w:rsidRPr="00FB667F">
              <w:t>Before the critical aspects of evidence are considered all prerequisites sh</w:t>
            </w:r>
            <w:r w:rsidRPr="00FB667F">
              <w:t>all be met.</w:t>
            </w:r>
          </w:p>
        </w:tc>
      </w:tr>
      <w:tr w:rsidTr="00766787">
        <w:tblPrEx>
          <w:tblW w:w="0" w:type="auto"/>
          <w:tblLayout w:type="fixed"/>
          <w:tblCellMar>
            <w:left w:w="62" w:type="dxa"/>
            <w:right w:w="62" w:type="dxa"/>
          </w:tblCellMar>
          <w:tblLook w:val="0000"/>
        </w:tblPrEx>
        <w:tc>
          <w:tcPr>
            <w:tcW w:w="218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gridSpan w:val="5"/>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t xml:space="preserve">Evidence for competence in this unit shall be considered holistically. Each Element and associated Performance Criteria shall be demonstrated </w:t>
            </w:r>
            <w:r w:rsidRPr="00FB667F">
              <w:t>on at least two occasions in accordance with the "Assessment Guidelines - UET09". Evidence shall also comprise:</w:t>
            </w:r>
          </w:p>
          <w:p w:rsidR="00000000" w:rsidP="00FB667F">
            <w:pPr>
              <w:pStyle w:val="ListBullet"/>
              <w:rPr>
                <w:lang w:val="en-NZ"/>
              </w:rPr>
            </w:pPr>
            <w:r w:rsidRPr="00FB667F">
              <w:t>A representative body of Performance Criteria demonstrated within the timeframes typically expected of the discipline, work function and industr</w:t>
            </w:r>
            <w:r w:rsidRPr="00FB667F">
              <w:t>ial environment. In particular this shall incorporate evidence that shows a candidate is able to:</w:t>
            </w:r>
          </w:p>
        </w:tc>
      </w:tr>
      <w:tr w:rsidTr="00766787">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p>
        </w:tc>
        <w:tc>
          <w:tcPr>
            <w:tcW w:w="6452" w:type="dxa"/>
            <w:gridSpan w:val="5"/>
            <w:tcBorders>
              <w:top w:val="nil"/>
              <w:left w:val="nil"/>
              <w:bottom w:val="nil"/>
              <w:right w:val="nil"/>
            </w:tcBorders>
            <w:tcMar>
              <w:top w:w="0" w:type="dxa"/>
              <w:left w:w="62" w:type="dxa"/>
              <w:bottom w:w="0" w:type="dxa"/>
              <w:right w:w="62" w:type="dxa"/>
            </w:tcMar>
          </w:tcPr>
          <w:p w:rsidR="00000000" w:rsidRPr="00FB667F" w:rsidP="00FB667F">
            <w:pPr>
              <w:pStyle w:val="ListBullet2"/>
            </w:pPr>
            <w:r w:rsidRPr="00FB667F">
              <w:t xml:space="preserve">Implement Occupational Health and Safety workplace procedures and practices including </w:t>
            </w:r>
            <w:r w:rsidRPr="00FB667F">
              <w:t>the use of risk control measures as specified in the Performance Criteria and range; and</w:t>
            </w:r>
          </w:p>
          <w:p w:rsidR="00000000" w:rsidRPr="00FB667F" w:rsidP="00FB667F">
            <w:pPr>
              <w:pStyle w:val="ListBullet2"/>
            </w:pPr>
            <w:r w:rsidRPr="00FB667F">
              <w:t>Apply sustainable energy principles and practices as specified in the Performance Criteria and range; and</w:t>
            </w:r>
          </w:p>
          <w:p w:rsidR="00000000" w:rsidRPr="00FB667F" w:rsidP="00FB667F">
            <w:pPr>
              <w:pStyle w:val="ListBullet2"/>
            </w:pPr>
            <w:r w:rsidRPr="00FB667F">
              <w:t>Demonstrate an understanding of the essential knowledge and a</w:t>
            </w:r>
            <w:r w:rsidRPr="00FB667F">
              <w:t>ssociated skills as described in this unit to such an extent that the learner's performance outcome is reported in accordance with the preferred approach; namely a percentile graded result, where required by the regulated environment; and</w:t>
            </w:r>
          </w:p>
          <w:p w:rsidR="00000000" w:rsidRPr="00FB667F" w:rsidP="00FB667F">
            <w:pPr>
              <w:pStyle w:val="ListBullet2"/>
            </w:pPr>
            <w:r w:rsidRPr="00FB667F">
              <w:t>Demonstrate an ap</w:t>
            </w:r>
            <w:r w:rsidRPr="00FB667F">
              <w:t>propriate level of employability skills; and</w:t>
            </w:r>
          </w:p>
          <w:p w:rsidR="00000000" w:rsidP="00FB667F">
            <w:pPr>
              <w:pStyle w:val="ListBullet2"/>
              <w:rPr>
                <w:lang w:val="en-NZ"/>
              </w:rPr>
            </w:pPr>
            <w:r w:rsidRPr="00FB667F">
              <w:t>Conduct work observing the relevant Anti Discrimination legislation, regulations, policies and workplace procedures; and</w:t>
            </w:r>
          </w:p>
        </w:tc>
      </w:tr>
      <w:tr w:rsidTr="00766787">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p>
        </w:tc>
        <w:tc>
          <w:tcPr>
            <w:tcW w:w="6452" w:type="dxa"/>
            <w:gridSpan w:val="5"/>
            <w:tcBorders>
              <w:top w:val="nil"/>
              <w:left w:val="nil"/>
              <w:bottom w:val="nil"/>
              <w:right w:val="nil"/>
            </w:tcBorders>
            <w:tcMar>
              <w:top w:w="0" w:type="dxa"/>
              <w:left w:w="62" w:type="dxa"/>
              <w:bottom w:w="0" w:type="dxa"/>
              <w:right w:w="62" w:type="dxa"/>
            </w:tcMar>
          </w:tcPr>
          <w:p w:rsidR="00000000" w:rsidP="00FB667F">
            <w:pPr>
              <w:pStyle w:val="ListBullet"/>
              <w:rPr>
                <w:lang w:val="en-NZ"/>
              </w:rPr>
            </w:pPr>
            <w:r w:rsidRPr="00FB667F">
              <w:t>Demonstrated performance across a representative range of contexts from the prescrib</w:t>
            </w:r>
            <w:r w:rsidRPr="00FB667F">
              <w:t>ed items below:</w:t>
            </w:r>
          </w:p>
        </w:tc>
      </w:tr>
      <w:tr w:rsidTr="00766787">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single" w:sz="6" w:space="0" w:color="auto"/>
            </w:tcBorders>
            <w:tcMar>
              <w:top w:w="0" w:type="dxa"/>
              <w:left w:w="62" w:type="dxa"/>
              <w:bottom w:w="0" w:type="dxa"/>
              <w:right w:w="62" w:type="dxa"/>
            </w:tcMar>
          </w:tcPr>
          <w:p w:rsidR="00000000" w:rsidRPr="00FB667F">
            <w:pPr>
              <w:pStyle w:val="BodyText"/>
              <w:keepNext w:val="0"/>
              <w:keepLines w:val="0"/>
              <w:contextualSpacing w:val="0"/>
            </w:pPr>
          </w:p>
        </w:tc>
        <w:tc>
          <w:tcPr>
            <w:tcW w:w="5721"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7F">
            <w:pPr>
              <w:pStyle w:val="BodyText"/>
              <w:rPr>
                <w:lang w:val="en-NZ"/>
              </w:rPr>
            </w:pPr>
            <w:r w:rsidRPr="00FB667F">
              <w:rPr>
                <w:rStyle w:val="SpecialBold"/>
              </w:rPr>
              <w:t>Range of tools</w:t>
            </w:r>
            <w:r w:rsidRPr="00FB667F">
              <w:t>/</w:t>
            </w:r>
            <w:r w:rsidRPr="00FB667F">
              <w:rPr>
                <w:rStyle w:val="SpecialBold"/>
              </w:rPr>
              <w:t>equipment</w:t>
            </w:r>
            <w:r w:rsidRPr="00FB667F">
              <w:t>/</w:t>
            </w:r>
            <w:r w:rsidRPr="00FB667F">
              <w:rPr>
                <w:rStyle w:val="SpecialBold"/>
              </w:rPr>
              <w:t>materials</w:t>
            </w:r>
            <w:r w:rsidRPr="00FB667F">
              <w:t>/</w:t>
            </w:r>
            <w:r w:rsidRPr="00FB667F">
              <w:rPr>
                <w:rStyle w:val="SpecialBold"/>
              </w:rPr>
              <w:t>procedures</w:t>
            </w:r>
            <w:r w:rsidRPr="00FB667F">
              <w:t>/</w:t>
            </w:r>
            <w:r w:rsidRPr="00FB667F">
              <w:rPr>
                <w:rStyle w:val="SpecialBold"/>
              </w:rPr>
              <w:t>workplaces</w:t>
            </w:r>
            <w:r w:rsidRPr="00FB667F">
              <w:t>/</w:t>
            </w:r>
            <w:r w:rsidRPr="00FB667F">
              <w:rPr>
                <w:rStyle w:val="SpecialBold"/>
              </w:rPr>
              <w:t>other variables</w:t>
            </w:r>
          </w:p>
        </w:tc>
      </w:tr>
      <w:tr w:rsidTr="00766787">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single" w:sz="6" w:space="0" w:color="auto"/>
            </w:tcBorders>
            <w:tcMar>
              <w:top w:w="0" w:type="dxa"/>
              <w:left w:w="62" w:type="dxa"/>
              <w:bottom w:w="0" w:type="dxa"/>
              <w:right w:w="62" w:type="dxa"/>
            </w:tcMar>
          </w:tcPr>
          <w:p w:rsidR="00000000" w:rsidRPr="00FB667F">
            <w:pPr>
              <w:pStyle w:val="BodyText"/>
              <w:keepNext w:val="0"/>
              <w:keepLines w:val="0"/>
              <w:contextualSpacing w:val="0"/>
            </w:pPr>
          </w:p>
        </w:tc>
        <w:tc>
          <w:tcPr>
            <w:tcW w:w="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67F" w:rsidP="00FB667F">
            <w:pPr>
              <w:pStyle w:val="BodyText"/>
            </w:pPr>
            <w:r w:rsidRPr="00FB667F">
              <w:rPr>
                <w:rStyle w:val="SpecialBold"/>
              </w:rPr>
              <w:t>Group No</w:t>
            </w:r>
          </w:p>
        </w:tc>
        <w:tc>
          <w:tcPr>
            <w:tcW w:w="187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67F" w:rsidP="00FB667F">
            <w:pPr>
              <w:pStyle w:val="BodyText"/>
            </w:pPr>
            <w:r w:rsidRPr="00FB667F">
              <w:rPr>
                <w:rStyle w:val="SpecialBold"/>
              </w:rPr>
              <w:t>The minimum number of items on which skill is to be demonstrated</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7F">
            <w:pPr>
              <w:pStyle w:val="BodyText"/>
              <w:rPr>
                <w:lang w:val="en-NZ"/>
              </w:rPr>
            </w:pPr>
            <w:r w:rsidRPr="00FB667F">
              <w:rPr>
                <w:rStyle w:val="SpecialBold"/>
              </w:rPr>
              <w:t>Item List</w:t>
            </w:r>
          </w:p>
        </w:tc>
      </w:tr>
      <w:tr w:rsidTr="00766787">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7F">
            <w:pPr>
              <w:pStyle w:val="BodyText"/>
              <w:rPr>
                <w:lang w:val="en-NZ"/>
              </w:rPr>
            </w:pPr>
            <w:r w:rsidRPr="00FB667F">
              <w:t>A</w:t>
            </w:r>
          </w:p>
        </w:tc>
        <w:tc>
          <w:tcPr>
            <w:tcW w:w="187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7F">
            <w:pPr>
              <w:pStyle w:val="BodyText"/>
              <w:rPr>
                <w:lang w:val="en-NZ"/>
              </w:rPr>
            </w:pPr>
            <w:r w:rsidRPr="00FB667F">
              <w:t>Confirm operational knowledge associated with the operation of control plant, machinery and equipment near live electrical apparatus in all of the following:</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67F" w:rsidP="00FB667F">
            <w:pPr>
              <w:pStyle w:val="BodyText"/>
            </w:pPr>
            <w:r w:rsidRPr="00FB667F">
              <w:t>Principles of electricity, the three phase power system.</w:t>
            </w:r>
          </w:p>
          <w:p w:rsidR="00000000" w:rsidRPr="00FB667F" w:rsidP="00FB667F">
            <w:pPr>
              <w:pStyle w:val="BodyText"/>
            </w:pPr>
            <w:r w:rsidRPr="00FB667F">
              <w:t xml:space="preserve">Power system. </w:t>
            </w:r>
          </w:p>
          <w:p w:rsidR="00000000" w:rsidRPr="00FB667F" w:rsidP="00FB667F">
            <w:pPr>
              <w:pStyle w:val="BodyText"/>
            </w:pPr>
            <w:r w:rsidRPr="00FB667F">
              <w:t>Recognition of aerial vol</w:t>
            </w:r>
            <w:r w:rsidRPr="00FB667F">
              <w:t>tage systems.</w:t>
            </w:r>
          </w:p>
          <w:p w:rsidR="00000000" w:rsidRPr="00FB667F" w:rsidP="00FB667F">
            <w:pPr>
              <w:pStyle w:val="BodyText"/>
            </w:pPr>
            <w:r w:rsidRPr="00FB667F">
              <w:t>Identification of Low Voltage Aerial Circuits.</w:t>
            </w:r>
          </w:p>
          <w:p w:rsidR="00000000" w:rsidRPr="00FB667F" w:rsidP="00FB667F">
            <w:pPr>
              <w:pStyle w:val="BodyText"/>
            </w:pPr>
            <w:r w:rsidRPr="00FB667F">
              <w:t>Identification of High Voltage Aerial Circuits.</w:t>
            </w:r>
          </w:p>
          <w:p w:rsidR="00000000" w:rsidRPr="00FB667F" w:rsidP="00FB667F">
            <w:pPr>
              <w:pStyle w:val="BodyText"/>
            </w:pPr>
            <w:r w:rsidRPr="00FB667F">
              <w:t>"Safe working zone" so defined by relevant authorities.</w:t>
            </w:r>
          </w:p>
          <w:p w:rsidR="00000000" w:rsidRPr="00FB667F" w:rsidP="00FB667F">
            <w:pPr>
              <w:pStyle w:val="BodyText"/>
            </w:pPr>
            <w:r w:rsidRPr="00FB667F">
              <w:t>Use of technical standards, acts, regulations, codes /guidelines and established/enterprise</w:t>
            </w:r>
            <w:r w:rsidRPr="00FB667F">
              <w:t>/asset owner's procedures.</w:t>
            </w:r>
          </w:p>
          <w:p w:rsidR="00000000" w:rsidRPr="00FB667F" w:rsidP="00FB667F">
            <w:pPr>
              <w:pStyle w:val="BodyText"/>
            </w:pPr>
            <w:r w:rsidRPr="00FB667F">
              <w:t>System Control - Information required and function.</w:t>
            </w:r>
          </w:p>
          <w:p w:rsidR="00000000" w:rsidRPr="00FB667F" w:rsidP="00FB667F">
            <w:pPr>
              <w:pStyle w:val="BodyText"/>
            </w:pPr>
            <w:r w:rsidRPr="00FB667F">
              <w:t>Vicinity Permit - Information required and function.</w:t>
            </w:r>
          </w:p>
          <w:p w:rsidR="00000000" w:rsidRPr="00FB667F" w:rsidP="00FB667F">
            <w:pPr>
              <w:pStyle w:val="BodyText"/>
            </w:pPr>
            <w:r w:rsidRPr="00FB667F">
              <w:t>Sensitive Earth Fault (SEF) System</w:t>
            </w:r>
          </w:p>
          <w:p w:rsidR="00000000" w:rsidP="00FB667F">
            <w:pPr>
              <w:pStyle w:val="BodyText"/>
              <w:rPr>
                <w:lang w:val="en-NZ"/>
              </w:rPr>
            </w:pPr>
            <w:r w:rsidRPr="00FB667F">
              <w:t>Confirm environmental principals and procedures</w:t>
            </w:r>
          </w:p>
        </w:tc>
      </w:tr>
      <w:tr w:rsidTr="00766787">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7F">
            <w:pPr>
              <w:pStyle w:val="BodyText"/>
              <w:rPr>
                <w:lang w:val="en-NZ"/>
              </w:rPr>
            </w:pPr>
            <w:r w:rsidRPr="00FB667F">
              <w:t>B</w:t>
            </w:r>
          </w:p>
        </w:tc>
        <w:tc>
          <w:tcPr>
            <w:tcW w:w="187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7F">
            <w:pPr>
              <w:pStyle w:val="BodyText"/>
              <w:rPr>
                <w:lang w:val="en-NZ"/>
              </w:rPr>
            </w:pPr>
            <w:r w:rsidRPr="00FB667F">
              <w:t>Confirm safe practices associated with the operation of control plant, machinery and equipment near live electrical apparatus in all of the following:</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67F" w:rsidP="00FB667F">
            <w:pPr>
              <w:pStyle w:val="BodyText"/>
            </w:pPr>
            <w:r w:rsidRPr="00FB667F">
              <w:t>OHS safety practices and procedures.</w:t>
            </w:r>
          </w:p>
          <w:p w:rsidR="00000000" w:rsidRPr="00FB667F" w:rsidP="00FB667F">
            <w:pPr>
              <w:pStyle w:val="BodyText"/>
            </w:pPr>
            <w:r w:rsidRPr="00FB667F">
              <w:t>Electric shock and resuscitation.</w:t>
            </w:r>
          </w:p>
          <w:p w:rsidR="00000000" w:rsidRPr="00FB667F" w:rsidP="00FB667F">
            <w:pPr>
              <w:pStyle w:val="BodyText"/>
            </w:pPr>
            <w:r w:rsidRPr="00FB667F">
              <w:t>Release and rescue</w:t>
            </w:r>
          </w:p>
          <w:p w:rsidR="00000000" w:rsidRPr="00FB667F" w:rsidP="00FB667F">
            <w:pPr>
              <w:pStyle w:val="BodyText"/>
            </w:pPr>
            <w:r w:rsidRPr="00FB667F">
              <w:t>Role of the Sa</w:t>
            </w:r>
            <w:r w:rsidRPr="00FB667F">
              <w:t>fety Observer</w:t>
            </w:r>
          </w:p>
          <w:p w:rsidR="00000000" w:rsidRPr="00FB667F" w:rsidP="00FB667F">
            <w:pPr>
              <w:pStyle w:val="BodyText"/>
            </w:pPr>
            <w:r w:rsidRPr="00FB667F">
              <w:t>Events constituting an incident.</w:t>
            </w:r>
          </w:p>
          <w:p w:rsidR="00000000" w:rsidRPr="00FB667F" w:rsidP="00FB667F">
            <w:pPr>
              <w:pStyle w:val="BodyText"/>
            </w:pPr>
            <w:r w:rsidRPr="00FB667F">
              <w:t>Procedures in the event of/responding to, incidents.</w:t>
            </w:r>
          </w:p>
          <w:p w:rsidR="00000000" w:rsidRPr="00FB667F" w:rsidP="00FB667F">
            <w:pPr>
              <w:pStyle w:val="BodyText"/>
            </w:pPr>
            <w:r w:rsidRPr="00FB667F">
              <w:t>Methods of identifying hazards.</w:t>
            </w:r>
          </w:p>
          <w:p w:rsidR="00000000" w:rsidRPr="00FB667F" w:rsidP="00FB667F">
            <w:pPr>
              <w:pStyle w:val="BodyText"/>
            </w:pPr>
            <w:r w:rsidRPr="00FB667F">
              <w:t>Risk assessment procedures.</w:t>
            </w:r>
          </w:p>
          <w:p w:rsidR="00000000" w:rsidRPr="00FB667F" w:rsidP="00FB667F">
            <w:pPr>
              <w:pStyle w:val="BodyText"/>
            </w:pPr>
            <w:r w:rsidRPr="00FB667F">
              <w:t>Selection of the best position for monitoring and controlling work (cutting)</w:t>
            </w:r>
          </w:p>
          <w:p w:rsidR="00000000" w:rsidRPr="00FB667F" w:rsidP="00FB667F">
            <w:pPr>
              <w:pStyle w:val="BodyText"/>
            </w:pPr>
            <w:r w:rsidRPr="00FB667F">
              <w:t>Selection of correc</w:t>
            </w:r>
            <w:r w:rsidRPr="00FB667F">
              <w:t>t line of site to the cutter</w:t>
            </w:r>
          </w:p>
          <w:p w:rsidR="00000000" w:rsidRPr="00FB667F" w:rsidP="00FB667F">
            <w:pPr>
              <w:pStyle w:val="BodyText"/>
            </w:pPr>
            <w:r w:rsidRPr="00FB667F">
              <w:t>Correct observation of the work from ground level</w:t>
            </w:r>
          </w:p>
          <w:p w:rsidR="00000000" w:rsidP="00FB667F">
            <w:pPr>
              <w:pStyle w:val="BodyText"/>
              <w:rPr>
                <w:lang w:val="en-NZ"/>
              </w:rPr>
            </w:pPr>
            <w:r w:rsidRPr="00FB667F">
              <w:t>Constant analysis and decision making relevant to the safety of the work, taking into account prevailing site conditions (lay of the land) and on-going weather conditions</w:t>
            </w:r>
          </w:p>
        </w:tc>
      </w:tr>
      <w:tr w:rsidTr="00766787">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7F">
            <w:pPr>
              <w:pStyle w:val="BodyText"/>
              <w:rPr>
                <w:lang w:val="en-NZ"/>
              </w:rPr>
            </w:pPr>
            <w:r w:rsidRPr="00FB667F">
              <w:t>C</w:t>
            </w:r>
          </w:p>
        </w:tc>
        <w:tc>
          <w:tcPr>
            <w:tcW w:w="187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7F">
            <w:pPr>
              <w:pStyle w:val="BodyText"/>
              <w:rPr>
                <w:lang w:val="en-NZ"/>
              </w:rPr>
            </w:pPr>
            <w:r w:rsidRPr="00FB667F">
              <w:t>Confirm vegetation control associated with the operation of control plant, machinery and equipment near live electrical apparatus in all of the following:</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67F" w:rsidP="00FB667F">
            <w:pPr>
              <w:pStyle w:val="BodyText"/>
            </w:pPr>
            <w:r w:rsidRPr="00FB667F">
              <w:t>Identify tree types</w:t>
            </w:r>
          </w:p>
          <w:p w:rsidR="00000000" w:rsidRPr="00FB667F" w:rsidP="00FB667F">
            <w:pPr>
              <w:pStyle w:val="BodyText"/>
            </w:pPr>
            <w:r w:rsidRPr="00FB667F">
              <w:t>Confirm vegetation species and types</w:t>
            </w:r>
          </w:p>
          <w:p w:rsidR="00000000" w:rsidRPr="00FB667F" w:rsidP="00FB667F">
            <w:pPr>
              <w:pStyle w:val="BodyText"/>
            </w:pPr>
            <w:r w:rsidRPr="00FB667F">
              <w:t>Confirm vegetation cutting techniques for d</w:t>
            </w:r>
            <w:r w:rsidRPr="00FB667F">
              <w:t>ifferent vegetation</w:t>
            </w:r>
          </w:p>
          <w:p w:rsidR="00000000" w:rsidRPr="00FB667F" w:rsidP="00FB667F">
            <w:pPr>
              <w:pStyle w:val="BodyText"/>
            </w:pPr>
            <w:r w:rsidRPr="00FB667F">
              <w:t>Confirm appropriate vegetation machinery and equipment to be used</w:t>
            </w:r>
          </w:p>
          <w:p w:rsidR="00000000" w:rsidRPr="00FB667F" w:rsidP="00FB667F">
            <w:pPr>
              <w:pStyle w:val="BodyText"/>
            </w:pPr>
            <w:r w:rsidRPr="00FB667F">
              <w:t>Use of feeder route plans</w:t>
            </w:r>
          </w:p>
          <w:p w:rsidR="00000000" w:rsidP="00FB667F">
            <w:pPr>
              <w:pStyle w:val="BodyText"/>
              <w:rPr>
                <w:lang w:val="en-NZ"/>
              </w:rPr>
            </w:pPr>
            <w:r w:rsidRPr="00FB667F">
              <w:t>Conduct calculations related to loading and slinging</w:t>
            </w:r>
          </w:p>
        </w:tc>
      </w:tr>
      <w:tr w:rsidTr="00766787">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7F">
            <w:pPr>
              <w:pStyle w:val="BodyText"/>
              <w:rPr>
                <w:lang w:val="en-NZ"/>
              </w:rPr>
            </w:pPr>
            <w:r w:rsidRPr="00FB667F">
              <w:t>D</w:t>
            </w:r>
          </w:p>
        </w:tc>
        <w:tc>
          <w:tcPr>
            <w:tcW w:w="187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7F">
            <w:pPr>
              <w:pStyle w:val="BodyText"/>
              <w:rPr>
                <w:lang w:val="en-NZ"/>
              </w:rPr>
            </w:pPr>
            <w:r w:rsidRPr="00FB667F">
              <w:t>Confirm the safe operation of machinery and equipment used in the control of vegetatio</w:t>
            </w:r>
            <w:r w:rsidRPr="00FB667F">
              <w:t>n near live electrical apparatus, in at least 6 of the following:</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67F" w:rsidP="00FB667F">
            <w:pPr>
              <w:pStyle w:val="BodyText"/>
            </w:pPr>
            <w:r w:rsidRPr="00FB667F">
              <w:t>Chippers.</w:t>
            </w:r>
          </w:p>
          <w:p w:rsidR="00000000" w:rsidRPr="00FB667F" w:rsidP="00FB667F">
            <w:pPr>
              <w:pStyle w:val="BodyText"/>
            </w:pPr>
            <w:r w:rsidRPr="00FB667F">
              <w:t>Chainsaws.</w:t>
            </w:r>
          </w:p>
          <w:p w:rsidR="00000000" w:rsidRPr="00FB667F" w:rsidP="00FB667F">
            <w:pPr>
              <w:pStyle w:val="BodyText"/>
            </w:pPr>
            <w:r w:rsidRPr="00FB667F">
              <w:t>Brush cutters.</w:t>
            </w:r>
          </w:p>
          <w:p w:rsidR="00000000" w:rsidRPr="00FB667F" w:rsidP="00FB667F">
            <w:pPr>
              <w:pStyle w:val="BodyText"/>
            </w:pPr>
            <w:r w:rsidRPr="00FB667F">
              <w:t>Slashers.</w:t>
            </w:r>
          </w:p>
          <w:p w:rsidR="00000000" w:rsidRPr="00FB667F" w:rsidP="00FB667F">
            <w:pPr>
              <w:pStyle w:val="BodyText"/>
            </w:pPr>
            <w:r w:rsidRPr="00FB667F">
              <w:t>Power pruners.</w:t>
            </w:r>
          </w:p>
          <w:p w:rsidR="00000000" w:rsidRPr="00FB667F" w:rsidP="00FB667F">
            <w:pPr>
              <w:pStyle w:val="BodyText"/>
            </w:pPr>
            <w:r w:rsidRPr="00FB667F">
              <w:t>Chemical control.</w:t>
            </w:r>
          </w:p>
          <w:p w:rsidR="00000000" w:rsidRPr="00FB667F" w:rsidP="00FB667F">
            <w:pPr>
              <w:pStyle w:val="BodyText"/>
            </w:pPr>
            <w:r w:rsidRPr="00FB667F">
              <w:t>*Pre and post operational checks, inspections and minor maintenance.</w:t>
            </w:r>
          </w:p>
          <w:p w:rsidR="00000000" w:rsidRPr="00FB667F" w:rsidP="00FB667F">
            <w:pPr>
              <w:pStyle w:val="BodyText"/>
            </w:pPr>
            <w:r w:rsidRPr="00FB667F">
              <w:t>*Safe deployment of machinery and equipment in varying conditions and weather.</w:t>
            </w:r>
          </w:p>
          <w:p w:rsidR="00000000" w:rsidP="00FB667F">
            <w:pPr>
              <w:pStyle w:val="BodyText"/>
              <w:rPr>
                <w:lang w:val="en-NZ"/>
              </w:rPr>
            </w:pPr>
            <w:r w:rsidRPr="00FB667F">
              <w:t>(* Must do)</w:t>
            </w:r>
          </w:p>
        </w:tc>
      </w:tr>
      <w:tr w:rsidTr="00766787">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1"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7F">
            <w:pPr>
              <w:pStyle w:val="BodyText"/>
              <w:rPr>
                <w:lang w:val="en-NZ"/>
              </w:rPr>
            </w:pPr>
            <w:r w:rsidRPr="00FB667F">
              <w:t>E</w:t>
            </w:r>
          </w:p>
        </w:tc>
        <w:tc>
          <w:tcPr>
            <w:tcW w:w="187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7F">
            <w:pPr>
              <w:pStyle w:val="BodyText"/>
              <w:rPr>
                <w:lang w:val="en-NZ"/>
              </w:rPr>
            </w:pPr>
            <w:r w:rsidRPr="00FB667F">
              <w:t>At least one occasion</w:t>
            </w:r>
          </w:p>
        </w:tc>
        <w:tc>
          <w:tcPr>
            <w:tcW w:w="28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67F">
            <w:pPr>
              <w:pStyle w:val="BodyText"/>
              <w:rPr>
                <w:lang w:val="en-NZ"/>
              </w:rPr>
            </w:pPr>
            <w:r w:rsidRPr="00FB667F">
              <w:t xml:space="preserve">Dealing with an unplanned event by drawing on essential knowledge and associated skills to provide appropriate solutions incorporated in </w:t>
            </w:r>
            <w:r w:rsidRPr="00FB667F">
              <w:t>the holistic assessment with the above listed items.</w:t>
            </w:r>
          </w:p>
        </w:tc>
      </w:tr>
      <w:tr w:rsidTr="00766787">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rPr>
                <w:rStyle w:val="SpecialBold"/>
              </w:rPr>
              <w:t>Context of and specific resources for assessment</w:t>
            </w:r>
          </w:p>
        </w:tc>
        <w:tc>
          <w:tcPr>
            <w:tcW w:w="6452" w:type="dxa"/>
            <w:gridSpan w:val="5"/>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rPr>
                <w:rStyle w:val="SpecialBold"/>
              </w:rPr>
              <w:t>9</w:t>
            </w:r>
            <w:r w:rsidRPr="00FB667F">
              <w:t>.</w:t>
            </w:r>
            <w:r w:rsidRPr="00FB667F">
              <w:rPr>
                <w:rStyle w:val="SpecialBold"/>
              </w:rPr>
              <w:t>3</w:t>
            </w:r>
            <w:r w:rsidRPr="00FB667F">
              <w:t xml:space="preserve">) </w:t>
            </w:r>
          </w:p>
          <w:p w:rsidR="00000000" w:rsidRPr="00FB667F" w:rsidP="00FB667F">
            <w:pPr>
              <w:pStyle w:val="BodyText"/>
            </w:pPr>
            <w:r w:rsidRPr="00FB667F">
              <w:t>This unit should be assessed as it relates to normal work practice using procedures, information and resources typical of a workplace. This should include:</w:t>
            </w:r>
          </w:p>
          <w:p w:rsidR="00000000" w:rsidRPr="00FB667F" w:rsidP="00FB667F">
            <w:pPr>
              <w:pStyle w:val="ListBullet"/>
            </w:pPr>
            <w:r w:rsidRPr="00FB667F">
              <w:t>OHS policy and work procedures and instructions.</w:t>
            </w:r>
          </w:p>
          <w:p w:rsidR="00000000" w:rsidP="00FB667F">
            <w:pPr>
              <w:pStyle w:val="ListBullet"/>
              <w:rPr>
                <w:lang w:val="en-NZ"/>
              </w:rPr>
            </w:pPr>
            <w:r w:rsidRPr="00FB667F">
              <w:t>Suitable work environment, facilities, equipment an</w:t>
            </w:r>
            <w:r w:rsidRPr="00FB667F">
              <w:t>d materials to safely undertake actual operation and routine maintenance of vegetation control machinery and equipment near live electrical apparatus.</w:t>
            </w:r>
          </w:p>
        </w:tc>
      </w:tr>
      <w:tr w:rsidTr="00766787">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gridSpan w:val="5"/>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In addition to the resources listed above, in Context of and</w:t>
            </w:r>
            <w:r w:rsidRPr="00FB667F">
              <w:t xml:space="preserve"> specific resources for assessment, evidence should show demonstrated competency working below ground, in limited spaces, with different structural/construction types and method and in a variety of environments. </w:t>
            </w:r>
          </w:p>
        </w:tc>
      </w:tr>
      <w:tr w:rsidTr="00766787">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rPr>
                <w:rStyle w:val="SpecialBold"/>
              </w:rPr>
              <w:t>Method of assessment</w:t>
            </w:r>
          </w:p>
        </w:tc>
        <w:tc>
          <w:tcPr>
            <w:tcW w:w="6452" w:type="dxa"/>
            <w:gridSpan w:val="5"/>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rPr>
                <w:rStyle w:val="SpecialBold"/>
              </w:rPr>
              <w:t>9</w:t>
            </w:r>
            <w:r w:rsidRPr="00FB667F">
              <w:t>.</w:t>
            </w:r>
            <w:r w:rsidRPr="00FB667F">
              <w:rPr>
                <w:rStyle w:val="SpecialBold"/>
              </w:rPr>
              <w:t>4</w:t>
            </w:r>
            <w:r w:rsidRPr="00FB667F">
              <w:t xml:space="preserve">) </w:t>
            </w:r>
          </w:p>
          <w:p w:rsidR="00000000" w:rsidRPr="00FB667F" w:rsidP="00FB667F">
            <w:pPr>
              <w:pStyle w:val="BodyText"/>
            </w:pPr>
            <w:r w:rsidRPr="00FB667F">
              <w:t>This Compet</w:t>
            </w:r>
            <w:r w:rsidRPr="00FB667F">
              <w:t>ency Standard Unit shall be assessed by methods given in Volume 1, Part 3 "Assessment Guidelines".</w:t>
            </w:r>
          </w:p>
          <w:p w:rsidR="00000000" w:rsidP="00FB667F">
            <w:pPr>
              <w:pStyle w:val="BodyText"/>
              <w:rPr>
                <w:lang w:val="en-NZ"/>
              </w:rPr>
            </w:pPr>
            <w:r w:rsidRPr="00FB667F">
              <w:t>Note:</w:t>
            </w:r>
            <w:r w:rsidRPr="00FB667F">
              <w:br/>
              <w:t>Competent performance with inherent safe working practices is expected in the Transmission, Distribution and Rail Traction Industry. This requires that</w:t>
            </w:r>
            <w:r w:rsidRPr="00FB667F">
              <w:t xml:space="preserve"> the specified essential knowledge and associated skills are assessed in a structured environment which is primarily intended for learning/assessment and incorporates all necessary equipment and facilities for learners to develop and demonstrate the essent</w:t>
            </w:r>
            <w:r w:rsidRPr="00FB667F">
              <w:t>ial knowledge and associated skills described in this unit.</w:t>
            </w:r>
          </w:p>
        </w:tc>
      </w:tr>
      <w:tr w:rsidTr="00766787">
        <w:tblPrEx>
          <w:tblW w:w="0" w:type="auto"/>
          <w:tblLayout w:type="fixed"/>
          <w:tblCellMar>
            <w:left w:w="62" w:type="dxa"/>
            <w:right w:w="62" w:type="dxa"/>
          </w:tblCellMar>
          <w:tblLook w:val="0000"/>
        </w:tblPrEx>
        <w:tc>
          <w:tcPr>
            <w:tcW w:w="2188" w:type="dxa"/>
            <w:vMerge w:val="restart"/>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rPr>
                <w:rStyle w:val="SpecialBold"/>
              </w:rPr>
              <w:t>Concurrent assessment and relationship with other units</w:t>
            </w:r>
          </w:p>
        </w:tc>
        <w:tc>
          <w:tcPr>
            <w:tcW w:w="6452" w:type="dxa"/>
            <w:gridSpan w:val="5"/>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rPr>
                <w:rStyle w:val="SpecialBold"/>
              </w:rPr>
              <w:t>9</w:t>
            </w:r>
            <w:r w:rsidRPr="00FB667F">
              <w:t>.</w:t>
            </w:r>
            <w:r w:rsidRPr="00FB667F">
              <w:rPr>
                <w:rStyle w:val="SpecialBold"/>
              </w:rPr>
              <w:t>5</w:t>
            </w:r>
            <w:r w:rsidRPr="00FB667F">
              <w:t>)</w:t>
            </w:r>
          </w:p>
        </w:tc>
      </w:tr>
      <w:tr w:rsidTr="00766787">
        <w:tblPrEx>
          <w:tblW w:w="0" w:type="auto"/>
          <w:tblLayout w:type="fixed"/>
          <w:tblCellMar>
            <w:left w:w="62" w:type="dxa"/>
            <w:right w:w="62" w:type="dxa"/>
          </w:tblCellMar>
          <w:tblLook w:val="0000"/>
        </w:tblPrEx>
        <w:tc>
          <w:tcPr>
            <w:tcW w:w="218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gridSpan w:val="5"/>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 xml:space="preserve">For optimisation of training and assessment effort, competence in this unit may be assessed concurrently with the following units: </w:t>
            </w:r>
          </w:p>
        </w:tc>
      </w:tr>
      <w:tr w:rsidTr="00766787">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8" w:type="dxa"/>
            <w:gridSpan w:val="3"/>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UETNEEE001B</w:t>
            </w:r>
          </w:p>
        </w:tc>
        <w:tc>
          <w:tcPr>
            <w:tcW w:w="4624" w:type="dxa"/>
            <w:gridSpan w:val="2"/>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Comply with workplace OHS procedures and practices</w:t>
            </w:r>
          </w:p>
        </w:tc>
      </w:tr>
      <w:tr w:rsidTr="00766787">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8" w:type="dxa"/>
            <w:gridSpan w:val="3"/>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UETTDREL03B</w:t>
            </w:r>
          </w:p>
        </w:tc>
        <w:tc>
          <w:tcPr>
            <w:tcW w:w="4624" w:type="dxa"/>
            <w:gridSpan w:val="2"/>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Comply with environmental and incidence response procedures</w:t>
            </w:r>
          </w:p>
        </w:tc>
      </w:tr>
      <w:tr w:rsidTr="00766787">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8" w:type="dxa"/>
            <w:gridSpan w:val="3"/>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UETTDREL04B</w:t>
            </w:r>
          </w:p>
        </w:tc>
        <w:tc>
          <w:tcPr>
            <w:tcW w:w="4624" w:type="dxa"/>
            <w:gridSpan w:val="2"/>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Working safely near live electrical apparatus as non-electrical worker</w:t>
            </w:r>
          </w:p>
        </w:tc>
      </w:tr>
      <w:tr w:rsidTr="00766787">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28" w:type="dxa"/>
            <w:gridSpan w:val="3"/>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UETTDRVC03B</w:t>
            </w:r>
          </w:p>
        </w:tc>
        <w:tc>
          <w:tcPr>
            <w:tcW w:w="4624" w:type="dxa"/>
            <w:gridSpan w:val="2"/>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t>Plan for the removal of vegetation up to vegetation exclusion zone near live electrical app</w:t>
            </w:r>
            <w:r w:rsidRPr="00FB667F">
              <w:t>aratus</w:t>
            </w:r>
          </w:p>
        </w:tc>
      </w:tr>
    </w:tbl>
    <w:p w:rsidR="00766787" w:rsidP="00FB667F">
      <w:pPr>
        <w:pStyle w:val="BodyText"/>
      </w:pPr>
    </w:p>
    <w:p w:rsidR="00766787" w:rsidP="00FB667F">
      <w:pPr>
        <w:pStyle w:val="BodyText"/>
      </w:pPr>
    </w:p>
    <w:p w:rsidR="00000000" w:rsidRPr="00FB667F" w:rsidP="00FB667F">
      <w:pPr>
        <w:pStyle w:val="Heading1"/>
      </w:pPr>
      <w:bookmarkStart w:id="11" w:name="O_256269"/>
      <w:bookmarkEnd w:id="11"/>
      <w:r w:rsidRPr="00FB667F">
        <w:t>Range Statement</w:t>
      </w:r>
    </w:p>
    <w:tbl>
      <w:tblPr>
        <w:tblW w:w="0" w:type="auto"/>
        <w:tblLayout w:type="fixed"/>
        <w:tblCellMar>
          <w:left w:w="62" w:type="dxa"/>
          <w:right w:w="62" w:type="dxa"/>
        </w:tblCellMar>
        <w:tblLook w:val="0000"/>
      </w:tblPr>
      <w:tblGrid>
        <w:gridCol w:w="2188"/>
        <w:gridCol w:w="6452"/>
      </w:tblGrid>
      <w:tr w:rsidTr="0076678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rPr>
                <w:rStyle w:val="SpecialBold"/>
              </w:rPr>
              <w:t>RANGE STATEMENT</w:t>
            </w:r>
          </w:p>
        </w:tc>
      </w:tr>
      <w:tr w:rsidTr="0076678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rPr>
                <w:rStyle w:val="SpecialBold"/>
              </w:rPr>
              <w:t>8</w:t>
            </w:r>
            <w:r w:rsidRPr="00FB667F">
              <w:t>) This relates to the unit of competency as a whole providing the range of contexts and conditions to which the Performance Criteria apply. It allows for diff</w:t>
            </w:r>
            <w:r w:rsidRPr="00FB667F">
              <w:t>erent work environments and situations that will affect performance.</w:t>
            </w:r>
          </w:p>
        </w:tc>
      </w:tr>
      <w:tr w:rsidTr="0076678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t xml:space="preserve">This Competency Standard Unit is to be demonstrated in relation to the operation and routine maintenance of vegetation control machinery and </w:t>
            </w:r>
            <w:r w:rsidRPr="00FB667F">
              <w:t>equipment such as chippers, chainsaws, brush cutters, power pruners, chemical control and other related associated and powered vegetation control machinery and equipment used near live electrical apparatus.</w:t>
            </w:r>
          </w:p>
          <w:p w:rsidR="00000000" w:rsidRPr="00FB667F" w:rsidP="00FB667F">
            <w:pPr>
              <w:pStyle w:val="BodyText"/>
            </w:pPr>
            <w:r w:rsidRPr="00FB667F">
              <w:t>Excludes plant and machinery that encompasses dri</w:t>
            </w:r>
            <w:r w:rsidRPr="00FB667F">
              <w:t xml:space="preserve">ving/flying and associated licenses, such as aerial croppers, slashers, tritters, boom-operated mowers, stump grinders, insulated elevating work platforms and the like. </w:t>
            </w:r>
          </w:p>
          <w:p w:rsidR="00000000" w:rsidRPr="00FB667F" w:rsidP="00FB667F">
            <w:pPr>
              <w:pStyle w:val="BodyText"/>
            </w:pPr>
            <w:r w:rsidRPr="00FB667F">
              <w:t>Preparation of risk assessment control measures that encompass job safety assessment a</w:t>
            </w:r>
            <w:r w:rsidRPr="00FB667F">
              <w:t xml:space="preserve">nd includes traffic control measures and compliance with relevant State or Territory regulatory agencies/bodies, local government legislation, Industry bi-partite body - Guidelines/Codes of Practices or other related requirements for Safe use of equipment </w:t>
            </w:r>
            <w:r w:rsidRPr="00FB667F">
              <w:t>near live Electrical and Mechanical Apparatus.</w:t>
            </w:r>
          </w:p>
          <w:p w:rsidR="00000000" w:rsidRPr="00FB667F" w:rsidP="00FB667F">
            <w:pPr>
              <w:pStyle w:val="BodyText"/>
            </w:pPr>
            <w:r w:rsidRPr="00FB667F">
              <w:t>Prevailing Licensing Requirements</w:t>
            </w:r>
          </w:p>
          <w:p w:rsidR="00000000" w:rsidRPr="00FB667F" w:rsidP="00FB667F">
            <w:pPr>
              <w:pStyle w:val="BodyText"/>
            </w:pPr>
            <w:r w:rsidRPr="00FB667F">
              <w:t>Excludes any work that is or may be performed by other competent operatives within the defined "ordinary person zone"</w:t>
            </w:r>
          </w:p>
          <w:p w:rsidR="00000000" w:rsidRPr="00FB667F" w:rsidP="00FB667F">
            <w:pPr>
              <w:pStyle w:val="BodyText"/>
            </w:pPr>
            <w:r w:rsidRPr="00FB667F">
              <w:t>Working near energised live electricity supply infrastruc</w:t>
            </w:r>
            <w:r w:rsidRPr="00FB667F">
              <w:t>ture assets</w:t>
            </w:r>
          </w:p>
          <w:p w:rsidR="00000000" w:rsidRPr="00FB667F" w:rsidP="00FB667F">
            <w:pPr>
              <w:pStyle w:val="BodyText"/>
            </w:pPr>
            <w:r w:rsidRPr="00FB667F">
              <w:t>Includes periodical and pre-operational checks of the machinery and equipment for safe operation and conduct of maintenance checks and, associated documentation</w:t>
            </w:r>
          </w:p>
          <w:p w:rsidR="00000000" w:rsidRPr="00FB667F" w:rsidP="00FB667F">
            <w:pPr>
              <w:pStyle w:val="BodyText"/>
            </w:pPr>
            <w:r w:rsidRPr="00FB667F">
              <w:t>Safe approach distances zones/Safe Working Clearance</w:t>
            </w:r>
          </w:p>
          <w:p w:rsidR="00000000" w:rsidRPr="00FB667F" w:rsidP="00FB667F">
            <w:pPr>
              <w:pStyle w:val="BodyText"/>
            </w:pPr>
            <w:r w:rsidRPr="00FB667F">
              <w:t>Work permit(s) and/or access a</w:t>
            </w:r>
            <w:r w:rsidRPr="00FB667F">
              <w:t>uthorisation permits</w:t>
            </w:r>
          </w:p>
          <w:p w:rsidR="00000000" w:rsidRPr="00FB667F" w:rsidP="00FB667F">
            <w:pPr>
              <w:pStyle w:val="BodyText"/>
            </w:pPr>
            <w:r w:rsidRPr="00FB667F">
              <w:t>Technical standards and Industry Guidelines</w:t>
            </w:r>
          </w:p>
          <w:p w:rsidR="00000000" w:rsidRPr="00FB667F" w:rsidP="00FB667F">
            <w:pPr>
              <w:pStyle w:val="BodyText"/>
            </w:pPr>
            <w:r w:rsidRPr="00FB667F">
              <w:t>It may also include other areas such as: Feeder route plans, infrastructure constructions and excavations, rural applications, road construction, pavements and inclement weather</w:t>
            </w:r>
          </w:p>
          <w:p w:rsidR="00000000" w:rsidRPr="00FB667F" w:rsidP="00FB667F">
            <w:pPr>
              <w:pStyle w:val="BodyText"/>
            </w:pPr>
            <w:r w:rsidRPr="00FB667F">
              <w:t>Ground config</w:t>
            </w:r>
            <w:r w:rsidRPr="00FB667F">
              <w:t>uration - undulations, uneven ground, soft ground, damp, etc</w:t>
            </w:r>
          </w:p>
          <w:p w:rsidR="00000000" w:rsidRPr="00FB667F" w:rsidP="00FB667F">
            <w:pPr>
              <w:pStyle w:val="BodyText"/>
            </w:pPr>
            <w:r w:rsidRPr="00FB667F">
              <w:t>Plant, equipment and tools for use in electrical environments</w:t>
            </w:r>
          </w:p>
          <w:p w:rsidR="00000000" w:rsidP="00FB667F">
            <w:pPr>
              <w:pStyle w:val="BodyText"/>
              <w:rPr>
                <w:lang w:val="en-NZ"/>
              </w:rPr>
            </w:pPr>
            <w:r w:rsidRPr="00FB667F">
              <w:t>The following constants and variables included in the Element/Performance Criteria in this unit are fully described in the Definition</w:t>
            </w:r>
            <w:r w:rsidRPr="00FB667F">
              <w:t>s Section 1 of this volume and form an integral part of the Range Statement of this unit:</w:t>
            </w:r>
          </w:p>
        </w:tc>
      </w:tr>
      <w:tr w:rsidTr="00766787">
        <w:tblPrEx>
          <w:tblW w:w="0" w:type="auto"/>
          <w:tblLayout w:type="fixed"/>
          <w:tblCellMar>
            <w:left w:w="62" w:type="dxa"/>
            <w:right w:w="62" w:type="dxa"/>
          </w:tblCellMar>
          <w:tblLook w:val="0000"/>
        </w:tblPrEx>
        <w:tc>
          <w:tcPr>
            <w:tcW w:w="2188"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p>
        </w:tc>
        <w:tc>
          <w:tcPr>
            <w:tcW w:w="6452" w:type="dxa"/>
            <w:tcBorders>
              <w:top w:val="nil"/>
              <w:left w:val="nil"/>
              <w:bottom w:val="nil"/>
              <w:right w:val="nil"/>
            </w:tcBorders>
            <w:tcMar>
              <w:top w:w="0" w:type="dxa"/>
              <w:left w:w="62" w:type="dxa"/>
              <w:bottom w:w="0" w:type="dxa"/>
              <w:right w:w="62" w:type="dxa"/>
            </w:tcMar>
          </w:tcPr>
          <w:p w:rsidR="00000000" w:rsidRPr="00FB667F" w:rsidP="00FB667F">
            <w:pPr>
              <w:pStyle w:val="ListBullet"/>
            </w:pPr>
            <w:r w:rsidRPr="00FB667F">
              <w:t>Appropriate and relevant persons (see Personnel)</w:t>
            </w:r>
          </w:p>
          <w:p w:rsidR="00000000" w:rsidRPr="00FB667F" w:rsidP="00FB667F">
            <w:pPr>
              <w:pStyle w:val="ListBullet"/>
            </w:pPr>
            <w:r w:rsidRPr="00FB667F">
              <w:t>Appropriate authorities</w:t>
            </w:r>
          </w:p>
          <w:p w:rsidR="00000000" w:rsidRPr="00FB667F" w:rsidP="00FB667F">
            <w:pPr>
              <w:pStyle w:val="ListBullet"/>
            </w:pPr>
            <w:r w:rsidRPr="00FB667F">
              <w:t>Appropriate work platform</w:t>
            </w:r>
          </w:p>
          <w:p w:rsidR="00000000" w:rsidRPr="00FB667F" w:rsidP="00FB667F">
            <w:pPr>
              <w:pStyle w:val="ListBullet"/>
            </w:pPr>
            <w:r w:rsidRPr="00FB667F">
              <w:t>Assessing risk</w:t>
            </w:r>
          </w:p>
          <w:p w:rsidR="00000000" w:rsidRPr="00FB667F" w:rsidP="00FB667F">
            <w:pPr>
              <w:pStyle w:val="ListBullet"/>
            </w:pPr>
            <w:r w:rsidRPr="00FB667F">
              <w:t>Assessment</w:t>
            </w:r>
          </w:p>
          <w:p w:rsidR="00000000" w:rsidRPr="00FB667F" w:rsidP="00FB667F">
            <w:pPr>
              <w:pStyle w:val="ListBullet"/>
            </w:pPr>
            <w:r w:rsidRPr="00FB667F">
              <w:t>Authorisation</w:t>
            </w:r>
          </w:p>
          <w:p w:rsidR="00000000" w:rsidRPr="00FB667F" w:rsidP="00FB667F">
            <w:pPr>
              <w:pStyle w:val="ListBullet"/>
            </w:pPr>
            <w:r w:rsidRPr="00FB667F">
              <w:t>Documenting detail work events, record keeping and or storage of information</w:t>
            </w:r>
          </w:p>
          <w:p w:rsidR="00000000" w:rsidRPr="00FB667F" w:rsidP="00FB667F">
            <w:pPr>
              <w:pStyle w:val="ListBullet"/>
            </w:pPr>
            <w:r w:rsidRPr="00FB667F">
              <w:t>Drawings and specifications</w:t>
            </w:r>
          </w:p>
          <w:p w:rsidR="00000000" w:rsidRPr="00FB667F" w:rsidP="00FB667F">
            <w:pPr>
              <w:pStyle w:val="ListBullet"/>
            </w:pPr>
            <w:r w:rsidRPr="00FB667F">
              <w:t>Emergency</w:t>
            </w:r>
          </w:p>
          <w:p w:rsidR="00000000" w:rsidRPr="00FB667F" w:rsidP="00FB667F">
            <w:pPr>
              <w:pStyle w:val="ListBullet"/>
            </w:pPr>
            <w:r w:rsidRPr="00FB667F">
              <w:t>Environmental and sustainable energy procedures</w:t>
            </w:r>
          </w:p>
          <w:p w:rsidR="00000000" w:rsidRPr="00FB667F" w:rsidP="00FB667F">
            <w:pPr>
              <w:pStyle w:val="ListBullet"/>
            </w:pPr>
            <w:r w:rsidRPr="00FB667F">
              <w:t>Environmental legislation</w:t>
            </w:r>
          </w:p>
          <w:p w:rsidR="00000000" w:rsidRPr="00FB667F" w:rsidP="00FB667F">
            <w:pPr>
              <w:pStyle w:val="ListBullet"/>
            </w:pPr>
            <w:r w:rsidRPr="00FB667F">
              <w:t>Established procedures</w:t>
            </w:r>
          </w:p>
          <w:p w:rsidR="00000000" w:rsidRPr="00FB667F" w:rsidP="00FB667F">
            <w:pPr>
              <w:pStyle w:val="ListBullet"/>
            </w:pPr>
            <w:r w:rsidRPr="00FB667F">
              <w:t>Fall prevention</w:t>
            </w:r>
          </w:p>
          <w:p w:rsidR="00000000" w:rsidRPr="00FB667F" w:rsidP="00FB667F">
            <w:pPr>
              <w:pStyle w:val="ListBullet"/>
            </w:pPr>
            <w:r w:rsidRPr="00FB667F">
              <w:t>Hazards</w:t>
            </w:r>
          </w:p>
          <w:p w:rsidR="00000000" w:rsidRPr="00FB667F" w:rsidP="00FB667F">
            <w:pPr>
              <w:pStyle w:val="ListBullet"/>
            </w:pPr>
            <w:r w:rsidRPr="00FB667F">
              <w:t>Identifying hazards</w:t>
            </w:r>
          </w:p>
          <w:p w:rsidR="00000000" w:rsidRPr="00FB667F" w:rsidP="00FB667F">
            <w:pPr>
              <w:pStyle w:val="ListBullet"/>
            </w:pPr>
            <w:r w:rsidRPr="00FB667F">
              <w:t>Inspect</w:t>
            </w:r>
          </w:p>
          <w:p w:rsidR="00000000" w:rsidRPr="00FB667F" w:rsidP="00FB667F">
            <w:pPr>
              <w:pStyle w:val="ListBullet"/>
            </w:pPr>
            <w:r w:rsidRPr="00FB667F">
              <w:t>Legislation</w:t>
            </w:r>
          </w:p>
          <w:p w:rsidR="00000000" w:rsidRPr="00FB667F" w:rsidP="00FB667F">
            <w:pPr>
              <w:pStyle w:val="ListBullet"/>
            </w:pPr>
            <w:r w:rsidRPr="00FB667F">
              <w:t>MSDS</w:t>
            </w:r>
          </w:p>
          <w:p w:rsidR="00000000" w:rsidRPr="00FB667F" w:rsidP="00FB667F">
            <w:pPr>
              <w:pStyle w:val="ListBullet"/>
            </w:pPr>
            <w:r w:rsidRPr="00FB667F">
              <w:t>Notification</w:t>
            </w:r>
          </w:p>
          <w:p w:rsidR="00000000" w:rsidRPr="00FB667F" w:rsidP="00FB667F">
            <w:pPr>
              <w:pStyle w:val="ListBullet"/>
            </w:pPr>
            <w:r w:rsidRPr="00FB667F">
              <w:t>OHS practices</w:t>
            </w:r>
          </w:p>
          <w:p w:rsidR="00000000" w:rsidRPr="00FB667F" w:rsidP="00FB667F">
            <w:pPr>
              <w:pStyle w:val="ListBullet"/>
            </w:pPr>
            <w:r w:rsidRPr="00FB667F">
              <w:t>OHS issues</w:t>
            </w:r>
          </w:p>
          <w:p w:rsidR="00000000" w:rsidRPr="00FB667F" w:rsidP="00FB667F">
            <w:pPr>
              <w:pStyle w:val="ListBullet"/>
            </w:pPr>
            <w:r w:rsidRPr="00FB667F">
              <w:t>Permits and/or permits to work</w:t>
            </w:r>
          </w:p>
          <w:p w:rsidR="00000000" w:rsidRPr="00FB667F" w:rsidP="00FB667F">
            <w:pPr>
              <w:pStyle w:val="ListBullet"/>
            </w:pPr>
            <w:r w:rsidRPr="00FB667F">
              <w:t>Personnel</w:t>
            </w:r>
          </w:p>
          <w:p w:rsidR="00000000" w:rsidRPr="00FB667F" w:rsidP="00FB667F">
            <w:pPr>
              <w:pStyle w:val="ListBullet"/>
            </w:pPr>
            <w:r w:rsidRPr="00FB667F">
              <w:t>Quality assurance systems</w:t>
            </w:r>
          </w:p>
          <w:p w:rsidR="00000000" w:rsidRPr="00FB667F" w:rsidP="00FB667F">
            <w:pPr>
              <w:pStyle w:val="ListBullet"/>
            </w:pPr>
            <w:r w:rsidRPr="00FB667F">
              <w:t>Requirements</w:t>
            </w:r>
          </w:p>
          <w:p w:rsidR="00000000" w:rsidRPr="00FB667F" w:rsidP="00FB667F">
            <w:pPr>
              <w:pStyle w:val="ListBullet"/>
            </w:pPr>
            <w:r w:rsidRPr="00FB667F">
              <w:t>Work clearance systems</w:t>
            </w:r>
          </w:p>
        </w:tc>
      </w:tr>
    </w:tbl>
    <w:p w:rsidR="00766787" w:rsidP="00FB667F">
      <w:pPr>
        <w:pStyle w:val="BodyText"/>
      </w:pPr>
    </w:p>
    <w:p w:rsidR="00766787" w:rsidP="00FB667F">
      <w:pPr>
        <w:pStyle w:val="BodyText"/>
      </w:pPr>
    </w:p>
    <w:p w:rsidR="00000000" w:rsidRPr="00FB667F" w:rsidP="00FB667F">
      <w:pPr>
        <w:pStyle w:val="Heading1"/>
      </w:pPr>
      <w:bookmarkStart w:id="12" w:name="O_297282"/>
      <w:bookmarkEnd w:id="12"/>
      <w:r w:rsidRPr="00FB667F">
        <w:t>Unit Sector(s)</w:t>
      </w:r>
    </w:p>
    <w:p w:rsidR="00000000" w:rsidRPr="00FB667F" w:rsidP="00FB667F">
      <w:pPr>
        <w:pStyle w:val="BodyText"/>
      </w:pPr>
      <w:r w:rsidRPr="00FB667F">
        <w:t>Not Applicable</w:t>
      </w:r>
    </w:p>
    <w:p w:rsidR="00000000" w:rsidRPr="00FB667F" w:rsidP="00FB667F">
      <w:pPr>
        <w:pStyle w:val="AllowPageBreak"/>
      </w:pPr>
    </w:p>
    <w:p w:rsidR="00000000" w:rsidRPr="00FB667F" w:rsidP="00FB667F">
      <w:pPr>
        <w:pStyle w:val="Heading1"/>
      </w:pPr>
      <w:bookmarkStart w:id="13" w:name="O_232267"/>
      <w:bookmarkEnd w:id="13"/>
      <w:r w:rsidRPr="00FB667F">
        <w:t>Custom Content Section</w:t>
      </w:r>
    </w:p>
    <w:tbl>
      <w:tblPr>
        <w:tblW w:w="0" w:type="auto"/>
        <w:tblLayout w:type="fixed"/>
        <w:tblCellMar>
          <w:left w:w="62" w:type="dxa"/>
          <w:right w:w="62" w:type="dxa"/>
        </w:tblCellMar>
        <w:tblLook w:val="0000"/>
      </w:tblPr>
      <w:tblGrid>
        <w:gridCol w:w="1484"/>
        <w:gridCol w:w="1208"/>
        <w:gridCol w:w="1774"/>
        <w:gridCol w:w="1208"/>
        <w:gridCol w:w="1757"/>
        <w:gridCol w:w="1209"/>
      </w:tblGrid>
      <w:tr w:rsidTr="00766787">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rPr>
                <w:rStyle w:val="SpecialBold"/>
              </w:rPr>
              <w:t>2</w:t>
            </w:r>
            <w:r w:rsidRPr="00FB667F">
              <w:t>.</w:t>
            </w:r>
            <w:r w:rsidRPr="00FB667F">
              <w:rPr>
                <w:rStyle w:val="SpecialBold"/>
              </w:rPr>
              <w:t>2</w:t>
            </w:r>
            <w:r w:rsidRPr="00FB667F">
              <w:t xml:space="preserve">) </w:t>
            </w:r>
            <w:r w:rsidRPr="00FB667F">
              <w:rPr>
                <w:rStyle w:val="SpecialBold"/>
              </w:rPr>
              <w:t>Literacy and numeracy skills</w:t>
            </w:r>
          </w:p>
          <w:p w:rsidR="00000000" w:rsidP="00FB667F">
            <w:pPr>
              <w:pStyle w:val="BodyText"/>
              <w:rPr>
                <w:lang w:val="en-NZ"/>
              </w:rPr>
            </w:pPr>
            <w:r w:rsidRPr="00FB667F">
              <w:t>Participants are best equipped to achieve this unit if they have reading, writing and numeracy skills indicated by the following scales. Description of each scale is given in Volume 2, Part 3 "Literacy and Numeracy"</w:t>
            </w:r>
          </w:p>
        </w:tc>
      </w:tr>
      <w:tr w:rsidTr="00766787">
        <w:tblPrEx>
          <w:tblW w:w="0" w:type="auto"/>
          <w:tblLayout w:type="fixed"/>
          <w:tblCellMar>
            <w:left w:w="62" w:type="dxa"/>
            <w:right w:w="62" w:type="dxa"/>
          </w:tblCellMar>
          <w:tblLook w:val="0000"/>
        </w:tblPrEx>
        <w:tc>
          <w:tcPr>
            <w:tcW w:w="1484"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Reading</w:t>
            </w:r>
          </w:p>
        </w:tc>
        <w:tc>
          <w:tcPr>
            <w:tcW w:w="1208"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2</w:t>
            </w:r>
          </w:p>
        </w:tc>
        <w:tc>
          <w:tcPr>
            <w:tcW w:w="1774"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Writing</w:t>
            </w:r>
          </w:p>
        </w:tc>
        <w:tc>
          <w:tcPr>
            <w:tcW w:w="1208"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2</w:t>
            </w:r>
          </w:p>
        </w:tc>
        <w:tc>
          <w:tcPr>
            <w:tcW w:w="175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t>Numeracy</w:t>
            </w:r>
          </w:p>
        </w:tc>
        <w:tc>
          <w:tcPr>
            <w:tcW w:w="1209" w:type="dxa"/>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t>2</w:t>
            </w:r>
          </w:p>
        </w:tc>
      </w:tr>
    </w:tbl>
    <w:p w:rsidR="00766787" w:rsidP="00FB667F">
      <w:pPr>
        <w:pStyle w:val="BodyText"/>
      </w:pPr>
    </w:p>
    <w:p w:rsidR="00766787" w:rsidP="00FB667F">
      <w:pPr>
        <w:pStyle w:val="BodyText"/>
      </w:pPr>
    </w:p>
    <w:p w:rsidR="00000000" w:rsidRPr="00FB667F" w:rsidP="00FB667F">
      <w:pPr>
        <w:pStyle w:val="Heading1"/>
      </w:pPr>
      <w:bookmarkStart w:id="14" w:name="O_232270"/>
      <w:bookmarkEnd w:id="14"/>
      <w:r w:rsidRPr="00FB667F">
        <w:t>Competency Field</w:t>
      </w:r>
    </w:p>
    <w:tbl>
      <w:tblPr>
        <w:tblW w:w="0" w:type="auto"/>
        <w:tblLayout w:type="fixed"/>
        <w:tblCellMar>
          <w:left w:w="62" w:type="dxa"/>
          <w:right w:w="62" w:type="dxa"/>
        </w:tblCellMar>
        <w:tblLook w:val="0000"/>
      </w:tblPr>
      <w:tblGrid>
        <w:gridCol w:w="2753"/>
        <w:gridCol w:w="5887"/>
      </w:tblGrid>
      <w:tr w:rsidTr="00766787">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rPr>
                <w:rStyle w:val="SpecialBold"/>
              </w:rPr>
              <w:t>Competency Field</w:t>
            </w:r>
          </w:p>
        </w:tc>
        <w:tc>
          <w:tcPr>
            <w:tcW w:w="5887" w:type="dxa"/>
            <w:tcBorders>
              <w:top w:val="nil"/>
              <w:left w:val="nil"/>
              <w:bottom w:val="nil"/>
              <w:right w:val="nil"/>
            </w:tcBorders>
            <w:tcMar>
              <w:top w:w="0" w:type="dxa"/>
              <w:left w:w="62" w:type="dxa"/>
              <w:bottom w:w="0" w:type="dxa"/>
              <w:right w:w="62" w:type="dxa"/>
            </w:tcMar>
          </w:tcPr>
          <w:p w:rsidR="00000000" w:rsidP="00FB667F">
            <w:pPr>
              <w:pStyle w:val="BodyText"/>
              <w:rPr>
                <w:lang w:val="en-NZ"/>
              </w:rPr>
            </w:pPr>
            <w:r w:rsidRPr="00FB667F">
              <w:rPr>
                <w:rStyle w:val="SpecialBold"/>
              </w:rPr>
              <w:t>5</w:t>
            </w:r>
            <w:r w:rsidRPr="00FB667F">
              <w:t>)</w:t>
            </w:r>
          </w:p>
        </w:tc>
      </w:tr>
      <w:tr w:rsidTr="00766787">
        <w:tblPrEx>
          <w:tblW w:w="0" w:type="auto"/>
          <w:tblLayout w:type="fixed"/>
          <w:tblCellMar>
            <w:left w:w="62" w:type="dxa"/>
            <w:right w:w="62" w:type="dxa"/>
          </w:tblCellMar>
          <w:tblLook w:val="0000"/>
        </w:tblPrEx>
        <w:tc>
          <w:tcPr>
            <w:tcW w:w="27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7" w:type="dxa"/>
            <w:tcBorders>
              <w:top w:val="nil"/>
              <w:left w:val="nil"/>
              <w:bottom w:val="nil"/>
              <w:right w:val="nil"/>
            </w:tcBorders>
            <w:tcMar>
              <w:top w:w="0" w:type="dxa"/>
              <w:left w:w="62" w:type="dxa"/>
              <w:bottom w:w="0" w:type="dxa"/>
              <w:right w:w="62" w:type="dxa"/>
            </w:tcMar>
          </w:tcPr>
          <w:p w:rsidR="00000000" w:rsidRPr="00FB667F" w:rsidP="00FB667F">
            <w:pPr>
              <w:pStyle w:val="BodyText"/>
            </w:pPr>
            <w:r w:rsidRPr="00FB667F">
              <w:t>Vegetation Units</w:t>
            </w:r>
          </w:p>
        </w:tc>
      </w:tr>
    </w:tbl>
    <w:p w:rsidR="00766787" w:rsidP="00FB667F">
      <w:pPr>
        <w:pStyle w:val="BodyText"/>
      </w:pPr>
    </w:p>
    <w:p w:rsidR="00766787" w:rsidP="00FB667F">
      <w:pPr>
        <w:pStyle w:val="BodyText"/>
      </w:pPr>
    </w:p>
    <w:p w:rsidR="00000000" w:rsidRPr="00FB667F" w:rsidP="00FB667F"/>
    <w:sectPr w:rsidSect="00FB66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6787" w:rsidP="007667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787" w:rsidP="00FB667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766787" w:rsidP="00FB66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66787" w:rsidP="00FB66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7F" w:rsidRPr="00766787" w:rsidP="007667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6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787" w:rsidRPr="002D2AF8" w:rsidP="00FB667F">
    <w:pPr>
      <w:pStyle w:val="Header"/>
      <w:framePr w:wrap="around"/>
    </w:pPr>
    <w:r>
      <w:fldChar w:fldCharType="begin"/>
    </w:r>
    <w:r>
      <w:instrText xml:space="preserve"> TITLE   \* MERGEFORMAT </w:instrText>
    </w:r>
    <w:r>
      <w:fldChar w:fldCharType="separate"/>
    </w:r>
    <w:r>
      <w:t>UETTDRVC02B Operate vegetation control plant, machinery and equipment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766787" w:rsidP="00FB66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DE55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EC22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84FA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6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667F"/>
    <w:pPr>
      <w:spacing w:before="360" w:after="60"/>
      <w:outlineLvl w:val="0"/>
    </w:pPr>
    <w:rPr>
      <w:sz w:val="32"/>
    </w:rPr>
  </w:style>
  <w:style w:type="paragraph" w:styleId="Heading2">
    <w:name w:val="heading 2"/>
    <w:basedOn w:val="HeadingBase"/>
    <w:next w:val="BodyText"/>
    <w:link w:val="Heading2Char"/>
    <w:qFormat/>
    <w:rsid w:val="00FB667F"/>
    <w:pPr>
      <w:keepLines/>
      <w:spacing w:before="240" w:after="120"/>
      <w:outlineLvl w:val="1"/>
    </w:pPr>
    <w:rPr>
      <w:sz w:val="28"/>
      <w:szCs w:val="40"/>
    </w:rPr>
  </w:style>
  <w:style w:type="paragraph" w:styleId="Heading3">
    <w:name w:val="heading 3"/>
    <w:basedOn w:val="HeadingBase"/>
    <w:next w:val="BodyText"/>
    <w:link w:val="Heading3Char"/>
    <w:qFormat/>
    <w:rsid w:val="00FB667F"/>
    <w:pPr>
      <w:spacing w:before="180" w:after="120"/>
      <w:outlineLvl w:val="2"/>
    </w:pPr>
    <w:rPr>
      <w:spacing w:val="-10"/>
      <w:kern w:val="32"/>
    </w:rPr>
  </w:style>
  <w:style w:type="paragraph" w:styleId="Heading4">
    <w:name w:val="heading 4"/>
    <w:basedOn w:val="HeadingBase"/>
    <w:next w:val="BodyText"/>
    <w:link w:val="Heading4Char"/>
    <w:qFormat/>
    <w:rsid w:val="00FB667F"/>
    <w:pPr>
      <w:spacing w:before="160" w:after="120"/>
      <w:outlineLvl w:val="3"/>
    </w:pPr>
    <w:rPr>
      <w:sz w:val="22"/>
    </w:rPr>
  </w:style>
  <w:style w:type="paragraph" w:styleId="Heading5">
    <w:name w:val="heading 5"/>
    <w:basedOn w:val="HeadingBase"/>
    <w:next w:val="Normal"/>
    <w:link w:val="Heading5Char"/>
    <w:qFormat/>
    <w:rsid w:val="00FB667F"/>
    <w:pPr>
      <w:spacing w:before="80"/>
      <w:outlineLvl w:val="4"/>
    </w:pPr>
    <w:rPr>
      <w:color w:val="918585"/>
      <w:sz w:val="20"/>
    </w:rPr>
  </w:style>
  <w:style w:type="paragraph" w:styleId="Heading6">
    <w:name w:val="heading 6"/>
    <w:basedOn w:val="HeadingBase"/>
    <w:next w:val="Normal"/>
    <w:link w:val="Heading6Char"/>
    <w:qFormat/>
    <w:rsid w:val="00FB667F"/>
    <w:pPr>
      <w:spacing w:before="60"/>
      <w:outlineLvl w:val="5"/>
    </w:pPr>
    <w:rPr>
      <w:color w:val="918585"/>
      <w:sz w:val="20"/>
    </w:rPr>
  </w:style>
  <w:style w:type="paragraph" w:styleId="Heading7">
    <w:name w:val="heading 7"/>
    <w:basedOn w:val="Normal"/>
    <w:next w:val="Normal"/>
    <w:link w:val="Heading7Char"/>
    <w:qFormat/>
    <w:rsid w:val="00FB667F"/>
    <w:pPr>
      <w:ind w:left="720"/>
      <w:outlineLvl w:val="6"/>
    </w:pPr>
    <w:rPr>
      <w:i/>
    </w:rPr>
  </w:style>
  <w:style w:type="paragraph" w:styleId="Heading8">
    <w:name w:val="heading 8"/>
    <w:basedOn w:val="Normal"/>
    <w:next w:val="Normal"/>
    <w:link w:val="Heading8Char"/>
    <w:qFormat/>
    <w:rsid w:val="00FB667F"/>
    <w:pPr>
      <w:ind w:left="720"/>
      <w:outlineLvl w:val="7"/>
    </w:pPr>
    <w:rPr>
      <w:i/>
    </w:rPr>
  </w:style>
  <w:style w:type="paragraph" w:styleId="Heading9">
    <w:name w:val="heading 9"/>
    <w:basedOn w:val="Normal"/>
    <w:next w:val="Normal"/>
    <w:link w:val="Heading9Char"/>
    <w:qFormat/>
    <w:rsid w:val="00FB667F"/>
    <w:pPr>
      <w:ind w:left="720"/>
      <w:outlineLvl w:val="8"/>
    </w:pPr>
    <w:rPr>
      <w:i/>
    </w:rPr>
  </w:style>
  <w:style w:type="character" w:default="1" w:styleId="DefaultParagraphFont">
    <w:name w:val="Default Paragraph Font"/>
    <w:uiPriority w:val="1"/>
    <w:unhideWhenUsed/>
    <w:rsid w:val="00FB66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67F"/>
  </w:style>
  <w:style w:type="character" w:customStyle="1" w:styleId="Heading1Char">
    <w:name w:val="Heading 1 Char"/>
    <w:basedOn w:val="DefaultParagraphFont"/>
    <w:link w:val="Heading1"/>
    <w:rsid w:val="00FB667F"/>
    <w:rPr>
      <w:rFonts w:ascii="Times New Roman" w:eastAsia="Times New Roman" w:hAnsi="Times New Roman" w:cs="Times New Roman"/>
      <w:b/>
      <w:sz w:val="32"/>
      <w:szCs w:val="20"/>
      <w:lang w:eastAsia="en-US"/>
    </w:rPr>
  </w:style>
  <w:style w:type="paragraph" w:styleId="BodyText">
    <w:name w:val="Body Text"/>
    <w:basedOn w:val="Normal"/>
    <w:link w:val="BodyTextChar"/>
    <w:rsid w:val="00FB66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667F"/>
    <w:rPr>
      <w:rFonts w:ascii="Times New Roman" w:eastAsia="Times New Roman" w:hAnsi="Times New Roman" w:cs="Times New Roman"/>
      <w:sz w:val="24"/>
      <w:lang w:eastAsia="en-US"/>
    </w:rPr>
  </w:style>
  <w:style w:type="paragraph" w:styleId="Footer">
    <w:name w:val="footer"/>
    <w:basedOn w:val="Normal"/>
    <w:link w:val="FooterChar"/>
    <w:rsid w:val="00FB66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67F"/>
    <w:rPr>
      <w:rFonts w:ascii="Times New Roman" w:eastAsia="Times New Roman" w:hAnsi="Times New Roman" w:cs="Times New Roman"/>
      <w:sz w:val="16"/>
      <w:lang w:eastAsia="en-US"/>
    </w:rPr>
  </w:style>
  <w:style w:type="paragraph" w:styleId="ListBullet">
    <w:name w:val="List Bullet"/>
    <w:basedOn w:val="List"/>
    <w:rsid w:val="00FB667F"/>
    <w:pPr>
      <w:numPr>
        <w:numId w:val="13"/>
      </w:numPr>
      <w:tabs>
        <w:tab w:val="clear" w:pos="340"/>
      </w:tabs>
      <w:spacing w:before="40" w:after="40"/>
    </w:pPr>
  </w:style>
  <w:style w:type="character" w:customStyle="1" w:styleId="SpecialBold">
    <w:name w:val="Special Bold"/>
    <w:basedOn w:val="DefaultParagraphFont"/>
    <w:rsid w:val="00FB667F"/>
    <w:rPr>
      <w:b/>
      <w:spacing w:val="0"/>
    </w:rPr>
  </w:style>
  <w:style w:type="paragraph" w:styleId="ListBullet2">
    <w:name w:val="List Bullet 2"/>
    <w:basedOn w:val="List2"/>
    <w:rsid w:val="00FB667F"/>
    <w:pPr>
      <w:numPr>
        <w:numId w:val="14"/>
      </w:numPr>
      <w:tabs>
        <w:tab w:val="clear" w:pos="680"/>
      </w:tabs>
    </w:pPr>
  </w:style>
  <w:style w:type="paragraph" w:customStyle="1" w:styleId="SuperHeading">
    <w:name w:val="SuperHeading"/>
    <w:basedOn w:val="Normal"/>
    <w:rsid w:val="00FB667F"/>
    <w:pPr>
      <w:spacing w:before="240" w:after="120"/>
      <w:outlineLvl w:val="0"/>
    </w:pPr>
    <w:rPr>
      <w:rFonts w:ascii="Times New Roman" w:hAnsi="Times New Roman"/>
      <w:b/>
      <w:sz w:val="28"/>
    </w:rPr>
  </w:style>
  <w:style w:type="paragraph" w:customStyle="1" w:styleId="AllowPageBreak">
    <w:name w:val="AllowPageBreak"/>
    <w:rsid w:val="00FB66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66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6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6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6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6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6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66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667F"/>
    <w:rPr>
      <w:rFonts w:ascii="Courier New" w:eastAsia="Times New Roman" w:hAnsi="Courier New" w:cs="Times New Roman"/>
      <w:i/>
      <w:szCs w:val="20"/>
      <w:lang w:eastAsia="en-US"/>
    </w:rPr>
  </w:style>
  <w:style w:type="paragraph" w:customStyle="1" w:styleId="HeadingBase">
    <w:name w:val="Heading Base"/>
    <w:rsid w:val="00FB66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67F"/>
    <w:pPr>
      <w:tabs>
        <w:tab w:val="right" w:leader="dot" w:pos="9072"/>
      </w:tabs>
      <w:ind w:left="567"/>
    </w:pPr>
    <w:rPr>
      <w:szCs w:val="22"/>
    </w:rPr>
  </w:style>
  <w:style w:type="paragraph" w:customStyle="1" w:styleId="TOCBase">
    <w:name w:val="TOC Base"/>
    <w:rsid w:val="00FB66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67F"/>
    <w:pPr>
      <w:tabs>
        <w:tab w:val="right" w:leader="dot" w:pos="9072"/>
      </w:tabs>
      <w:spacing w:before="40" w:after="40"/>
      <w:ind w:left="284"/>
    </w:pPr>
    <w:rPr>
      <w:rFonts w:ascii="Times New Roman" w:hAnsi="Times New Roman"/>
    </w:rPr>
  </w:style>
  <w:style w:type="paragraph" w:styleId="TOC1">
    <w:name w:val="toc 1"/>
    <w:basedOn w:val="TOCBase"/>
    <w:next w:val="Normal"/>
    <w:rsid w:val="00FB66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667F"/>
    <w:pPr>
      <w:spacing w:before="5040"/>
      <w:jc w:val="center"/>
    </w:pPr>
    <w:rPr>
      <w:sz w:val="48"/>
      <w:szCs w:val="72"/>
      <w:lang w:val="en-US"/>
    </w:rPr>
  </w:style>
  <w:style w:type="character" w:customStyle="1" w:styleId="TitleChar">
    <w:name w:val="Title Char"/>
    <w:basedOn w:val="DefaultParagraphFont"/>
    <w:link w:val="Title"/>
    <w:rsid w:val="00FB66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67F"/>
    <w:pPr>
      <w:tabs>
        <w:tab w:val="left" w:pos="3600"/>
        <w:tab w:val="left" w:pos="3958"/>
      </w:tabs>
    </w:pPr>
  </w:style>
  <w:style w:type="paragraph" w:styleId="List">
    <w:name w:val="List"/>
    <w:basedOn w:val="BodyText"/>
    <w:next w:val="BodyText"/>
    <w:rsid w:val="00FB667F"/>
    <w:pPr>
      <w:tabs>
        <w:tab w:val="left" w:pos="340"/>
      </w:tabs>
      <w:spacing w:before="60" w:after="60"/>
      <w:ind w:left="340" w:hanging="340"/>
    </w:pPr>
  </w:style>
  <w:style w:type="paragraph" w:customStyle="1" w:styleId="Note">
    <w:name w:val="Note"/>
    <w:basedOn w:val="BodyText"/>
    <w:rsid w:val="00FB66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67F"/>
    <w:pPr>
      <w:framePr w:wrap="auto" w:hAnchor="text" w:y="6049"/>
    </w:pPr>
    <w:rPr>
      <w:color w:val="000000"/>
      <w:sz w:val="40"/>
    </w:rPr>
  </w:style>
  <w:style w:type="paragraph" w:customStyle="1" w:styleId="TOCTitle">
    <w:name w:val="TOCTitle"/>
    <w:basedOn w:val="Heading1"/>
    <w:rsid w:val="00FB667F"/>
    <w:pPr>
      <w:spacing w:after="240"/>
      <w:jc w:val="center"/>
      <w:outlineLvl w:val="9"/>
    </w:pPr>
    <w:rPr>
      <w:caps/>
    </w:rPr>
  </w:style>
  <w:style w:type="paragraph" w:customStyle="1" w:styleId="Version">
    <w:name w:val="Version"/>
    <w:rsid w:val="00FB66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667F"/>
    <w:pPr>
      <w:keepNext w:val="0"/>
      <w:tabs>
        <w:tab w:val="right" w:pos="4176"/>
      </w:tabs>
      <w:ind w:left="198" w:hanging="198"/>
    </w:pPr>
    <w:rPr>
      <w:rFonts w:ascii="Garamond" w:hAnsi="Garamond"/>
    </w:rPr>
  </w:style>
  <w:style w:type="paragraph" w:styleId="IndexHeading">
    <w:name w:val="index heading"/>
    <w:basedOn w:val="Normal"/>
    <w:next w:val="Index1"/>
    <w:semiHidden/>
    <w:rsid w:val="00FB667F"/>
    <w:pPr>
      <w:spacing w:before="120" w:after="120"/>
    </w:pPr>
    <w:rPr>
      <w:rFonts w:ascii="Arial" w:hAnsi="Arial"/>
      <w:b/>
      <w:color w:val="918585"/>
      <w:sz w:val="24"/>
    </w:rPr>
  </w:style>
  <w:style w:type="paragraph" w:styleId="Header">
    <w:name w:val="header"/>
    <w:basedOn w:val="Normal"/>
    <w:link w:val="HeaderChar"/>
    <w:rsid w:val="00FB66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67F"/>
    <w:rPr>
      <w:rFonts w:ascii="Times New Roman" w:eastAsia="Times New Roman" w:hAnsi="Times New Roman" w:cs="Times New Roman"/>
      <w:sz w:val="16"/>
      <w:szCs w:val="20"/>
      <w:lang w:val="en-GB" w:eastAsia="en-US"/>
    </w:rPr>
  </w:style>
  <w:style w:type="paragraph" w:customStyle="1" w:styleId="Chapter">
    <w:name w:val="Chapter"/>
    <w:basedOn w:val="Normal"/>
    <w:rsid w:val="00FB667F"/>
    <w:pPr>
      <w:spacing w:before="240"/>
    </w:pPr>
    <w:rPr>
      <w:rFonts w:ascii="Times New Roman" w:hAnsi="Times New Roman"/>
      <w:smallCaps/>
      <w:spacing w:val="80"/>
      <w:sz w:val="28"/>
    </w:rPr>
  </w:style>
  <w:style w:type="paragraph" w:customStyle="1" w:styleId="InChapter">
    <w:name w:val="InChapter"/>
    <w:basedOn w:val="Heading3"/>
    <w:rsid w:val="00FB667F"/>
    <w:pPr>
      <w:spacing w:after="240"/>
      <w:outlineLvl w:val="9"/>
    </w:pPr>
    <w:rPr>
      <w:noProof/>
    </w:rPr>
  </w:style>
  <w:style w:type="paragraph" w:styleId="Index2">
    <w:name w:val="index 2"/>
    <w:basedOn w:val="Normal"/>
    <w:next w:val="Normal"/>
    <w:semiHidden/>
    <w:rsid w:val="00FB667F"/>
    <w:pPr>
      <w:tabs>
        <w:tab w:val="right" w:pos="4176"/>
      </w:tabs>
      <w:ind w:left="568" w:hanging="284"/>
    </w:pPr>
    <w:rPr>
      <w:rFonts w:ascii="Garamond" w:hAnsi="Garamond"/>
    </w:rPr>
  </w:style>
  <w:style w:type="paragraph" w:customStyle="1" w:styleId="Byline">
    <w:name w:val="Byline"/>
    <w:rsid w:val="00FB66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67F"/>
    <w:pPr>
      <w:tabs>
        <w:tab w:val="clear" w:pos="3600"/>
        <w:tab w:val="clear" w:pos="3958"/>
      </w:tabs>
      <w:jc w:val="right"/>
    </w:pPr>
  </w:style>
  <w:style w:type="character" w:styleId="Emphasis">
    <w:name w:val="Emphasis"/>
    <w:basedOn w:val="DefaultParagraphFont"/>
    <w:qFormat/>
    <w:rsid w:val="00FB667F"/>
    <w:rPr>
      <w:i/>
    </w:rPr>
  </w:style>
  <w:style w:type="paragraph" w:styleId="Caption">
    <w:name w:val="caption"/>
    <w:basedOn w:val="BodyText"/>
    <w:next w:val="Normal"/>
    <w:qFormat/>
    <w:rsid w:val="00FB667F"/>
    <w:pPr>
      <w:framePr w:w="2268" w:hSpace="181" w:vSpace="181" w:wrap="around" w:vAnchor="text" w:hAnchor="page" w:x="1135" w:y="285" w:anchorLock="1"/>
    </w:pPr>
    <w:rPr>
      <w:i/>
    </w:rPr>
  </w:style>
  <w:style w:type="paragraph" w:customStyle="1" w:styleId="MiniTOCTitle">
    <w:name w:val="MiniTOCTitle"/>
    <w:basedOn w:val="Heading4"/>
    <w:rsid w:val="00FB667F"/>
    <w:pPr>
      <w:spacing w:before="240"/>
      <w:outlineLvl w:val="9"/>
    </w:pPr>
    <w:rPr>
      <w:noProof/>
      <w:sz w:val="24"/>
    </w:rPr>
  </w:style>
  <w:style w:type="paragraph" w:customStyle="1" w:styleId="MiniTOCItem">
    <w:name w:val="MiniTOCItem"/>
    <w:basedOn w:val="ListBullet"/>
    <w:rsid w:val="00FB667F"/>
    <w:pPr>
      <w:numPr>
        <w:numId w:val="0"/>
      </w:numPr>
      <w:tabs>
        <w:tab w:val="right" w:leader="dot" w:pos="6521"/>
      </w:tabs>
      <w:spacing w:before="0" w:after="0"/>
    </w:pPr>
  </w:style>
  <w:style w:type="paragraph" w:customStyle="1" w:styleId="TOFTitle">
    <w:name w:val="TOFTitle"/>
    <w:basedOn w:val="TOCTitle"/>
    <w:rsid w:val="00FB667F"/>
  </w:style>
  <w:style w:type="paragraph" w:styleId="TableofFigures">
    <w:name w:val="table of figures"/>
    <w:basedOn w:val="Normal"/>
    <w:next w:val="Normal"/>
    <w:semiHidden/>
    <w:rsid w:val="00FB667F"/>
    <w:pPr>
      <w:tabs>
        <w:tab w:val="right" w:leader="dot" w:pos="9072"/>
      </w:tabs>
      <w:ind w:left="970" w:hanging="403"/>
    </w:pPr>
    <w:rPr>
      <w:rFonts w:ascii="Times New Roman" w:hAnsi="Times New Roman"/>
      <w:b/>
    </w:rPr>
  </w:style>
  <w:style w:type="paragraph" w:styleId="ListNumber">
    <w:name w:val="List Number"/>
    <w:basedOn w:val="List"/>
    <w:rsid w:val="00FB667F"/>
    <w:pPr>
      <w:numPr>
        <w:numId w:val="11"/>
      </w:numPr>
    </w:pPr>
  </w:style>
  <w:style w:type="character" w:customStyle="1" w:styleId="WingdingSymbols">
    <w:name w:val="Wingding Symbols"/>
    <w:rsid w:val="00FB667F"/>
    <w:rPr>
      <w:rFonts w:ascii="Wingdings" w:hAnsi="Wingdings"/>
    </w:rPr>
  </w:style>
  <w:style w:type="paragraph" w:customStyle="1" w:styleId="TableHeading">
    <w:name w:val="Table Heading"/>
    <w:basedOn w:val="HeadingBase"/>
    <w:rsid w:val="00FB667F"/>
    <w:pPr>
      <w:keepLines/>
      <w:pBdr>
        <w:bottom w:val="single" w:sz="6" w:space="1" w:color="918585"/>
      </w:pBdr>
      <w:spacing w:before="240"/>
    </w:pPr>
  </w:style>
  <w:style w:type="character" w:customStyle="1" w:styleId="HotSpot">
    <w:name w:val="HotSpot"/>
    <w:rsid w:val="00FB667F"/>
    <w:rPr>
      <w:color w:val="0033CC"/>
      <w:u w:val="none"/>
    </w:rPr>
  </w:style>
  <w:style w:type="paragraph" w:customStyle="1" w:styleId="BodyTextRight">
    <w:name w:val="Body Text Right"/>
    <w:basedOn w:val="BodyText"/>
    <w:rsid w:val="00FB667F"/>
    <w:pPr>
      <w:spacing w:before="0" w:after="0"/>
      <w:jc w:val="right"/>
    </w:pPr>
  </w:style>
  <w:style w:type="paragraph" w:styleId="Index3">
    <w:name w:val="index 3"/>
    <w:basedOn w:val="ListNumber2"/>
    <w:next w:val="Normal"/>
    <w:semiHidden/>
    <w:rsid w:val="00FB667F"/>
    <w:pPr>
      <w:numPr>
        <w:numId w:val="0"/>
      </w:numPr>
      <w:tabs>
        <w:tab w:val="right" w:leader="dot" w:pos="4176"/>
      </w:tabs>
    </w:pPr>
  </w:style>
  <w:style w:type="paragraph" w:styleId="ListNumber2">
    <w:name w:val="List Number 2"/>
    <w:basedOn w:val="List2"/>
    <w:rsid w:val="00FB667F"/>
    <w:pPr>
      <w:numPr>
        <w:numId w:val="10"/>
      </w:numPr>
      <w:tabs>
        <w:tab w:val="clear" w:pos="1060"/>
      </w:tabs>
    </w:pPr>
  </w:style>
  <w:style w:type="paragraph" w:customStyle="1" w:styleId="MarginNote">
    <w:name w:val="Margin Note"/>
    <w:basedOn w:val="BodyText"/>
    <w:rsid w:val="00FB66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6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6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667F"/>
    <w:rPr>
      <w:sz w:val="32"/>
    </w:rPr>
  </w:style>
  <w:style w:type="paragraph" w:customStyle="1" w:styleId="HeadingProcedure">
    <w:name w:val="Heading Procedure"/>
    <w:basedOn w:val="HeadingBase"/>
    <w:next w:val="Normal"/>
    <w:rsid w:val="00FB667F"/>
    <w:pPr>
      <w:tabs>
        <w:tab w:val="left" w:pos="0"/>
      </w:tabs>
      <w:spacing w:before="120" w:after="60"/>
    </w:pPr>
    <w:rPr>
      <w:i/>
      <w:color w:val="918585"/>
      <w:sz w:val="22"/>
    </w:rPr>
  </w:style>
  <w:style w:type="paragraph" w:customStyle="1" w:styleId="TableBodyText">
    <w:name w:val="Table Body Text"/>
    <w:basedOn w:val="BodyText"/>
    <w:rsid w:val="00FB667F"/>
    <w:pPr>
      <w:spacing w:before="60" w:after="60"/>
    </w:pPr>
  </w:style>
  <w:style w:type="paragraph" w:styleId="ListContinue">
    <w:name w:val="List Continue"/>
    <w:basedOn w:val="List"/>
    <w:rsid w:val="00FB667F"/>
    <w:pPr>
      <w:ind w:firstLine="0"/>
    </w:pPr>
  </w:style>
  <w:style w:type="paragraph" w:customStyle="1" w:styleId="ListNote">
    <w:name w:val="List Note"/>
    <w:basedOn w:val="List"/>
    <w:rsid w:val="00FB667F"/>
    <w:pPr>
      <w:pBdr>
        <w:top w:val="single" w:sz="6" w:space="2" w:color="918585"/>
        <w:bottom w:val="single" w:sz="6" w:space="2" w:color="918585"/>
      </w:pBdr>
      <w:tabs>
        <w:tab w:val="left" w:pos="1021"/>
      </w:tabs>
      <w:ind w:firstLine="0"/>
    </w:pPr>
  </w:style>
  <w:style w:type="paragraph" w:customStyle="1" w:styleId="Warning">
    <w:name w:val="Warning"/>
    <w:basedOn w:val="BodyText"/>
    <w:rsid w:val="00FB667F"/>
    <w:pPr>
      <w:shd w:val="clear" w:color="auto" w:fill="D9D9D9"/>
      <w:tabs>
        <w:tab w:val="left" w:pos="992"/>
      </w:tabs>
      <w:ind w:left="119" w:right="119"/>
    </w:pPr>
    <w:rPr>
      <w:sz w:val="20"/>
    </w:rPr>
  </w:style>
  <w:style w:type="paragraph" w:customStyle="1" w:styleId="MarginIcons">
    <w:name w:val="Margin Icons"/>
    <w:basedOn w:val="BodyText"/>
    <w:rsid w:val="00FB66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67F"/>
    <w:rPr>
      <w:rFonts w:ascii="Courier New" w:hAnsi="Courier New"/>
    </w:rPr>
  </w:style>
  <w:style w:type="paragraph" w:customStyle="1" w:styleId="NoteBullet">
    <w:name w:val="Note Bullet"/>
    <w:basedOn w:val="Note"/>
    <w:rsid w:val="00FB667F"/>
    <w:pPr>
      <w:tabs>
        <w:tab w:val="clear" w:pos="680"/>
      </w:tabs>
      <w:spacing w:before="60" w:after="60"/>
    </w:pPr>
  </w:style>
  <w:style w:type="paragraph" w:customStyle="1" w:styleId="SubHeading2">
    <w:name w:val="SubHeading2"/>
    <w:basedOn w:val="HeadingBase"/>
    <w:rsid w:val="00FB667F"/>
    <w:pPr>
      <w:spacing w:before="240" w:after="60"/>
    </w:pPr>
    <w:rPr>
      <w:sz w:val="20"/>
    </w:rPr>
  </w:style>
  <w:style w:type="paragraph" w:customStyle="1" w:styleId="SubHeading1">
    <w:name w:val="SubHeading1"/>
    <w:basedOn w:val="HeadingBase"/>
    <w:rsid w:val="00FB667F"/>
    <w:pPr>
      <w:spacing w:before="240" w:after="60"/>
    </w:pPr>
    <w:rPr>
      <w:color w:val="918585"/>
      <w:sz w:val="22"/>
    </w:rPr>
  </w:style>
  <w:style w:type="paragraph" w:customStyle="1" w:styleId="SideHeading">
    <w:name w:val="Side Heading"/>
    <w:basedOn w:val="HeadingBase"/>
    <w:rsid w:val="00FB66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67F"/>
    <w:pPr>
      <w:numPr>
        <w:numId w:val="12"/>
      </w:numPr>
    </w:pPr>
  </w:style>
  <w:style w:type="paragraph" w:styleId="PlainText">
    <w:name w:val="Plain Text"/>
    <w:basedOn w:val="Normal"/>
    <w:link w:val="PlainTextChar"/>
    <w:rsid w:val="00FB667F"/>
    <w:rPr>
      <w:sz w:val="20"/>
    </w:rPr>
  </w:style>
  <w:style w:type="character" w:customStyle="1" w:styleId="PlainTextChar">
    <w:name w:val="Plain Text Char"/>
    <w:basedOn w:val="DefaultParagraphFont"/>
    <w:link w:val="PlainText"/>
    <w:rsid w:val="00FB667F"/>
    <w:rPr>
      <w:rFonts w:ascii="Courier New" w:eastAsia="Times New Roman" w:hAnsi="Courier New" w:cs="Times New Roman"/>
      <w:sz w:val="20"/>
      <w:szCs w:val="20"/>
      <w:lang w:eastAsia="en-US"/>
    </w:rPr>
  </w:style>
  <w:style w:type="character" w:customStyle="1" w:styleId="MenuOption">
    <w:name w:val="Menu Option"/>
    <w:basedOn w:val="DefaultParagraphFont"/>
    <w:rsid w:val="00FB667F"/>
    <w:rPr>
      <w:b/>
      <w:smallCaps/>
    </w:rPr>
  </w:style>
  <w:style w:type="paragraph" w:customStyle="1" w:styleId="TableListNumber">
    <w:name w:val="Table List Number"/>
    <w:basedOn w:val="ListNumber"/>
    <w:rsid w:val="00FB667F"/>
    <w:pPr>
      <w:numPr>
        <w:numId w:val="0"/>
      </w:numPr>
    </w:pPr>
  </w:style>
  <w:style w:type="paragraph" w:styleId="TOC4">
    <w:name w:val="toc 4"/>
    <w:basedOn w:val="TOCBase"/>
    <w:next w:val="Normal"/>
    <w:semiHidden/>
    <w:rsid w:val="00FB667F"/>
    <w:pPr>
      <w:tabs>
        <w:tab w:val="right" w:leader="dot" w:pos="9071"/>
      </w:tabs>
      <w:ind w:left="1701"/>
    </w:pPr>
  </w:style>
  <w:style w:type="paragraph" w:customStyle="1" w:styleId="ListAlpha">
    <w:name w:val="List Alpha"/>
    <w:basedOn w:val="List"/>
    <w:rsid w:val="00FB667F"/>
    <w:pPr>
      <w:numPr>
        <w:numId w:val="9"/>
      </w:numPr>
    </w:pPr>
  </w:style>
  <w:style w:type="paragraph" w:customStyle="1" w:styleId="ListAlpha2">
    <w:name w:val="List Alpha 2"/>
    <w:basedOn w:val="List2"/>
    <w:rsid w:val="00FB667F"/>
    <w:pPr>
      <w:numPr>
        <w:numId w:val="8"/>
      </w:numPr>
    </w:pPr>
  </w:style>
  <w:style w:type="paragraph" w:styleId="List2">
    <w:name w:val="List 2"/>
    <w:basedOn w:val="BodyText"/>
    <w:rsid w:val="00FB667F"/>
    <w:pPr>
      <w:tabs>
        <w:tab w:val="left" w:pos="680"/>
      </w:tabs>
      <w:spacing w:before="60" w:after="60"/>
      <w:ind w:left="680" w:hanging="340"/>
    </w:pPr>
  </w:style>
  <w:style w:type="paragraph" w:styleId="List3">
    <w:name w:val="List 3"/>
    <w:basedOn w:val="BodyText"/>
    <w:rsid w:val="00FB667F"/>
    <w:pPr>
      <w:tabs>
        <w:tab w:val="left" w:pos="1021"/>
      </w:tabs>
      <w:spacing w:before="60" w:after="60"/>
      <w:ind w:left="1020" w:hanging="340"/>
    </w:pPr>
  </w:style>
  <w:style w:type="paragraph" w:styleId="List4">
    <w:name w:val="List 4"/>
    <w:basedOn w:val="BodyText"/>
    <w:rsid w:val="00FB667F"/>
    <w:pPr>
      <w:tabs>
        <w:tab w:val="left" w:pos="1361"/>
      </w:tabs>
      <w:spacing w:before="60" w:after="60"/>
      <w:ind w:left="1361" w:hanging="340"/>
    </w:pPr>
  </w:style>
  <w:style w:type="paragraph" w:styleId="List5">
    <w:name w:val="List 5"/>
    <w:basedOn w:val="BodyText"/>
    <w:rsid w:val="00FB667F"/>
    <w:pPr>
      <w:tabs>
        <w:tab w:val="left" w:pos="1701"/>
      </w:tabs>
      <w:spacing w:before="60" w:after="60"/>
      <w:ind w:left="1701" w:hanging="340"/>
    </w:pPr>
  </w:style>
  <w:style w:type="paragraph" w:styleId="ListBullet3">
    <w:name w:val="List Bullet 3"/>
    <w:basedOn w:val="List3"/>
    <w:rsid w:val="00FB667F"/>
    <w:pPr>
      <w:numPr>
        <w:numId w:val="15"/>
      </w:numPr>
      <w:tabs>
        <w:tab w:val="clear" w:pos="1021"/>
      </w:tabs>
      <w:ind w:left="1037" w:hanging="357"/>
    </w:pPr>
  </w:style>
  <w:style w:type="paragraph" w:styleId="ListBullet4">
    <w:name w:val="List Bullet 4"/>
    <w:basedOn w:val="List4"/>
    <w:rsid w:val="00FB667F"/>
    <w:pPr>
      <w:numPr>
        <w:numId w:val="3"/>
      </w:numPr>
    </w:pPr>
  </w:style>
  <w:style w:type="paragraph" w:styleId="ListBullet5">
    <w:name w:val="List Bullet 5"/>
    <w:basedOn w:val="List5"/>
    <w:rsid w:val="00FB667F"/>
    <w:pPr>
      <w:numPr>
        <w:numId w:val="4"/>
      </w:numPr>
    </w:pPr>
  </w:style>
  <w:style w:type="paragraph" w:styleId="ListContinue2">
    <w:name w:val="List Continue 2"/>
    <w:basedOn w:val="List2"/>
    <w:rsid w:val="00FB667F"/>
    <w:pPr>
      <w:ind w:firstLine="0"/>
    </w:pPr>
  </w:style>
  <w:style w:type="paragraph" w:styleId="ListContinue3">
    <w:name w:val="List Continue 3"/>
    <w:basedOn w:val="List3"/>
    <w:rsid w:val="00FB667F"/>
    <w:pPr>
      <w:ind w:left="1021" w:firstLine="0"/>
    </w:pPr>
  </w:style>
  <w:style w:type="paragraph" w:styleId="ListContinue4">
    <w:name w:val="List Continue 4"/>
    <w:basedOn w:val="List4"/>
    <w:rsid w:val="00FB667F"/>
    <w:pPr>
      <w:ind w:firstLine="0"/>
    </w:pPr>
  </w:style>
  <w:style w:type="paragraph" w:styleId="ListContinue5">
    <w:name w:val="List Continue 5"/>
    <w:basedOn w:val="List5"/>
    <w:rsid w:val="00FB667F"/>
    <w:pPr>
      <w:ind w:firstLine="0"/>
    </w:pPr>
  </w:style>
  <w:style w:type="paragraph" w:styleId="ListNumber3">
    <w:name w:val="List Number 3"/>
    <w:basedOn w:val="List3"/>
    <w:rsid w:val="00FB667F"/>
    <w:pPr>
      <w:numPr>
        <w:numId w:val="5"/>
      </w:numPr>
    </w:pPr>
  </w:style>
  <w:style w:type="paragraph" w:styleId="ListNumber4">
    <w:name w:val="List Number 4"/>
    <w:basedOn w:val="List4"/>
    <w:rsid w:val="00FB667F"/>
    <w:pPr>
      <w:numPr>
        <w:numId w:val="6"/>
      </w:numPr>
    </w:pPr>
  </w:style>
  <w:style w:type="paragraph" w:styleId="ListNumber5">
    <w:name w:val="List Number 5"/>
    <w:basedOn w:val="List5"/>
    <w:rsid w:val="00FB667F"/>
    <w:pPr>
      <w:numPr>
        <w:numId w:val="7"/>
      </w:numPr>
    </w:pPr>
  </w:style>
  <w:style w:type="paragraph" w:styleId="BlockText">
    <w:name w:val="Block Text"/>
    <w:basedOn w:val="Normal"/>
    <w:rsid w:val="00FB667F"/>
    <w:pPr>
      <w:spacing w:after="120"/>
      <w:ind w:left="1440" w:right="1440"/>
    </w:pPr>
  </w:style>
  <w:style w:type="character" w:customStyle="1" w:styleId="Subscript">
    <w:name w:val="Subscript"/>
    <w:basedOn w:val="DefaultParagraphFont"/>
    <w:rsid w:val="00FB667F"/>
    <w:rPr>
      <w:sz w:val="16"/>
      <w:vertAlign w:val="subscript"/>
    </w:rPr>
  </w:style>
  <w:style w:type="character" w:customStyle="1" w:styleId="Superscript">
    <w:name w:val="Superscript"/>
    <w:basedOn w:val="DefaultParagraphFont"/>
    <w:rsid w:val="00FB667F"/>
    <w:rPr>
      <w:sz w:val="16"/>
      <w:vertAlign w:val="superscript"/>
    </w:rPr>
  </w:style>
  <w:style w:type="character" w:customStyle="1" w:styleId="Symbols">
    <w:name w:val="Symbols"/>
    <w:basedOn w:val="DefaultParagraphFont"/>
    <w:rsid w:val="00FB667F"/>
    <w:rPr>
      <w:rFonts w:ascii="Symbol" w:hAnsi="Symbol"/>
    </w:rPr>
  </w:style>
  <w:style w:type="character" w:customStyle="1" w:styleId="MenuOptions">
    <w:name w:val="Menu Options"/>
    <w:basedOn w:val="DefaultParagraphFont"/>
    <w:rsid w:val="00FB667F"/>
    <w:rPr>
      <w:rFonts w:ascii="Arial Narrow" w:hAnsi="Arial Narrow"/>
      <w:smallCaps/>
    </w:rPr>
  </w:style>
  <w:style w:type="character" w:customStyle="1" w:styleId="Buttons">
    <w:name w:val="Buttons"/>
    <w:basedOn w:val="DefaultParagraphFont"/>
    <w:rsid w:val="00FB667F"/>
    <w:rPr>
      <w:b/>
    </w:rPr>
  </w:style>
  <w:style w:type="character" w:customStyle="1" w:styleId="Underlined">
    <w:name w:val="Underlined"/>
    <w:basedOn w:val="DefaultParagraphFont"/>
    <w:rsid w:val="00FB667F"/>
    <w:rPr>
      <w:u w:val="single"/>
    </w:rPr>
  </w:style>
  <w:style w:type="paragraph" w:customStyle="1" w:styleId="TableBodyTextRight">
    <w:name w:val="Table Body Text Right"/>
    <w:basedOn w:val="TableBodyText"/>
    <w:rsid w:val="00FB667F"/>
    <w:pPr>
      <w:widowControl w:val="0"/>
      <w:autoSpaceDE w:val="0"/>
      <w:autoSpaceDN w:val="0"/>
      <w:adjustRightInd w:val="0"/>
      <w:jc w:val="right"/>
    </w:pPr>
    <w:rPr>
      <w:rFonts w:cs="Arial"/>
      <w:szCs w:val="18"/>
    </w:rPr>
  </w:style>
  <w:style w:type="paragraph" w:customStyle="1" w:styleId="CopyrightText">
    <w:name w:val="Copyright Text"/>
    <w:basedOn w:val="BodyText"/>
    <w:rsid w:val="00FB667F"/>
    <w:rPr>
      <w:sz w:val="18"/>
    </w:rPr>
  </w:style>
  <w:style w:type="paragraph" w:customStyle="1" w:styleId="BodySmallRight">
    <w:name w:val="Body Small Right"/>
    <w:basedOn w:val="BodyTextRight"/>
    <w:rsid w:val="00FB667F"/>
    <w:rPr>
      <w:sz w:val="18"/>
      <w:szCs w:val="18"/>
    </w:rPr>
  </w:style>
  <w:style w:type="paragraph" w:customStyle="1" w:styleId="MarginEdition">
    <w:name w:val="Margin Edition"/>
    <w:basedOn w:val="MarginNote"/>
    <w:rsid w:val="00FB667F"/>
    <w:pPr>
      <w:spacing w:before="0" w:after="0"/>
    </w:pPr>
    <w:rPr>
      <w:rFonts w:ascii="Times New Roman" w:hAnsi="Times New Roman"/>
      <w:color w:val="999999"/>
    </w:rPr>
  </w:style>
  <w:style w:type="paragraph" w:customStyle="1" w:styleId="Spacer">
    <w:name w:val="Spacer"/>
    <w:basedOn w:val="Normal"/>
    <w:rsid w:val="00FB667F"/>
    <w:rPr>
      <w:sz w:val="2"/>
      <w:szCs w:val="2"/>
    </w:rPr>
  </w:style>
  <w:style w:type="character" w:customStyle="1" w:styleId="Small">
    <w:name w:val="Small"/>
    <w:basedOn w:val="DefaultParagraphFont"/>
    <w:rsid w:val="00FB667F"/>
    <w:rPr>
      <w:sz w:val="16"/>
    </w:rPr>
  </w:style>
  <w:style w:type="paragraph" w:customStyle="1" w:styleId="WideTable">
    <w:name w:val="Wide Table"/>
    <w:basedOn w:val="Normal"/>
    <w:rsid w:val="00FB667F"/>
    <w:pPr>
      <w:ind w:left="-1418"/>
    </w:pPr>
    <w:rPr>
      <w:sz w:val="2"/>
      <w:szCs w:val="2"/>
    </w:rPr>
  </w:style>
  <w:style w:type="character" w:styleId="PageNumber">
    <w:name w:val="page number"/>
    <w:basedOn w:val="DefaultParagraphFont"/>
    <w:rsid w:val="00FB667F"/>
  </w:style>
  <w:style w:type="paragraph" w:styleId="Quote">
    <w:name w:val="Quote"/>
    <w:basedOn w:val="Heading1"/>
    <w:link w:val="QuoteChar"/>
    <w:qFormat/>
    <w:rsid w:val="00FB667F"/>
    <w:rPr>
      <w:b w:val="0"/>
      <w:sz w:val="72"/>
      <w:szCs w:val="72"/>
      <w:lang w:val="en-NZ"/>
    </w:rPr>
  </w:style>
  <w:style w:type="character" w:customStyle="1" w:styleId="QuoteChar">
    <w:name w:val="Quote Char"/>
    <w:basedOn w:val="DefaultParagraphFont"/>
    <w:link w:val="Quote"/>
    <w:rsid w:val="00FB66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67F"/>
    <w:pPr>
      <w:pageBreakBefore/>
    </w:pPr>
  </w:style>
  <w:style w:type="paragraph" w:customStyle="1" w:styleId="Border">
    <w:name w:val="Border"/>
    <w:basedOn w:val="Normal"/>
    <w:qFormat/>
    <w:rsid w:val="00FB66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67F"/>
    <w:rPr>
      <w:b/>
      <w:bCs/>
      <w:i/>
      <w:iCs/>
      <w:color w:val="auto"/>
    </w:rPr>
  </w:style>
  <w:style w:type="paragraph" w:styleId="IntenseQuote">
    <w:name w:val="Intense Quote"/>
    <w:basedOn w:val="Normal"/>
    <w:next w:val="Normal"/>
    <w:link w:val="IntenseQuoteChar"/>
    <w:uiPriority w:val="30"/>
    <w:qFormat/>
    <w:rsid w:val="00FB66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6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667F"/>
    <w:rPr>
      <w:smallCaps/>
      <w:color w:val="auto"/>
      <w:u w:val="single"/>
    </w:rPr>
  </w:style>
  <w:style w:type="character" w:styleId="IntenseReference">
    <w:name w:val="Intense Reference"/>
    <w:basedOn w:val="DefaultParagraphFont"/>
    <w:uiPriority w:val="32"/>
    <w:qFormat/>
    <w:rsid w:val="00FB667F"/>
    <w:rPr>
      <w:b/>
      <w:bCs/>
      <w:smallCaps/>
      <w:color w:val="auto"/>
      <w:spacing w:val="5"/>
      <w:u w:val="single"/>
    </w:rPr>
  </w:style>
  <w:style w:type="paragraph" w:customStyle="1" w:styleId="2ColumnHeading">
    <w:name w:val="2Column Heading"/>
    <w:basedOn w:val="BodyText"/>
    <w:qFormat/>
    <w:rsid w:val="00FB667F"/>
    <w:pPr>
      <w:spacing w:after="60"/>
      <w:ind w:left="-2268"/>
    </w:pPr>
    <w:rPr>
      <w:b/>
    </w:rPr>
  </w:style>
  <w:style w:type="paragraph" w:customStyle="1" w:styleId="Heading1TOC">
    <w:name w:val="Heading1 TOC"/>
    <w:basedOn w:val="Normal"/>
    <w:qFormat/>
    <w:rsid w:val="00FB667F"/>
    <w:pPr>
      <w:spacing w:before="240" w:after="120"/>
    </w:pPr>
    <w:rPr>
      <w:rFonts w:ascii="Times New Roman" w:hAnsi="Times New Roman"/>
      <w:b/>
      <w:sz w:val="32"/>
    </w:rPr>
  </w:style>
  <w:style w:type="paragraph" w:customStyle="1" w:styleId="Heading2TOC">
    <w:name w:val="Heading2 TOC"/>
    <w:basedOn w:val="Normal"/>
    <w:qFormat/>
    <w:rsid w:val="00FB667F"/>
    <w:pPr>
      <w:spacing w:before="240" w:after="60"/>
    </w:pPr>
    <w:rPr>
      <w:rFonts w:ascii="Times New Roman" w:hAnsi="Times New Roman"/>
      <w:b/>
      <w:sz w:val="28"/>
    </w:rPr>
  </w:style>
  <w:style w:type="character" w:customStyle="1" w:styleId="Underline">
    <w:name w:val="Underline"/>
    <w:basedOn w:val="DefaultParagraphFont"/>
    <w:qFormat/>
    <w:rsid w:val="00FB667F"/>
    <w:rPr>
      <w:u w:val="single"/>
    </w:rPr>
  </w:style>
  <w:style w:type="character" w:customStyle="1" w:styleId="BoldandItalics">
    <w:name w:val="Bold and Italics"/>
    <w:qFormat/>
    <w:rsid w:val="00FB667F"/>
    <w:rPr>
      <w:b/>
      <w:i/>
      <w:u w:val="none"/>
    </w:rPr>
  </w:style>
  <w:style w:type="paragraph" w:styleId="BalloonText">
    <w:name w:val="Balloon Text"/>
    <w:basedOn w:val="Normal"/>
    <w:link w:val="BalloonTextChar"/>
    <w:rsid w:val="00FB667F"/>
    <w:rPr>
      <w:rFonts w:ascii="Tahoma" w:hAnsi="Tahoma" w:cs="Tahoma"/>
      <w:sz w:val="16"/>
      <w:szCs w:val="16"/>
    </w:rPr>
  </w:style>
  <w:style w:type="character" w:customStyle="1" w:styleId="BalloonTextChar">
    <w:name w:val="Balloon Text Char"/>
    <w:basedOn w:val="DefaultParagraphFont"/>
    <w:link w:val="BalloonText"/>
    <w:rsid w:val="00FB66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66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66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667F"/>
    <w:rPr>
      <w:b/>
      <w:color w:val="660033"/>
      <w:spacing w:val="0"/>
    </w:rPr>
  </w:style>
  <w:style w:type="paragraph" w:customStyle="1" w:styleId="Nameditemlist">
    <w:name w:val="Named item list"/>
    <w:basedOn w:val="BodyText"/>
    <w:qFormat/>
    <w:rsid w:val="00FB66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2918</Words>
  <Characters>18161</Characters>
  <Application>Microsoft Office Word</Application>
  <DocSecurity>0</DocSecurity>
  <Lines>753</Lines>
  <Paragraphs>280</Paragraphs>
  <ScaleCrop>false</ScaleCrop>
  <Company>Author-it Software Corporation Ltd.</Company>
  <LinksUpToDate>false</LinksUpToDate>
  <CharactersWithSpaces>20846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UETTDRVC02B Operate vegetation control plant, machinery and equipment near live electrical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2012-10-01T04:48:00Z</dcterms:created>
  <dcterms:modified xsi:type="dcterms:W3CDTF">2012-10-01T04:48:00Z</dcterms:modified>
</cp:coreProperties>
</file>