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F4E" w:rsidP="00FC2F4E">
      <w:pPr>
        <w:pStyle w:val="Title"/>
      </w:pPr>
      <w:r>
        <w:fldChar w:fldCharType="begin"/>
      </w:r>
      <w:r>
        <w:instrText xml:space="preserve"> TITLE   \* MERGEFORMAT </w:instrText>
      </w:r>
      <w:r>
        <w:fldChar w:fldCharType="separate"/>
      </w:r>
      <w:r>
        <w:t>UETTDRTS15B Maintain network protection and control systems (Complex)</w:t>
      </w:r>
      <w:r>
        <w:fldChar w:fldCharType="end"/>
      </w:r>
    </w:p>
    <w:p w:rsidR="00FC2F4E" w:rsidP="00FC2F4E">
      <w:pPr>
        <w:pStyle w:val="Version"/>
        <w:sectPr w:rsidSect="00BD60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0DB" w:rsidP="00BD60DB">
      <w:pPr>
        <w:pStyle w:val="SuperHeading"/>
      </w:pPr>
      <w:r w:rsidRPr="00BD60DB">
        <w:t>UETTDRTS15B Maintain network protection and control systems (Complex)</w:t>
      </w:r>
    </w:p>
    <w:p w:rsidR="00000000" w:rsidRPr="00BD60DB" w:rsidP="00BD60DB">
      <w:pPr>
        <w:pStyle w:val="Heading1"/>
      </w:pPr>
      <w:bookmarkStart w:id="1" w:name="O_275585"/>
      <w:bookmarkEnd w:id="1"/>
      <w:r w:rsidRPr="00BD60DB">
        <w:t>Modification History</w:t>
      </w:r>
    </w:p>
    <w:p w:rsidR="00000000" w:rsidRPr="00BD60DB" w:rsidP="00BD60DB">
      <w:pPr>
        <w:pStyle w:val="BodyText"/>
      </w:pPr>
      <w:r w:rsidRPr="00BD60DB">
        <w:t>Not Applicable</w:t>
      </w:r>
    </w:p>
    <w:p w:rsidR="00000000" w:rsidRPr="00BD60DB" w:rsidP="00BD60DB">
      <w:pPr>
        <w:pStyle w:val="AllowPageBreak"/>
      </w:pPr>
    </w:p>
    <w:p w:rsidR="00000000" w:rsidRPr="00BD60DB" w:rsidP="00BD60DB">
      <w:pPr>
        <w:pStyle w:val="Heading1"/>
      </w:pPr>
      <w:bookmarkStart w:id="2" w:name="O_232243"/>
      <w:bookmarkEnd w:id="2"/>
      <w:r w:rsidRPr="00BD60DB">
        <w:t>Unit Descriptor</w:t>
      </w:r>
    </w:p>
    <w:tbl>
      <w:tblPr>
        <w:tblW w:w="0" w:type="auto"/>
        <w:tblLayout w:type="fixed"/>
        <w:tblCellMar>
          <w:left w:w="62" w:type="dxa"/>
          <w:right w:w="62" w:type="dxa"/>
        </w:tblCellMar>
        <w:tblLook w:val="0000"/>
      </w:tblPr>
      <w:tblGrid>
        <w:gridCol w:w="2760"/>
        <w:gridCol w:w="5880"/>
      </w:tblGrid>
      <w:tr w:rsidTr="00FC2F4E">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1</w:t>
            </w:r>
            <w:r w:rsidRPr="00BD60DB">
              <w:t xml:space="preserve">) </w:t>
            </w:r>
          </w:p>
          <w:p w:rsidR="00000000" w:rsidP="00BD60DB">
            <w:pPr>
              <w:pStyle w:val="BodyText"/>
              <w:rPr>
                <w:lang w:val="en-NZ"/>
              </w:rPr>
            </w:pPr>
            <w:r w:rsidRPr="00BD60DB">
              <w:rPr>
                <w:rStyle w:val="SpecialBold"/>
              </w:rPr>
              <w:t>1</w:t>
            </w:r>
            <w:r w:rsidRPr="00BD60DB">
              <w:t>.</w:t>
            </w:r>
            <w:r w:rsidRPr="00BD60DB">
              <w:rPr>
                <w:rStyle w:val="SpecialBold"/>
              </w:rPr>
              <w:t>1</w:t>
            </w:r>
            <w:r w:rsidRPr="00BD60DB">
              <w:t xml:space="preserve">) </w:t>
            </w:r>
            <w:r w:rsidRPr="00BD60DB">
              <w:rPr>
                <w:rStyle w:val="SpecialBold"/>
              </w:rPr>
              <w:t>Descriptor</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t>This Competency Standard Unit covers the maintenance of network protection and control systems in complex situations and includes isolation, inspection, monitoring, testing, adjustment, and repair, refurbishment and or overhaul and functional checks. It in</w:t>
            </w:r>
            <w:r w:rsidRPr="00BD60DB">
              <w:t>cludes schemes from discrete and interdependent and also schemes such as, distance, differential, transformer differential, bus zone, bus overcurrent, revenue metering, SCADA, communications, harmonic control, point on wave.</w:t>
            </w:r>
          </w:p>
        </w:tc>
      </w:tr>
    </w:tbl>
    <w:p w:rsidR="00FC2F4E" w:rsidP="00BD60DB">
      <w:pPr>
        <w:pStyle w:val="BodyText"/>
      </w:pPr>
    </w:p>
    <w:p w:rsidR="00FC2F4E" w:rsidP="00BD60DB">
      <w:pPr>
        <w:pStyle w:val="BodyText"/>
      </w:pPr>
    </w:p>
    <w:p w:rsidR="00000000" w:rsidRPr="00BD60DB" w:rsidP="00BD60DB">
      <w:pPr>
        <w:pStyle w:val="Heading1"/>
      </w:pPr>
      <w:bookmarkStart w:id="3" w:name="O_232248"/>
      <w:bookmarkEnd w:id="3"/>
      <w:r w:rsidRPr="00BD60DB">
        <w:t>Application</w:t>
      </w:r>
      <w:r w:rsidRPr="00BD60DB">
        <w:t xml:space="preserve"> of the Unit</w:t>
      </w:r>
    </w:p>
    <w:tbl>
      <w:tblPr>
        <w:tblW w:w="0" w:type="auto"/>
        <w:tblLayout w:type="fixed"/>
        <w:tblCellMar>
          <w:left w:w="62" w:type="dxa"/>
          <w:right w:w="62" w:type="dxa"/>
        </w:tblCellMar>
        <w:tblLook w:val="0000"/>
      </w:tblPr>
      <w:tblGrid>
        <w:gridCol w:w="2760"/>
        <w:gridCol w:w="5880"/>
      </w:tblGrid>
      <w:tr w:rsidTr="00FC2F4E">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Application of the Unit</w:t>
            </w:r>
          </w:p>
        </w:tc>
        <w:tc>
          <w:tcPr>
            <w:tcW w:w="588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rPr>
                <w:rStyle w:val="SpecialBold"/>
              </w:rPr>
              <w:t>4</w:t>
            </w:r>
            <w:r w:rsidRPr="00BD60DB">
              <w:t>)</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t>This competency standards unit is intended to apply to any recognised development program that leads to the acquisition of a formal award at AQF level 6 or higher.</w:t>
            </w:r>
          </w:p>
        </w:tc>
      </w:tr>
    </w:tbl>
    <w:p w:rsidR="00FC2F4E" w:rsidP="00BD60DB">
      <w:pPr>
        <w:pStyle w:val="BodyText"/>
      </w:pPr>
    </w:p>
    <w:p w:rsidR="00FC2F4E" w:rsidP="00BD60DB">
      <w:pPr>
        <w:pStyle w:val="BodyText"/>
      </w:pPr>
    </w:p>
    <w:p w:rsidR="00000000" w:rsidRPr="00BD60DB" w:rsidP="00BD60DB">
      <w:pPr>
        <w:pStyle w:val="Heading1"/>
      </w:pPr>
      <w:bookmarkStart w:id="4" w:name="O_232244"/>
      <w:bookmarkEnd w:id="4"/>
      <w:r w:rsidRPr="00BD60DB">
        <w:t>Licensing/Regulatory Information</w:t>
      </w:r>
    </w:p>
    <w:tbl>
      <w:tblPr>
        <w:tblW w:w="0" w:type="auto"/>
        <w:tblLayout w:type="fixed"/>
        <w:tblCellMar>
          <w:left w:w="62" w:type="dxa"/>
          <w:right w:w="62" w:type="dxa"/>
        </w:tblCellMar>
        <w:tblLook w:val="0000"/>
      </w:tblPr>
      <w:tblGrid>
        <w:gridCol w:w="8640"/>
      </w:tblGrid>
      <w:tr w:rsidTr="00FC2F4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rPr>
                <w:rStyle w:val="SpecialBold"/>
              </w:rPr>
              <w:t>1</w:t>
            </w:r>
            <w:r w:rsidRPr="00BD60DB">
              <w:t>.</w:t>
            </w:r>
            <w:r w:rsidRPr="00BD60DB">
              <w:rPr>
                <w:rStyle w:val="SpecialBold"/>
              </w:rPr>
              <w:t>2</w:t>
            </w:r>
            <w:r w:rsidRPr="00BD60DB">
              <w:t xml:space="preserve">) </w:t>
            </w:r>
            <w:r w:rsidRPr="00BD60DB">
              <w:rPr>
                <w:rStyle w:val="SpecialBold"/>
              </w:rPr>
              <w:t>License to practice</w:t>
            </w:r>
          </w:p>
        </w:tc>
      </w:tr>
      <w:tr w:rsidTr="00FC2F4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t>The skills and knowledge described in this unit may require a licence/registration to practice in the work place subject to regulations for undertaking of electrical work. Practice in workplace and</w:t>
            </w:r>
            <w:r w:rsidRPr="00BD60DB">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BD60DB">
              <w:t>ommonwealth, State/Territory or Local Government legislation and regulations may exist that limits the age of operating certain equipment.</w:t>
            </w:r>
          </w:p>
        </w:tc>
      </w:tr>
    </w:tbl>
    <w:p w:rsidR="00FC2F4E" w:rsidP="00BD60DB">
      <w:pPr>
        <w:pStyle w:val="BodyText"/>
      </w:pPr>
    </w:p>
    <w:p w:rsidR="00FC2F4E" w:rsidP="00BD60DB">
      <w:pPr>
        <w:pStyle w:val="BodyText"/>
      </w:pPr>
    </w:p>
    <w:p w:rsidR="00000000" w:rsidRPr="00BD60DB" w:rsidP="00BD60DB">
      <w:pPr>
        <w:pStyle w:val="Heading1"/>
      </w:pPr>
      <w:bookmarkStart w:id="5" w:name="O_232245"/>
      <w:bookmarkEnd w:id="5"/>
      <w:r w:rsidRPr="00BD60DB">
        <w:t>Pre-Requisites</w:t>
      </w:r>
    </w:p>
    <w:tbl>
      <w:tblPr>
        <w:tblW w:w="0" w:type="auto"/>
        <w:tblLayout w:type="fixed"/>
        <w:tblCellMar>
          <w:left w:w="62" w:type="dxa"/>
          <w:right w:w="62" w:type="dxa"/>
        </w:tblCellMar>
        <w:tblLook w:val="0000"/>
      </w:tblPr>
      <w:tblGrid>
        <w:gridCol w:w="2760"/>
        <w:gridCol w:w="780"/>
        <w:gridCol w:w="2040"/>
        <w:gridCol w:w="3060"/>
      </w:tblGrid>
      <w:tr w:rsidTr="00FC2F4E">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Prerequisite Unit</w:t>
            </w:r>
            <w:r w:rsidRPr="00BD60DB">
              <w:t>(</w:t>
            </w:r>
            <w:r w:rsidRPr="00BD60DB">
              <w:rPr>
                <w:rStyle w:val="SpecialBold"/>
              </w:rPr>
              <w:t>s</w:t>
            </w:r>
            <w:r w:rsidRPr="00BD60DB">
              <w:t>)</w:t>
            </w:r>
          </w:p>
        </w:tc>
        <w:tc>
          <w:tcPr>
            <w:tcW w:w="5880" w:type="dxa"/>
            <w:gridSpan w:val="3"/>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rPr>
                <w:rStyle w:val="SpecialBold"/>
              </w:rPr>
              <w:t>2</w:t>
            </w:r>
            <w:r w:rsidRPr="00BD60DB">
              <w:t xml:space="preserve">) </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D60DB">
            <w:pPr>
              <w:pStyle w:val="BodyText"/>
              <w:keepNext w:val="0"/>
              <w:keepLines w:val="0"/>
              <w:contextualSpacing w:val="0"/>
            </w:pPr>
          </w:p>
        </w:tc>
        <w:tc>
          <w:tcPr>
            <w:tcW w:w="5880" w:type="dxa"/>
            <w:gridSpan w:val="3"/>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rPr>
                <w:rStyle w:val="SpecialBold"/>
              </w:rPr>
              <w:t>2</w:t>
            </w:r>
            <w:r w:rsidRPr="00BD60DB">
              <w:t>.</w:t>
            </w:r>
            <w:r w:rsidRPr="00BD60DB">
              <w:rPr>
                <w:rStyle w:val="SpecialBold"/>
              </w:rPr>
              <w:t>1</w:t>
            </w:r>
            <w:r w:rsidRPr="00BD60DB">
              <w:t xml:space="preserve">) </w:t>
            </w:r>
            <w:r w:rsidRPr="00BD60DB">
              <w:rPr>
                <w:rStyle w:val="SpecialBold"/>
              </w:rPr>
              <w:t>Competencies</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gridSpan w:val="3"/>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Granting of competen</w:t>
            </w:r>
            <w:r w:rsidRPr="00BD60DB">
              <w:t>cy in this unit shall be made only after competency in the following unit(s) has/have been confirmed:.</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UETTDRTS01B</w:t>
            </w:r>
          </w:p>
        </w:tc>
        <w:tc>
          <w:tcPr>
            <w:tcW w:w="30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Maintain network protection and control systems (interdependent)</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gridSpan w:val="3"/>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t>For the full prerequisite chain details for this unit please refer to Table 3 in Volume 1, Part 2</w:t>
            </w:r>
          </w:p>
        </w:tc>
      </w:tr>
    </w:tbl>
    <w:p w:rsidR="00FC2F4E" w:rsidP="00BD60DB">
      <w:pPr>
        <w:pStyle w:val="BodyText"/>
      </w:pPr>
    </w:p>
    <w:p w:rsidR="00FC2F4E" w:rsidP="00BD60DB">
      <w:pPr>
        <w:pStyle w:val="BodyText"/>
      </w:pPr>
    </w:p>
    <w:p w:rsidR="00000000" w:rsidRPr="00BD60DB" w:rsidP="00BD60DB">
      <w:pPr>
        <w:pStyle w:val="Heading1"/>
      </w:pPr>
      <w:bookmarkStart w:id="6" w:name="O_232247"/>
      <w:bookmarkEnd w:id="6"/>
      <w:r w:rsidRPr="00BD60DB">
        <w:t>Employability Skills Information</w:t>
      </w:r>
    </w:p>
    <w:tbl>
      <w:tblPr>
        <w:tblW w:w="0" w:type="auto"/>
        <w:tblLayout w:type="fixed"/>
        <w:tblCellMar>
          <w:left w:w="62" w:type="dxa"/>
          <w:right w:w="62" w:type="dxa"/>
        </w:tblCellMar>
        <w:tblLook w:val="0000"/>
      </w:tblPr>
      <w:tblGrid>
        <w:gridCol w:w="2760"/>
        <w:gridCol w:w="5880"/>
      </w:tblGrid>
      <w:tr w:rsidTr="00FC2F4E">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Employability Skills</w:t>
            </w:r>
          </w:p>
        </w:tc>
        <w:tc>
          <w:tcPr>
            <w:tcW w:w="588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3</w:t>
            </w:r>
            <w:r w:rsidRPr="00BD60DB">
              <w:t>)</w:t>
            </w:r>
          </w:p>
          <w:p w:rsidR="00000000" w:rsidRPr="00BD60DB" w:rsidP="00BD60DB">
            <w:pPr>
              <w:pStyle w:val="BodyText"/>
            </w:pPr>
            <w:r w:rsidRPr="00BD60DB">
              <w:t>The required outcomes described in this unit of competency contain applicable f</w:t>
            </w:r>
            <w:r w:rsidRPr="00BD60DB">
              <w:t>acets of Employability Skills. The Employability Skills Summary of the qualification in which this unit of competency is packaged will assist in identifying Employability Skill requirements.</w:t>
            </w:r>
          </w:p>
        </w:tc>
      </w:tr>
    </w:tbl>
    <w:p w:rsidR="00FC2F4E" w:rsidP="00BD60DB">
      <w:pPr>
        <w:pStyle w:val="BodyText"/>
      </w:pPr>
    </w:p>
    <w:p w:rsidR="00FC2F4E" w:rsidP="00BD60DB">
      <w:pPr>
        <w:pStyle w:val="BodyText"/>
      </w:pPr>
    </w:p>
    <w:p w:rsidR="00000000" w:rsidRPr="00BD60DB" w:rsidP="00BD60DB">
      <w:pPr>
        <w:pStyle w:val="Heading1"/>
      </w:pPr>
      <w:bookmarkStart w:id="7" w:name="O_293631"/>
      <w:bookmarkEnd w:id="7"/>
      <w:r w:rsidRPr="00BD60DB">
        <w:t>Elements and Performance Criteria Pre-Content</w:t>
      </w:r>
    </w:p>
    <w:tbl>
      <w:tblPr>
        <w:tblW w:w="0" w:type="auto"/>
        <w:tblLayout w:type="fixed"/>
        <w:tblCellMar>
          <w:left w:w="62" w:type="dxa"/>
          <w:right w:w="62" w:type="dxa"/>
        </w:tblCellMar>
        <w:tblLook w:val="0000"/>
      </w:tblPr>
      <w:tblGrid>
        <w:gridCol w:w="2760"/>
        <w:gridCol w:w="5880"/>
      </w:tblGrid>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rPr>
                <w:rStyle w:val="SpecialBold"/>
              </w:rPr>
              <w:t>6</w:t>
            </w:r>
            <w:r w:rsidRPr="00BD60DB">
              <w:t xml:space="preserve">) </w:t>
            </w:r>
            <w:r w:rsidRPr="00BD60DB">
              <w:rPr>
                <w:rStyle w:val="SpecialBold"/>
              </w:rPr>
              <w:t>Elements</w:t>
            </w:r>
            <w:r w:rsidRPr="00BD60DB">
              <w:t>: Elements describe the essential outcomes of a unit of competency</w:t>
            </w:r>
          </w:p>
        </w:tc>
        <w:tc>
          <w:tcPr>
            <w:tcW w:w="588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t>Performance Criteria describe the required performance needed to demonstrate achievement of the element. Assessment of performance is to be consistent with the evidence guide.</w:t>
            </w:r>
          </w:p>
        </w:tc>
      </w:tr>
    </w:tbl>
    <w:p w:rsidR="00000000" w:rsidRPr="00BD60DB" w:rsidP="00BD60DB">
      <w:pPr>
        <w:pStyle w:val="BodyText"/>
      </w:pPr>
    </w:p>
    <w:p w:rsidR="00000000" w:rsidRPr="00BD60DB" w:rsidP="00BD60DB">
      <w:pPr>
        <w:pStyle w:val="AllowPageBreak"/>
      </w:pPr>
    </w:p>
    <w:p w:rsidR="00000000" w:rsidRPr="00BD60DB" w:rsidP="00BD60DB">
      <w:pPr>
        <w:pStyle w:val="Heading1"/>
      </w:pPr>
      <w:bookmarkStart w:id="8" w:name="O_240299"/>
      <w:bookmarkEnd w:id="8"/>
      <w:r w:rsidRPr="00BD60DB">
        <w:t>Elements and Performance Criteria</w:t>
      </w:r>
    </w:p>
    <w:tbl>
      <w:tblPr>
        <w:tblW w:w="0" w:type="auto"/>
        <w:tblLayout w:type="fixed"/>
        <w:tblCellMar>
          <w:left w:w="62" w:type="dxa"/>
          <w:right w:w="62" w:type="dxa"/>
        </w:tblCellMar>
        <w:tblLook w:val="0000"/>
      </w:tblPr>
      <w:tblGrid>
        <w:gridCol w:w="404"/>
        <w:gridCol w:w="2356"/>
        <w:gridCol w:w="960"/>
        <w:gridCol w:w="4920"/>
      </w:tblGrid>
      <w:tr w:rsidTr="00FC2F4E">
        <w:tblPrEx>
          <w:tblW w:w="0" w:type="auto"/>
          <w:tblLayout w:type="fixed"/>
          <w:tblCellMar>
            <w:left w:w="62" w:type="dxa"/>
            <w:right w:w="62" w:type="dxa"/>
          </w:tblCellMar>
          <w:tblLook w:val="0000"/>
        </w:tblPrEx>
        <w:trPr>
          <w:tblHeader/>
        </w:trPr>
        <w:tc>
          <w:tcPr>
            <w:tcW w:w="2760" w:type="dxa"/>
            <w:gridSpan w:val="2"/>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rPr>
                <w:rStyle w:val="SpecialBold"/>
              </w:rPr>
              <w:t>ELEMENT</w:t>
            </w:r>
          </w:p>
        </w:tc>
        <w:tc>
          <w:tcPr>
            <w:tcW w:w="5880" w:type="dxa"/>
            <w:gridSpan w:val="2"/>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PERFORMANCE CRITERIA</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1</w:t>
            </w:r>
          </w:p>
        </w:tc>
        <w:tc>
          <w:tcPr>
            <w:tcW w:w="2356" w:type="dxa"/>
            <w:vMerge w:val="restart"/>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Plan for the maintenance of network protection and control systems (complex)</w:t>
            </w: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1.1</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OHS practices/procedures and Environmental and sustainable energy procedures, which may influence the maintenance of, network protection and control systems (complex) are reviewed and determined.</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1.2</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 xml:space="preserve">Purpose of the maintenance of network protection and </w:t>
            </w:r>
            <w:r w:rsidRPr="00BD60DB">
              <w:t>control systems (complex) is established after data is analysed and expected outcomes of the work are confirmed with the appropriate personnel.</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1.3</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Organisational established procedures on policies and specifications for the maintenance of network protection and control systems (complex) are obtained or established with the appropriate personnel.</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1.4</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 xml:space="preserve">Testing procedures are discussed with and/or </w:t>
            </w:r>
            <w:r w:rsidRPr="00BD60DB">
              <w:t>dir</w:t>
            </w:r>
            <w:r w:rsidRPr="00BD60DB">
              <w:t>ected to the appropriate personnel in order to ascertain the project brief.</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1.5</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Testing parameters are ascertained from organisational established procedures, policies and specifications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1.6</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Equipment/tools and personal protective equipment are selected based on specified Performance Criteria and established procedures.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1.7</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Work roles and tasks are allocated according to requirements and individuals' competencies.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1.8</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Work is prioritised</w:t>
            </w:r>
            <w:r w:rsidRPr="00BD60DB">
              <w:t xml:space="preserve"> and sequenced for the most efficient/effective outcome, completed within an acceptable timeframe to a quality standard and in accordance with established procedures.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1.9</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Liaison and communication issues with other/authorised personnel, authorities, cli</w:t>
            </w:r>
            <w:r w:rsidRPr="00BD60DB">
              <w:t>ents and land owners are resolved and activities coordinated to carry out work.</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1.10</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Risk control measures are identified, prioritised and evaluated against the work schedule.</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1.11</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Relevant work permits are secured to coordinate the performance of work according to requirements and/or established procedures.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2</w:t>
            </w:r>
          </w:p>
        </w:tc>
        <w:tc>
          <w:tcPr>
            <w:tcW w:w="2356" w:type="dxa"/>
            <w:vMerge w:val="restart"/>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Carry out the maintenance of network protection and control systems (complex)</w:t>
            </w: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2.1</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Circuit/systems modelling is used to evalu</w:t>
            </w:r>
            <w:r w:rsidRPr="00BD60DB">
              <w:t>ate alternative proposals as per established procedures.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2.2</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 xml:space="preserve">OHS and sustainable energy principles, functionality and practices to reduce the incidents of accidents and minimise waste are incorporated </w:t>
            </w:r>
            <w:r w:rsidRPr="00BD60DB">
              <w:t>into the project in accordance with requirements and/or established procedures.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2.3</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Maintenance of network protection and control systems (complex) decisions are made on the basis of safety and effective outcomes according to requirements and/or establi</w:t>
            </w:r>
            <w:r w:rsidRPr="00BD60DB">
              <w:t>shed procedures.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2.4</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 xml:space="preserve">Mathematical and/or engineering models of the scheme are used to analyse the effectiveness of </w:t>
            </w:r>
            <w:r w:rsidRPr="00BD60DB">
              <w:t>the finished project as per requirements and established procedures.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2.5</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Technical advice is given regarding potential hazards, safety risks and control measures so that monitoring and preventative action can be undertaken and/or appropriate authorities consulted, where necessary, in accordance with requirements and established</w:t>
            </w:r>
            <w:r w:rsidRPr="00BD60DB">
              <w:t xml:space="preserve"> procedures.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2.6</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Essential knowledge and associated skills are applied to analyse specific data and compare it with compliance specifications to ensure completion of the project within an agreed timeframe according to requirements.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2.7</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Testing of net</w:t>
            </w:r>
            <w:r w:rsidRPr="00BD60DB">
              <w:t>work protection and control systems (complex) is undertaken according to requirements and established procedures.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2.8</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Work teams/groups are arranged/coordinated/evaluated to ensure planned goals are met according to established procedures.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2.9</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Soluti</w:t>
            </w:r>
            <w:r w:rsidRPr="00BD60DB">
              <w:t>ons to non-routine problems are identified and actioned, using acquired essential knowledge and associated skills, according to requirements.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2.10</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Quality of work is monitored against personal performance agreement and/or established organisational and professional standards.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2.11</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Strategic plans are developed incorporating organisation initiatives as per established procedures.</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3</w:t>
            </w:r>
          </w:p>
        </w:tc>
        <w:tc>
          <w:tcPr>
            <w:tcW w:w="2356"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Complete the ma</w:t>
            </w:r>
            <w:r w:rsidRPr="00BD60DB">
              <w:t>intenance of network protection and control systems (complex)</w:t>
            </w: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3.1</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Final inspections of the network protection and control systems (complex) are undertaken to ensure they comply with all requirements and include all specifications and documentation needed t</w:t>
            </w:r>
            <w:r w:rsidRPr="00BD60DB">
              <w:t>o complete the project.</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3.2</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Appropriate personnel are notified of completion and reports and/or completion documents are finalised/commissioned.</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3.3</w:t>
            </w:r>
          </w:p>
        </w:tc>
        <w:tc>
          <w:tcPr>
            <w:tcW w:w="492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Reports and/or completion documents are submitted to relevant personnel/organisations for approval and, where applicable, statutory or regulatory approval.</w:t>
            </w:r>
          </w:p>
        </w:tc>
      </w:tr>
      <w:tr w:rsidTr="00FC2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3.4</w:t>
            </w:r>
          </w:p>
        </w:tc>
        <w:tc>
          <w:tcPr>
            <w:tcW w:w="492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t>Approved copies of the maintenance of network protection and control systems (complex) docume</w:t>
            </w:r>
            <w:r w:rsidRPr="00BD60DB">
              <w:t>nts are issued and records are updated in accordance with established procedures.</w:t>
            </w:r>
          </w:p>
        </w:tc>
      </w:tr>
    </w:tbl>
    <w:p w:rsidR="00FC2F4E" w:rsidP="00BD60DB">
      <w:pPr>
        <w:pStyle w:val="BodyText"/>
      </w:pPr>
    </w:p>
    <w:p w:rsidR="00FC2F4E" w:rsidP="00BD60DB">
      <w:pPr>
        <w:pStyle w:val="BodyText"/>
      </w:pPr>
    </w:p>
    <w:p w:rsidR="00000000" w:rsidRPr="00BD60DB" w:rsidP="00BD60DB">
      <w:pPr>
        <w:pStyle w:val="Heading1"/>
      </w:pPr>
      <w:bookmarkStart w:id="9" w:name="O_264090"/>
      <w:bookmarkEnd w:id="9"/>
      <w:r w:rsidRPr="00BD60DB">
        <w:t>Required Skills and Knowledge</w:t>
      </w:r>
    </w:p>
    <w:tbl>
      <w:tblPr>
        <w:tblW w:w="0" w:type="auto"/>
        <w:tblLayout w:type="fixed"/>
        <w:tblCellMar>
          <w:left w:w="62" w:type="dxa"/>
          <w:right w:w="62" w:type="dxa"/>
        </w:tblCellMar>
        <w:tblLook w:val="0000"/>
      </w:tblPr>
      <w:tblGrid>
        <w:gridCol w:w="2760"/>
        <w:gridCol w:w="1140"/>
        <w:gridCol w:w="4740"/>
      </w:tblGrid>
      <w:tr w:rsidTr="00FC2F4E">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rPr>
                <w:rStyle w:val="SpecialBold"/>
              </w:rPr>
              <w:t>REQUIRED SKILLS AND KNOWLEDGE</w:t>
            </w:r>
          </w:p>
        </w:tc>
      </w:tr>
      <w:tr w:rsidTr="00FC2F4E">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rPr>
                <w:rStyle w:val="SpecialBold"/>
              </w:rPr>
              <w:t>7</w:t>
            </w:r>
            <w:r w:rsidRPr="00BD60DB">
              <w:t xml:space="preserve">) </w:t>
            </w:r>
            <w:r w:rsidRPr="00BD60DB">
              <w:rPr>
                <w:rStyle w:val="SpecialBold"/>
              </w:rPr>
              <w:t>Essential Knowledge and Associated Skills</w:t>
            </w:r>
            <w:r w:rsidRPr="00BD60DB">
              <w:t xml:space="preserve"> (</w:t>
            </w:r>
            <w:r w:rsidRPr="00BD60DB">
              <w:rPr>
                <w:rStyle w:val="SpecialBold"/>
              </w:rPr>
              <w:t>EKAS</w:t>
            </w:r>
            <w:r w:rsidRPr="00BD60DB">
              <w:t>): This describes the essential skills and knowledge and their level, required for this unit.</w:t>
            </w:r>
          </w:p>
        </w:tc>
      </w:tr>
      <w:tr w:rsidTr="00FC2F4E">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t xml:space="preserve">Evidence shall show that knowledge has been acquired of maintaining network protection and control systems (complex). </w:t>
            </w:r>
          </w:p>
          <w:p w:rsidR="00000000" w:rsidRPr="00BD60DB" w:rsidP="00BD60DB">
            <w:pPr>
              <w:pStyle w:val="BodyText"/>
            </w:pPr>
            <w:r w:rsidRPr="00BD60DB">
              <w:t>All knowledge and skills detailed in thi</w:t>
            </w:r>
            <w:r w:rsidRPr="00BD60DB">
              <w:t>s unit should be contextualised to current industry practices and technologies.</w:t>
            </w:r>
          </w:p>
          <w:p w:rsidR="00000000" w:rsidP="00BD60DB">
            <w:pPr>
              <w:pStyle w:val="BodyText"/>
              <w:rPr>
                <w:lang w:val="en-NZ"/>
              </w:rPr>
            </w:pPr>
            <w:r w:rsidRPr="00BD60DB">
              <w:t>The extent of the essential knowledge and associated skills (EKAS) required is given in Volume 2 - Part 2.2 EKAS. It forms an integral part of this unit.</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 xml:space="preserve">E2.18.1 </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Occupatio</w:t>
            </w:r>
            <w:r w:rsidRPr="00BD60DB">
              <w:t>nal Health and Safety principles</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E2.18.2</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Electrical safe working practices</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T2.3.3</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 xml:space="preserve">Statutory and safety considerations </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T2.3.4</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 xml:space="preserve">Electrical equip - protection and control schemes </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T2.3.5</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Discrete protection schemes - isolation and tagging procedures</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T2.3.6</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Protection devices - maintenance and commissioning principles.</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T2.3.7</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Protection devices - manufacturers requirements</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T2.7.6</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Disposal procedures for insulating materials</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T2.10.1</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Visual inspection procedures - substations</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T2.10.2</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Surge relay operation and maintenance - substations</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T2.10.9</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Analyse and interpret results and measurements - substations</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T2.10.17</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Static reactive plant principles - substations</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T2.10.27</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 xml:space="preserve">Use of </w:t>
            </w:r>
            <w:r w:rsidRPr="00BD60DB">
              <w:t>test equipment on discrete protection scheme - substations</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T2.11.18</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Discrete protection systems</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T2.11.19</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Interdependent protection systems</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T2.11.20</w:t>
            </w:r>
          </w:p>
        </w:tc>
        <w:tc>
          <w:tcPr>
            <w:tcW w:w="474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Complex protection systems</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40" w:type="dxa"/>
            <w:tcBorders>
              <w:top w:val="nil"/>
              <w:left w:val="nil"/>
              <w:bottom w:val="nil"/>
              <w:right w:val="nil"/>
            </w:tcBorders>
            <w:tcMar>
              <w:top w:w="0" w:type="dxa"/>
              <w:left w:w="62" w:type="dxa"/>
              <w:bottom w:w="0" w:type="dxa"/>
              <w:right w:w="62" w:type="dxa"/>
            </w:tcMar>
          </w:tcPr>
          <w:p w:rsidR="00000000" w:rsidRPr="00BD60DB" w:rsidP="00BD60DB">
            <w:pPr>
              <w:pStyle w:val="BodyText"/>
            </w:pPr>
          </w:p>
        </w:tc>
      </w:tr>
    </w:tbl>
    <w:p w:rsidR="00FC2F4E" w:rsidP="00BD60DB">
      <w:pPr>
        <w:pStyle w:val="BodyText"/>
      </w:pPr>
    </w:p>
    <w:p w:rsidR="00FC2F4E" w:rsidP="00BD60DB">
      <w:pPr>
        <w:pStyle w:val="BodyText"/>
      </w:pPr>
    </w:p>
    <w:p w:rsidR="00000000" w:rsidRPr="00BD60DB" w:rsidP="00BD60DB">
      <w:pPr>
        <w:pStyle w:val="Heading1"/>
      </w:pPr>
      <w:bookmarkStart w:id="10" w:name="O_248282"/>
      <w:bookmarkEnd w:id="10"/>
      <w:r w:rsidRPr="00BD60DB">
        <w:t>Evidence Guide</w:t>
      </w:r>
    </w:p>
    <w:tbl>
      <w:tblPr>
        <w:tblW w:w="0" w:type="auto"/>
        <w:tblLayout w:type="fixed"/>
        <w:tblCellMar>
          <w:left w:w="62" w:type="dxa"/>
          <w:right w:w="62" w:type="dxa"/>
        </w:tblCellMar>
        <w:tblLook w:val="0000"/>
      </w:tblPr>
      <w:tblGrid>
        <w:gridCol w:w="2160"/>
        <w:gridCol w:w="780"/>
        <w:gridCol w:w="960"/>
        <w:gridCol w:w="1680"/>
        <w:gridCol w:w="3060"/>
      </w:tblGrid>
      <w:tr w:rsidTr="00FC2F4E">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rPr>
                <w:rStyle w:val="SpecialBold"/>
              </w:rPr>
              <w:t>EVIDENCE GUIDE</w:t>
            </w:r>
          </w:p>
        </w:tc>
      </w:tr>
      <w:tr w:rsidTr="00FC2F4E">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rPr>
                <w:rStyle w:val="SpecialBold"/>
              </w:rPr>
              <w:t>9</w:t>
            </w:r>
            <w:r w:rsidRPr="00BD60DB">
              <w:t>) This provides essential advice for assessment of the unit of competency and must be read in conjunction with the Performance Criteria and the Range Statement of the unit of competency and the Training Package Assessment Guidelines.</w:t>
            </w:r>
          </w:p>
        </w:tc>
      </w:tr>
      <w:tr w:rsidTr="00FC2F4E">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The Evidence Guide forms an integral part of this Competency Standard Unit and shall be used in conjunction with all component parts of this unit and, performed in accordance with the Assessment Guidelines of this Training Package.</w:t>
            </w:r>
          </w:p>
        </w:tc>
      </w:tr>
      <w:tr w:rsidTr="00FC2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Overview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9</w:t>
            </w:r>
            <w:r w:rsidRPr="00BD60DB">
              <w:t>.</w:t>
            </w:r>
            <w:r w:rsidRPr="00BD60DB">
              <w:rPr>
                <w:rStyle w:val="SpecialBold"/>
              </w:rPr>
              <w:t>1</w:t>
            </w:r>
            <w:r w:rsidRPr="00BD60DB">
              <w:t xml:space="preserve">) </w:t>
            </w:r>
          </w:p>
          <w:p w:rsidR="00000000" w:rsidRPr="00BD60DB" w:rsidP="00BD60DB">
            <w:pPr>
              <w:pStyle w:val="BodyText"/>
            </w:pPr>
            <w:r w:rsidRPr="00BD60DB">
              <w:t>Longitudinal competency development approaches to assessment, such as Profiling, require data to be reliably gathered in a form that can be consistently interpreted over time. This approach is best utilised in Apprenticeship pr</w:t>
            </w:r>
            <w:r w:rsidRPr="00BD60DB">
              <w:t>ograms and reduces assessment intervention. It is the Industry's preferred model for apprenticeships. However, where summative (or final) assessment is used it is to include the application of the competency in the normal work environment or, at a minimum,</w:t>
            </w:r>
            <w:r w:rsidRPr="00BD60DB">
              <w:t xml:space="preserve"> the application of the competency in a realistically simulated work environment. It is recognised that, in some circumstances, assessment in part or full can occur outside the workplace. However, it must be in accord with Industry and, Regulatory policy i</w:t>
            </w:r>
            <w:r w:rsidRPr="00BD60DB">
              <w:t>n this regard.</w:t>
            </w:r>
          </w:p>
          <w:p w:rsidR="00000000" w:rsidRPr="00BD60DB" w:rsidP="00BD60DB">
            <w:pPr>
              <w:pStyle w:val="BodyText"/>
            </w:pPr>
            <w:r w:rsidRPr="00BD60DB">
              <w:t xml:space="preserve">Methods chosen for a particular assessment will be influenced by various factors. These include the extent of the assessment, the most effective locations for the assessment activities to take place, access to physical resources, additional </w:t>
            </w:r>
            <w:r w:rsidRPr="00BD60DB">
              <w:t>safety measures that may be required and the critical nature of the competencies being assessed.</w:t>
            </w:r>
          </w:p>
          <w:p w:rsidR="00000000" w:rsidRPr="00BD60DB" w:rsidP="00BD60DB">
            <w:pPr>
              <w:pStyle w:val="BodyText"/>
            </w:pPr>
            <w:r w:rsidRPr="00BD60DB">
              <w:t>The critical safety nature of working with electricity, electrical equipment, gas or any other hazardous substance/material carries risk in deeming a person co</w:t>
            </w:r>
            <w:r w:rsidRPr="00BD60DB">
              <w:t>mpetent. Hence, sources of evidence need to be 'rich' in nature so as to minimise error in judgment.</w:t>
            </w:r>
          </w:p>
          <w:p w:rsidR="00000000" w:rsidP="00BD60DB">
            <w:pPr>
              <w:pStyle w:val="BodyText"/>
              <w:rPr>
                <w:lang w:val="en-NZ"/>
              </w:rPr>
            </w:pPr>
            <w:r w:rsidRPr="00BD60DB">
              <w:t>Activities associated with normal every day work have a bearing on the decision as to how much and how detailed the data gathered will contribute to its 'r</w:t>
            </w:r>
            <w:r w:rsidRPr="00BD60DB">
              <w:t>ichness'. Some skills are more critical to safety and operational requirements while the same skills may be more or less frequently practiced. These points are raised for the assessors to consider when choosing an assessment method and developing assessmen</w:t>
            </w:r>
            <w:r w:rsidRPr="00BD60DB">
              <w:t>t instruments. Sample assessment instruments are included for Assessors in the Assessment Guidelines of this Training Package.</w:t>
            </w:r>
          </w:p>
        </w:tc>
      </w:tr>
      <w:tr w:rsidTr="00FC2F4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Critical aspects of evidence required to demonstrate competency in this unit</w:t>
            </w:r>
          </w:p>
        </w:tc>
        <w:tc>
          <w:tcPr>
            <w:tcW w:w="6480" w:type="dxa"/>
            <w:gridSpan w:val="4"/>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9</w:t>
            </w:r>
            <w:r w:rsidRPr="00BD60DB">
              <w:t>.</w:t>
            </w:r>
            <w:r w:rsidRPr="00BD60DB">
              <w:rPr>
                <w:rStyle w:val="SpecialBold"/>
              </w:rPr>
              <w:t>2</w:t>
            </w:r>
            <w:r w:rsidRPr="00BD60DB">
              <w:t xml:space="preserve">) </w:t>
            </w:r>
          </w:p>
          <w:p w:rsidR="00000000" w:rsidP="00BD60DB">
            <w:pPr>
              <w:pStyle w:val="BodyText"/>
              <w:rPr>
                <w:lang w:val="en-NZ"/>
              </w:rPr>
            </w:pPr>
            <w:r w:rsidRPr="00BD60DB">
              <w:t>Before the critical aspects of evidence are considered all prerequisites shall be met.</w:t>
            </w:r>
          </w:p>
        </w:tc>
      </w:tr>
      <w:tr w:rsidTr="00FC2F4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t>Evidence for competence in this unit shall be considered holistically. Each element and associated Performance Criteria shall be demonstrated on at least two occasi</w:t>
            </w:r>
            <w:r w:rsidRPr="00BD60DB">
              <w:t>ons in accordance with the "Assessment Guidelines - UET09". Evidence shall also comprise:</w:t>
            </w:r>
          </w:p>
          <w:p w:rsidR="00000000" w:rsidP="00BD60DB">
            <w:pPr>
              <w:pStyle w:val="ListBullet"/>
              <w:rPr>
                <w:lang w:val="en-NZ"/>
              </w:rPr>
            </w:pPr>
            <w:r w:rsidRPr="00BD60DB">
              <w:t>A representative body of Performance Criteria demonstrated within the timeframes typically expected of the discipline, work function and industrial environment. In p</w:t>
            </w:r>
            <w:r w:rsidRPr="00BD60DB">
              <w:t>articular this shall incorporate evidence that shows a candidate is able to:</w:t>
            </w:r>
          </w:p>
        </w:tc>
      </w:tr>
      <w:tr w:rsidTr="00FC2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BD60DB" w:rsidP="00BD60DB">
            <w:pPr>
              <w:pStyle w:val="ListBullet2"/>
            </w:pPr>
            <w:r w:rsidRPr="00BD60DB">
              <w:t xml:space="preserve">Implement Occupational Health and Safety workplace procedures and practices including </w:t>
            </w:r>
            <w:r w:rsidRPr="00BD60DB">
              <w:t>the use of risk control measures as specified in the Performance Criteria and range; and</w:t>
            </w:r>
          </w:p>
          <w:p w:rsidR="00000000" w:rsidRPr="00BD60DB" w:rsidP="00BD60DB">
            <w:pPr>
              <w:pStyle w:val="ListBullet2"/>
            </w:pPr>
            <w:r w:rsidRPr="00BD60DB">
              <w:t>Apply sustainable energy principles and practices as specified in the Performance Criteria and range; and</w:t>
            </w:r>
          </w:p>
          <w:p w:rsidR="00000000" w:rsidRPr="00BD60DB" w:rsidP="00BD60DB">
            <w:pPr>
              <w:pStyle w:val="ListBullet2"/>
            </w:pPr>
            <w:r w:rsidRPr="00BD60DB">
              <w:t>Demonstrate an understanding of the essential knowledge and associated skills as described in this unit to such an extent that the learner's performance outcome is reported in accordance with the preferred approach; namely a percentile graded result, where</w:t>
            </w:r>
            <w:r w:rsidRPr="00BD60DB">
              <w:t xml:space="preserve"> required by the regulated environment; and</w:t>
            </w:r>
          </w:p>
          <w:p w:rsidR="00000000" w:rsidRPr="00BD60DB" w:rsidP="00BD60DB">
            <w:pPr>
              <w:pStyle w:val="ListBullet2"/>
            </w:pPr>
            <w:r w:rsidRPr="00BD60DB">
              <w:t>Demonstrate an appropriate level of employability skills; and</w:t>
            </w:r>
          </w:p>
          <w:p w:rsidR="00000000" w:rsidP="00BD60DB">
            <w:pPr>
              <w:pStyle w:val="ListBullet2"/>
              <w:rPr>
                <w:lang w:val="en-NZ"/>
              </w:rPr>
            </w:pPr>
            <w:r w:rsidRPr="00BD60DB">
              <w:t>Conduct work observing the relevant Anti discrimination legislation, regulations, policies and workplace procedures; and</w:t>
            </w:r>
          </w:p>
        </w:tc>
      </w:tr>
      <w:tr w:rsidTr="00FC2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BD60DB">
            <w:pPr>
              <w:pStyle w:val="ListBullet"/>
              <w:rPr>
                <w:lang w:val="en-NZ"/>
              </w:rPr>
            </w:pPr>
            <w:r w:rsidRPr="00BD60DB">
              <w:t>Demonstrated performanc</w:t>
            </w:r>
            <w:r w:rsidRPr="00BD60DB">
              <w:t>e across a representative range of contexts from the prescribed items below:</w:t>
            </w:r>
          </w:p>
        </w:tc>
      </w:tr>
      <w:tr w:rsidTr="00FC2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rsidRPr="00BD60DB">
            <w:pPr>
              <w:pStyle w:val="BodyText"/>
              <w:keepNext w:val="0"/>
              <w:keepLines w:val="0"/>
              <w:contextualSpacing w:val="0"/>
            </w:pPr>
          </w:p>
        </w:tc>
        <w:tc>
          <w:tcPr>
            <w:tcW w:w="57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0DB">
            <w:pPr>
              <w:pStyle w:val="BodyText"/>
              <w:rPr>
                <w:lang w:val="en-NZ"/>
              </w:rPr>
            </w:pPr>
            <w:r w:rsidRPr="00BD60DB">
              <w:rPr>
                <w:rStyle w:val="SpecialBold"/>
              </w:rPr>
              <w:t>Range of tools</w:t>
            </w:r>
            <w:r w:rsidRPr="00BD60DB">
              <w:t>/</w:t>
            </w:r>
            <w:r w:rsidRPr="00BD60DB">
              <w:rPr>
                <w:rStyle w:val="SpecialBold"/>
              </w:rPr>
              <w:t>equipment</w:t>
            </w:r>
            <w:r w:rsidRPr="00BD60DB">
              <w:t>/</w:t>
            </w:r>
            <w:r w:rsidRPr="00BD60DB">
              <w:rPr>
                <w:rStyle w:val="SpecialBold"/>
              </w:rPr>
              <w:t>materials</w:t>
            </w:r>
            <w:r w:rsidRPr="00BD60DB">
              <w:t>/</w:t>
            </w:r>
            <w:r w:rsidRPr="00BD60DB">
              <w:rPr>
                <w:rStyle w:val="SpecialBold"/>
              </w:rPr>
              <w:t>procedures</w:t>
            </w:r>
            <w:r w:rsidRPr="00BD60DB">
              <w:t>/</w:t>
            </w:r>
            <w:r w:rsidRPr="00BD60DB">
              <w:rPr>
                <w:rStyle w:val="SpecialBold"/>
              </w:rPr>
              <w:t>workplaces</w:t>
            </w:r>
            <w:r w:rsidRPr="00BD60DB">
              <w:t>/</w:t>
            </w:r>
            <w:r w:rsidRPr="00BD60DB">
              <w:rPr>
                <w:rStyle w:val="SpecialBold"/>
              </w:rPr>
              <w:t>other variables</w:t>
            </w:r>
          </w:p>
        </w:tc>
      </w:tr>
      <w:tr w:rsidTr="00FC2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rsidRPr="00BD60DB">
            <w:pPr>
              <w:pStyle w:val="BodyText"/>
              <w:keepNext w:val="0"/>
              <w:keepLines w:val="0"/>
              <w:contextualSpacing w:val="0"/>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0DB" w:rsidP="00BD60DB">
            <w:pPr>
              <w:pStyle w:val="BodyText"/>
            </w:pPr>
            <w:r w:rsidRPr="00BD60DB">
              <w:rPr>
                <w:rStyle w:val="SpecialBold"/>
              </w:rPr>
              <w:t>Group No</w:t>
            </w:r>
          </w:p>
        </w:tc>
        <w:tc>
          <w:tcPr>
            <w:tcW w:w="1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0DB" w:rsidP="00BD60DB">
            <w:pPr>
              <w:pStyle w:val="BodyText"/>
            </w:pPr>
            <w:r w:rsidRPr="00BD60DB">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0DB">
            <w:pPr>
              <w:pStyle w:val="BodyText"/>
              <w:rPr>
                <w:lang w:val="en-NZ"/>
              </w:rPr>
            </w:pPr>
            <w:r w:rsidRPr="00BD60DB">
              <w:rPr>
                <w:rStyle w:val="SpecialBold"/>
              </w:rPr>
              <w:t>Item List</w:t>
            </w:r>
          </w:p>
        </w:tc>
      </w:tr>
      <w:tr w:rsidTr="00FC2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0DB">
            <w:pPr>
              <w:pStyle w:val="BodyText"/>
              <w:rPr>
                <w:lang w:val="en-NZ"/>
              </w:rPr>
            </w:pPr>
            <w:r w:rsidRPr="00BD60DB">
              <w:t>A</w:t>
            </w:r>
          </w:p>
        </w:tc>
        <w:tc>
          <w:tcPr>
            <w:tcW w:w="1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0DB" w:rsidP="00BD60DB">
            <w:pPr>
              <w:pStyle w:val="BodyText"/>
            </w:pPr>
            <w:r w:rsidRPr="00BD60DB">
              <w:t>Do all of the following:</w:t>
            </w:r>
          </w:p>
          <w:p w:rsidR="00000000" w:rsidRPr="00BD60DB" w:rsidP="00BD60DB">
            <w:pPr>
              <w:pStyle w:val="BodyText"/>
            </w:pPr>
          </w:p>
          <w:p w:rsidR="00000000" w:rsidP="00BD60DB">
            <w:pPr>
              <w:pStyle w:val="BodyText"/>
              <w:rPr>
                <w:lang w:val="en-NZ"/>
              </w:rPr>
            </w:pPr>
            <w:r w:rsidRPr="00BD60DB">
              <w:t>Note: Utilise different schemes from within the complex schemes in the Range Statement of this unit.</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0DB" w:rsidP="00BD60DB">
            <w:pPr>
              <w:pStyle w:val="BodyText"/>
            </w:pPr>
            <w:r w:rsidRPr="00BD60DB">
              <w:t>Isolate protection, control and alarms associated with complex protection and control schemes.</w:t>
            </w:r>
          </w:p>
          <w:p w:rsidR="00000000" w:rsidRPr="00BD60DB" w:rsidP="00BD60DB">
            <w:pPr>
              <w:pStyle w:val="BodyText"/>
            </w:pPr>
            <w:r w:rsidRPr="00BD60DB">
              <w:t xml:space="preserve">Calibrate complex protection and control relays. </w:t>
            </w:r>
          </w:p>
          <w:p w:rsidR="00000000" w:rsidRPr="00BD60DB" w:rsidP="00BD60DB">
            <w:pPr>
              <w:pStyle w:val="BodyText"/>
            </w:pPr>
            <w:r w:rsidRPr="00BD60DB">
              <w:t>Carry out function tests (Trips, alarms etc.) on complex protection and control schemes.</w:t>
            </w:r>
          </w:p>
          <w:p w:rsidR="00000000" w:rsidRPr="00BD60DB" w:rsidP="00BD60DB">
            <w:pPr>
              <w:pStyle w:val="BodyText"/>
            </w:pPr>
            <w:r w:rsidRPr="00BD60DB">
              <w:t xml:space="preserve">Write reports on performance of complex protection and control schemes. </w:t>
            </w:r>
          </w:p>
          <w:p w:rsidR="00000000" w:rsidP="00BD60DB">
            <w:pPr>
              <w:pStyle w:val="BodyText"/>
              <w:rPr>
                <w:lang w:val="en-NZ"/>
              </w:rPr>
            </w:pPr>
            <w:r w:rsidRPr="00BD60DB">
              <w:t>Isolate 'in service' Current Transformers.</w:t>
            </w:r>
          </w:p>
        </w:tc>
      </w:tr>
      <w:tr w:rsidTr="00FC2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0DB">
            <w:pPr>
              <w:pStyle w:val="BodyText"/>
              <w:rPr>
                <w:lang w:val="en-NZ"/>
              </w:rPr>
            </w:pPr>
            <w:r w:rsidRPr="00BD60DB">
              <w:t>B</w:t>
            </w:r>
          </w:p>
        </w:tc>
        <w:tc>
          <w:tcPr>
            <w:tcW w:w="1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0DB">
            <w:pPr>
              <w:pStyle w:val="BodyText"/>
              <w:rPr>
                <w:lang w:val="en-NZ"/>
              </w:rPr>
            </w:pPr>
            <w:r w:rsidRPr="00BD60DB">
              <w:t>Do 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0DB">
            <w:pPr>
              <w:pStyle w:val="BodyText"/>
              <w:rPr>
                <w:lang w:val="en-NZ"/>
              </w:rPr>
            </w:pPr>
            <w:r w:rsidRPr="00BD60DB">
              <w:t>Activities that address the correction of errors in network protection and control systems</w:t>
            </w:r>
          </w:p>
        </w:tc>
      </w:tr>
      <w:tr w:rsidTr="00FC2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0DB">
            <w:pPr>
              <w:pStyle w:val="BodyText"/>
              <w:rPr>
                <w:lang w:val="en-NZ"/>
              </w:rPr>
            </w:pPr>
            <w:r w:rsidRPr="00BD60DB">
              <w:t>C</w:t>
            </w:r>
          </w:p>
        </w:tc>
        <w:tc>
          <w:tcPr>
            <w:tcW w:w="1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0DB">
            <w:pPr>
              <w:pStyle w:val="BodyText"/>
              <w:rPr>
                <w:lang w:val="en-NZ"/>
              </w:rPr>
            </w:pPr>
            <w:r w:rsidRPr="00BD60DB">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0DB">
            <w:pPr>
              <w:pStyle w:val="BodyText"/>
              <w:rPr>
                <w:lang w:val="en-NZ"/>
              </w:rPr>
            </w:pPr>
            <w:r w:rsidRPr="00BD60DB">
              <w:t>Dealing with an unplanned event by drawing on essential knowledge and associated skills to provide appropriat</w:t>
            </w:r>
            <w:r w:rsidRPr="00BD60DB">
              <w:t>e solutions incorporated in the holistic assessment with the above listed items.</w:t>
            </w:r>
          </w:p>
        </w:tc>
      </w:tr>
      <w:tr w:rsidTr="00FC2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Context of and specific resources for assessment</w:t>
            </w:r>
          </w:p>
        </w:tc>
        <w:tc>
          <w:tcPr>
            <w:tcW w:w="6480" w:type="dxa"/>
            <w:gridSpan w:val="4"/>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9</w:t>
            </w:r>
            <w:r w:rsidRPr="00BD60DB">
              <w:t>.</w:t>
            </w:r>
            <w:r w:rsidRPr="00BD60DB">
              <w:rPr>
                <w:rStyle w:val="SpecialBold"/>
              </w:rPr>
              <w:t>3</w:t>
            </w:r>
            <w:r w:rsidRPr="00BD60DB">
              <w:t xml:space="preserve">) </w:t>
            </w:r>
          </w:p>
          <w:p w:rsidR="00000000" w:rsidRPr="00BD60DB" w:rsidP="00BD60DB">
            <w:pPr>
              <w:pStyle w:val="BodyText"/>
            </w:pPr>
            <w:r w:rsidRPr="00BD60DB">
              <w:t>This unit should be assessed as it relates to normal work practice using procedures, information and resources typical of a workplace. This should include:</w:t>
            </w:r>
          </w:p>
          <w:p w:rsidR="00000000" w:rsidRPr="00BD60DB" w:rsidP="00BD60DB">
            <w:pPr>
              <w:pStyle w:val="ListBullet"/>
            </w:pPr>
            <w:r w:rsidRPr="00BD60DB">
              <w:t>OHS policy and work procedures and instructions.</w:t>
            </w:r>
          </w:p>
          <w:p w:rsidR="00000000" w:rsidP="00BD60DB">
            <w:pPr>
              <w:pStyle w:val="ListBullet"/>
              <w:rPr>
                <w:lang w:val="en-NZ"/>
              </w:rPr>
            </w:pPr>
            <w:r w:rsidRPr="00BD60DB">
              <w:t>Suitable work environment, facilities, equipment a</w:t>
            </w:r>
            <w:r w:rsidRPr="00BD60DB">
              <w:t>nd materials to undertake actual maintenance of network protection and control systems (complex).</w:t>
            </w:r>
          </w:p>
        </w:tc>
      </w:tr>
      <w:tr w:rsidTr="00FC2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 xml:space="preserve">In addition to the resources listed above, in Context of and specific resources for assessment, evidence should show demonstrated competency </w:t>
            </w:r>
            <w:r w:rsidRPr="00BD60DB">
              <w:t>working in realistic environment and a variety of conditions.</w:t>
            </w:r>
          </w:p>
        </w:tc>
      </w:tr>
      <w:tr w:rsidTr="00FC2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Method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9</w:t>
            </w:r>
            <w:r w:rsidRPr="00BD60DB">
              <w:t>.</w:t>
            </w:r>
            <w:r w:rsidRPr="00BD60DB">
              <w:rPr>
                <w:rStyle w:val="SpecialBold"/>
              </w:rPr>
              <w:t>4</w:t>
            </w:r>
            <w:r w:rsidRPr="00BD60DB">
              <w:t xml:space="preserve">) </w:t>
            </w:r>
          </w:p>
          <w:p w:rsidR="00000000" w:rsidRPr="00BD60DB" w:rsidP="00BD60DB">
            <w:pPr>
              <w:pStyle w:val="BodyText"/>
            </w:pPr>
            <w:r w:rsidRPr="00BD60DB">
              <w:t>This Competency Standard Unit shall be assessed by methods given in Volume 1, Part 3 "Assessment Guidelines".</w:t>
            </w:r>
          </w:p>
          <w:p w:rsidR="00000000" w:rsidP="00BD60DB">
            <w:pPr>
              <w:pStyle w:val="BodyText"/>
              <w:rPr>
                <w:lang w:val="en-NZ"/>
              </w:rPr>
            </w:pPr>
            <w:r w:rsidRPr="00BD60DB">
              <w:t>Note:</w:t>
            </w:r>
            <w:r w:rsidRPr="00BD60DB">
              <w:br/>
              <w:t>Competent performance with inherent safe workin</w:t>
            </w:r>
            <w:r w:rsidRPr="00BD60DB">
              <w:t>g practices is expected in the Transmission, Distribution and Rail Traction Industry. This requires that the specified essential knowledge and associated skills are assessed in a structured environment which is primarily intended for learning/assessment an</w:t>
            </w:r>
            <w:r w:rsidRPr="00BD60DB">
              <w:t>d incorporates all necessary equipment and facilities for learners to develop and demonstrate the essential knowledge and associated skills described in this unit.</w:t>
            </w:r>
          </w:p>
        </w:tc>
      </w:tr>
      <w:tr w:rsidTr="00FC2F4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Concurrent assessment and relationship with other units</w:t>
            </w:r>
          </w:p>
        </w:tc>
        <w:tc>
          <w:tcPr>
            <w:tcW w:w="6480" w:type="dxa"/>
            <w:gridSpan w:val="4"/>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rPr>
                <w:rStyle w:val="SpecialBold"/>
              </w:rPr>
              <w:t>9</w:t>
            </w:r>
            <w:r w:rsidRPr="00BD60DB">
              <w:t>.</w:t>
            </w:r>
            <w:r w:rsidRPr="00BD60DB">
              <w:rPr>
                <w:rStyle w:val="SpecialBold"/>
              </w:rPr>
              <w:t>5</w:t>
            </w:r>
            <w:r w:rsidRPr="00BD60DB">
              <w:t>)</w:t>
            </w:r>
          </w:p>
        </w:tc>
      </w:tr>
      <w:tr w:rsidTr="00FC2F4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t>There are no concurrent assessment recommendations for this unit.</w:t>
            </w:r>
          </w:p>
        </w:tc>
      </w:tr>
    </w:tbl>
    <w:p w:rsidR="00FC2F4E" w:rsidP="00BD60DB">
      <w:pPr>
        <w:pStyle w:val="BodyText"/>
      </w:pPr>
    </w:p>
    <w:p w:rsidR="00FC2F4E" w:rsidP="00BD60DB">
      <w:pPr>
        <w:pStyle w:val="BodyText"/>
      </w:pPr>
    </w:p>
    <w:p w:rsidR="00000000" w:rsidRPr="00BD60DB" w:rsidP="00BD60DB">
      <w:pPr>
        <w:pStyle w:val="Heading1"/>
      </w:pPr>
      <w:bookmarkStart w:id="11" w:name="O_256266"/>
      <w:bookmarkEnd w:id="11"/>
      <w:r w:rsidRPr="00BD60DB">
        <w:t>Range Statement</w:t>
      </w:r>
    </w:p>
    <w:tbl>
      <w:tblPr>
        <w:tblW w:w="0" w:type="auto"/>
        <w:tblLayout w:type="fixed"/>
        <w:tblCellMar>
          <w:left w:w="62" w:type="dxa"/>
          <w:right w:w="62" w:type="dxa"/>
        </w:tblCellMar>
        <w:tblLook w:val="0000"/>
      </w:tblPr>
      <w:tblGrid>
        <w:gridCol w:w="2160"/>
        <w:gridCol w:w="6480"/>
      </w:tblGrid>
      <w:tr w:rsidTr="00FC2F4E">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rPr>
                <w:rStyle w:val="SpecialBold"/>
              </w:rPr>
              <w:t>RANGE STATEMENT</w:t>
            </w:r>
          </w:p>
        </w:tc>
      </w:tr>
      <w:tr w:rsidTr="00FC2F4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rPr>
                <w:rStyle w:val="SpecialBold"/>
              </w:rPr>
              <w:t>8</w:t>
            </w:r>
            <w:r w:rsidRPr="00BD60DB">
              <w:t xml:space="preserve">) This relates to the unit of competency as a whole providing the range of contexts and conditions </w:t>
            </w:r>
            <w:r w:rsidRPr="00BD60DB">
              <w:t>to which the Performance Criteria apply. It allows for different work environments and situations that will affect performance.</w:t>
            </w:r>
          </w:p>
        </w:tc>
      </w:tr>
      <w:tr w:rsidTr="00FC2F4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t>This Competency Standard Unit shall/may be demonstrated in relation to the maintenance of network protection and control syste</w:t>
            </w:r>
            <w:r w:rsidRPr="00BD60DB">
              <w:t>ms (complex) and may include the following:</w:t>
            </w:r>
          </w:p>
          <w:p w:rsidR="00000000" w:rsidRPr="00BD60DB" w:rsidP="00BD60DB">
            <w:pPr>
              <w:pStyle w:val="BodyText"/>
            </w:pPr>
            <w:r w:rsidRPr="00BD60DB">
              <w:t>Discrete: Overcurrent, earth fault, frame leakage, cooling, buchholz, DC supplies, restricted earth, sensitive earth fault, reclose, DC frame leakage, CEL fail under frequency load shed.</w:t>
            </w:r>
          </w:p>
          <w:p w:rsidR="00000000" w:rsidRPr="00BD60DB" w:rsidP="00BD60DB">
            <w:pPr>
              <w:pStyle w:val="BodyText"/>
            </w:pPr>
            <w:r w:rsidRPr="00BD60DB">
              <w:t>Interdependent :Instrumen</w:t>
            </w:r>
            <w:r w:rsidRPr="00BD60DB">
              <w:t>t transformers, trip/control circuits, alarms, DC supplies, CB fail protection, master controlled earth fault, intertripping, blocking, synchronising, pilot wire, phase comparison, load shedding, voltage control, parallel operation, load rejection, circuit</w:t>
            </w:r>
            <w:r w:rsidRPr="00BD60DB">
              <w:t xml:space="preserve"> isolations and restorations, mechanical adjustments, calibration, function tests, reporting, signals, thermals, contraphase, backup, reverse current</w:t>
            </w:r>
          </w:p>
          <w:p w:rsidR="00000000" w:rsidRPr="00BD60DB" w:rsidP="00BD60DB">
            <w:pPr>
              <w:pStyle w:val="BodyText"/>
            </w:pPr>
            <w:r w:rsidRPr="00BD60DB">
              <w:t>Complex: distance, differential, transformer differential, bus zone, bus overcurrent, revenue metering, SC</w:t>
            </w:r>
            <w:r w:rsidRPr="00BD60DB">
              <w:t>ADA, communications, harmonic control, point on wave.</w:t>
            </w:r>
          </w:p>
          <w:p w:rsidR="00000000" w:rsidP="00BD60DB">
            <w:pPr>
              <w:pStyle w:val="BodyText"/>
              <w:rPr>
                <w:lang w:val="en-NZ"/>
              </w:rPr>
            </w:pPr>
            <w:r w:rsidRPr="00BD60DB">
              <w:t>The following constants and variables included in the element/Performance Criteria in this unit are fully described in the Definitions Section 1 of this volume and form an integral part of the Range Sta</w:t>
            </w:r>
            <w:r w:rsidRPr="00BD60DB">
              <w:t>tement of this unit:</w:t>
            </w:r>
          </w:p>
        </w:tc>
      </w:tr>
      <w:tr w:rsidTr="00FC2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BD60DB" w:rsidP="00BD60DB">
            <w:pPr>
              <w:pStyle w:val="ListBullet"/>
            </w:pPr>
            <w:r w:rsidRPr="00BD60DB">
              <w:t>Appropriate and relevant persons (see Personnel)</w:t>
            </w:r>
          </w:p>
          <w:p w:rsidR="00000000" w:rsidRPr="00BD60DB" w:rsidP="00BD60DB">
            <w:pPr>
              <w:pStyle w:val="ListBullet"/>
            </w:pPr>
            <w:r w:rsidRPr="00BD60DB">
              <w:t>Appropriate authorities</w:t>
            </w:r>
          </w:p>
          <w:p w:rsidR="00000000" w:rsidRPr="00BD60DB" w:rsidP="00BD60DB">
            <w:pPr>
              <w:pStyle w:val="ListBullet"/>
            </w:pPr>
            <w:r w:rsidRPr="00BD60DB">
              <w:t>Appropriate work platform</w:t>
            </w:r>
          </w:p>
          <w:p w:rsidR="00000000" w:rsidRPr="00BD60DB" w:rsidP="00BD60DB">
            <w:pPr>
              <w:pStyle w:val="ListBullet"/>
            </w:pPr>
            <w:r w:rsidRPr="00BD60DB">
              <w:t>Assessing risk</w:t>
            </w:r>
          </w:p>
          <w:p w:rsidR="00000000" w:rsidRPr="00BD60DB" w:rsidP="00BD60DB">
            <w:pPr>
              <w:pStyle w:val="ListBullet"/>
            </w:pPr>
            <w:r w:rsidRPr="00BD60DB">
              <w:t>Assessment</w:t>
            </w:r>
          </w:p>
          <w:p w:rsidR="00000000" w:rsidRPr="00BD60DB" w:rsidP="00BD60DB">
            <w:pPr>
              <w:pStyle w:val="ListBullet"/>
            </w:pPr>
            <w:r w:rsidRPr="00BD60DB">
              <w:t>Authorisation</w:t>
            </w:r>
          </w:p>
          <w:p w:rsidR="00000000" w:rsidRPr="00BD60DB" w:rsidP="00BD60DB">
            <w:pPr>
              <w:pStyle w:val="ListBullet"/>
            </w:pPr>
            <w:r w:rsidRPr="00BD60DB">
              <w:t>Confined space</w:t>
            </w:r>
          </w:p>
          <w:p w:rsidR="00000000" w:rsidRPr="00BD60DB" w:rsidP="00BD60DB">
            <w:pPr>
              <w:pStyle w:val="ListBullet"/>
            </w:pPr>
            <w:r w:rsidRPr="00BD60DB">
              <w:t>Diagnostic, testing and restoration</w:t>
            </w:r>
          </w:p>
          <w:p w:rsidR="00000000" w:rsidRPr="00BD60DB" w:rsidP="00BD60DB">
            <w:pPr>
              <w:pStyle w:val="ListBullet"/>
            </w:pPr>
            <w:r w:rsidRPr="00BD60DB">
              <w:t>Documenting detail work events, record keeping and or storage of information</w:t>
            </w:r>
          </w:p>
          <w:p w:rsidR="00000000" w:rsidRPr="00BD60DB" w:rsidP="00BD60DB">
            <w:pPr>
              <w:pStyle w:val="ListBullet"/>
            </w:pPr>
            <w:r w:rsidRPr="00BD60DB">
              <w:t>Drawings and specifications</w:t>
            </w:r>
          </w:p>
          <w:p w:rsidR="00000000" w:rsidRPr="00BD60DB" w:rsidP="00BD60DB">
            <w:pPr>
              <w:pStyle w:val="ListBullet"/>
            </w:pPr>
            <w:r w:rsidRPr="00BD60DB">
              <w:t>Emergency</w:t>
            </w:r>
          </w:p>
          <w:p w:rsidR="00000000" w:rsidRPr="00BD60DB" w:rsidP="00BD60DB">
            <w:pPr>
              <w:pStyle w:val="ListBullet"/>
            </w:pPr>
            <w:r w:rsidRPr="00BD60DB">
              <w:t>Environmental and sustainable energy procedures</w:t>
            </w:r>
          </w:p>
          <w:p w:rsidR="00000000" w:rsidRPr="00BD60DB" w:rsidP="00BD60DB">
            <w:pPr>
              <w:pStyle w:val="ListBullet"/>
            </w:pPr>
            <w:r w:rsidRPr="00BD60DB">
              <w:t>Environmental legislation</w:t>
            </w:r>
          </w:p>
          <w:p w:rsidR="00000000" w:rsidRPr="00BD60DB" w:rsidP="00BD60DB">
            <w:pPr>
              <w:pStyle w:val="ListBullet"/>
            </w:pPr>
            <w:r w:rsidRPr="00BD60DB">
              <w:t>Environmental management documentation</w:t>
            </w:r>
          </w:p>
          <w:p w:rsidR="00000000" w:rsidRPr="00BD60DB" w:rsidP="00BD60DB">
            <w:pPr>
              <w:pStyle w:val="ListBullet"/>
            </w:pPr>
            <w:r w:rsidRPr="00BD60DB">
              <w:t>Established procedures</w:t>
            </w:r>
          </w:p>
          <w:p w:rsidR="00000000" w:rsidRPr="00BD60DB" w:rsidP="00BD60DB">
            <w:pPr>
              <w:pStyle w:val="ListBullet"/>
            </w:pPr>
            <w:r w:rsidRPr="00BD60DB">
              <w:t xml:space="preserve">Fall </w:t>
            </w:r>
            <w:r w:rsidRPr="00BD60DB">
              <w:t>prevention</w:t>
            </w:r>
          </w:p>
          <w:p w:rsidR="00000000" w:rsidRPr="00BD60DB" w:rsidP="00BD60DB">
            <w:pPr>
              <w:pStyle w:val="ListBullet"/>
            </w:pPr>
            <w:r w:rsidRPr="00BD60DB">
              <w:t>Hazards</w:t>
            </w:r>
          </w:p>
          <w:p w:rsidR="00000000" w:rsidRPr="00BD60DB" w:rsidP="00BD60DB">
            <w:pPr>
              <w:pStyle w:val="ListBullet"/>
            </w:pPr>
            <w:r w:rsidRPr="00BD60DB">
              <w:t>Identifying hazards</w:t>
            </w:r>
          </w:p>
          <w:p w:rsidR="00000000" w:rsidRPr="00BD60DB" w:rsidP="00BD60DB">
            <w:pPr>
              <w:pStyle w:val="ListBullet"/>
            </w:pPr>
            <w:r w:rsidRPr="00BD60DB">
              <w:t>Inspect</w:t>
            </w:r>
          </w:p>
          <w:p w:rsidR="00000000" w:rsidRPr="00BD60DB" w:rsidP="00BD60DB">
            <w:pPr>
              <w:pStyle w:val="ListBullet"/>
            </w:pPr>
            <w:r w:rsidRPr="00BD60DB">
              <w:t>Legislation</w:t>
            </w:r>
          </w:p>
          <w:p w:rsidR="00000000" w:rsidRPr="00BD60DB" w:rsidP="00BD60DB">
            <w:pPr>
              <w:pStyle w:val="ListBullet"/>
            </w:pPr>
            <w:r w:rsidRPr="00BD60DB">
              <w:t>MSDS</w:t>
            </w:r>
          </w:p>
          <w:p w:rsidR="00000000" w:rsidRPr="00BD60DB" w:rsidP="00BD60DB">
            <w:pPr>
              <w:pStyle w:val="ListBullet"/>
            </w:pPr>
            <w:r w:rsidRPr="00BD60DB">
              <w:t>Notification</w:t>
            </w:r>
          </w:p>
          <w:p w:rsidR="00000000" w:rsidRPr="00BD60DB" w:rsidP="00BD60DB">
            <w:pPr>
              <w:pStyle w:val="ListBullet"/>
            </w:pPr>
            <w:r w:rsidRPr="00BD60DB">
              <w:t>OHS practices</w:t>
            </w:r>
          </w:p>
          <w:p w:rsidR="00000000" w:rsidRPr="00BD60DB" w:rsidP="00BD60DB">
            <w:pPr>
              <w:pStyle w:val="ListBullet"/>
            </w:pPr>
            <w:r w:rsidRPr="00BD60DB">
              <w:t>OHS issues</w:t>
            </w:r>
          </w:p>
          <w:p w:rsidR="00000000" w:rsidRPr="00BD60DB" w:rsidP="00BD60DB">
            <w:pPr>
              <w:pStyle w:val="ListBullet"/>
            </w:pPr>
            <w:r w:rsidRPr="00BD60DB">
              <w:t>Permits and/or permits to work</w:t>
            </w:r>
          </w:p>
          <w:p w:rsidR="00000000" w:rsidRPr="00BD60DB" w:rsidP="00BD60DB">
            <w:pPr>
              <w:pStyle w:val="ListBullet"/>
            </w:pPr>
            <w:r w:rsidRPr="00BD60DB">
              <w:t>Personnel</w:t>
            </w:r>
          </w:p>
          <w:p w:rsidR="00000000" w:rsidRPr="00BD60DB" w:rsidP="00BD60DB">
            <w:pPr>
              <w:pStyle w:val="ListBullet"/>
            </w:pPr>
            <w:r w:rsidRPr="00BD60DB">
              <w:t>Quality assurance systems</w:t>
            </w:r>
          </w:p>
          <w:p w:rsidR="00000000" w:rsidRPr="00BD60DB" w:rsidP="00BD60DB">
            <w:pPr>
              <w:pStyle w:val="ListBullet"/>
            </w:pPr>
            <w:r w:rsidRPr="00BD60DB">
              <w:t>Requirements</w:t>
            </w:r>
          </w:p>
          <w:p w:rsidR="00000000" w:rsidRPr="00BD60DB" w:rsidP="00BD60DB">
            <w:pPr>
              <w:pStyle w:val="ListBullet"/>
            </w:pPr>
            <w:r w:rsidRPr="00BD60DB">
              <w:t>Testing procedures</w:t>
            </w:r>
          </w:p>
          <w:p w:rsidR="00000000" w:rsidRPr="00BD60DB" w:rsidP="00BD60DB">
            <w:pPr>
              <w:pStyle w:val="ListBullet"/>
            </w:pPr>
            <w:r w:rsidRPr="00BD60DB">
              <w:t>Work clearance systems</w:t>
            </w:r>
          </w:p>
        </w:tc>
      </w:tr>
    </w:tbl>
    <w:p w:rsidR="00FC2F4E" w:rsidP="00BD60DB">
      <w:pPr>
        <w:pStyle w:val="BodyText"/>
      </w:pPr>
    </w:p>
    <w:p w:rsidR="00FC2F4E" w:rsidP="00BD60DB">
      <w:pPr>
        <w:pStyle w:val="BodyText"/>
      </w:pPr>
    </w:p>
    <w:p w:rsidR="00000000" w:rsidRPr="00BD60DB" w:rsidP="00BD60DB">
      <w:pPr>
        <w:pStyle w:val="Heading1"/>
      </w:pPr>
      <w:bookmarkStart w:id="12" w:name="O_297279"/>
      <w:bookmarkEnd w:id="12"/>
      <w:r w:rsidRPr="00BD60DB">
        <w:t>Unit Sector(s)</w:t>
      </w:r>
    </w:p>
    <w:p w:rsidR="00000000" w:rsidRPr="00BD60DB" w:rsidP="00BD60DB">
      <w:pPr>
        <w:pStyle w:val="BodyText"/>
      </w:pPr>
      <w:r w:rsidRPr="00BD60DB">
        <w:t>Not Applicable</w:t>
      </w:r>
    </w:p>
    <w:p w:rsidR="00000000" w:rsidRPr="00BD60DB" w:rsidP="00BD60DB">
      <w:pPr>
        <w:pStyle w:val="AllowPageBreak"/>
      </w:pPr>
    </w:p>
    <w:p w:rsidR="00000000" w:rsidRPr="00BD60DB" w:rsidP="00BD60DB">
      <w:pPr>
        <w:pStyle w:val="Heading1"/>
      </w:pPr>
      <w:bookmarkStart w:id="13" w:name="O_232246"/>
      <w:bookmarkEnd w:id="13"/>
      <w:r w:rsidRPr="00BD60DB">
        <w:t>Custom Content Section</w:t>
      </w:r>
    </w:p>
    <w:tbl>
      <w:tblPr>
        <w:tblW w:w="0" w:type="auto"/>
        <w:tblLayout w:type="fixed"/>
        <w:tblCellMar>
          <w:left w:w="62" w:type="dxa"/>
          <w:right w:w="62" w:type="dxa"/>
        </w:tblCellMar>
        <w:tblLook w:val="0000"/>
      </w:tblPr>
      <w:tblGrid>
        <w:gridCol w:w="1541"/>
        <w:gridCol w:w="1183"/>
        <w:gridCol w:w="1828"/>
        <w:gridCol w:w="1183"/>
        <w:gridCol w:w="1722"/>
        <w:gridCol w:w="1183"/>
      </w:tblGrid>
      <w:tr w:rsidTr="00FC2F4E">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2</w:t>
            </w:r>
            <w:r w:rsidRPr="00BD60DB">
              <w:t>.</w:t>
            </w:r>
            <w:r w:rsidRPr="00BD60DB">
              <w:rPr>
                <w:rStyle w:val="SpecialBold"/>
              </w:rPr>
              <w:t>2</w:t>
            </w:r>
            <w:r w:rsidRPr="00BD60DB">
              <w:t xml:space="preserve">) </w:t>
            </w:r>
            <w:r w:rsidRPr="00BD60DB">
              <w:rPr>
                <w:rStyle w:val="SpecialBold"/>
              </w:rPr>
              <w:t>Literacy and numeracy skills</w:t>
            </w:r>
          </w:p>
          <w:p w:rsidR="00000000" w:rsidP="00BD60DB">
            <w:pPr>
              <w:pStyle w:val="BodyText"/>
              <w:rPr>
                <w:lang w:val="en-NZ"/>
              </w:rPr>
            </w:pPr>
            <w:r w:rsidRPr="00BD60DB">
              <w:t>Participants are best equipped to achieve this unit if they have reading, writing and numeracy skills indicated by the following scales. Description of each scale is given in Volume 2, Part 3 "Literacy and Numeracy"</w:t>
            </w:r>
          </w:p>
        </w:tc>
      </w:tr>
      <w:tr w:rsidTr="00FC2F4E">
        <w:tblPrEx>
          <w:tblW w:w="0" w:type="auto"/>
          <w:tblLayout w:type="fixed"/>
          <w:tblCellMar>
            <w:left w:w="62" w:type="dxa"/>
            <w:right w:w="62" w:type="dxa"/>
          </w:tblCellMar>
          <w:tblLook w:val="0000"/>
        </w:tblPrEx>
        <w:tc>
          <w:tcPr>
            <w:tcW w:w="1541"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Reading</w:t>
            </w:r>
          </w:p>
        </w:tc>
        <w:tc>
          <w:tcPr>
            <w:tcW w:w="1183"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5</w:t>
            </w:r>
          </w:p>
        </w:tc>
        <w:tc>
          <w:tcPr>
            <w:tcW w:w="1828"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Writing</w:t>
            </w:r>
          </w:p>
        </w:tc>
        <w:tc>
          <w:tcPr>
            <w:tcW w:w="1183"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5</w:t>
            </w:r>
          </w:p>
        </w:tc>
        <w:tc>
          <w:tcPr>
            <w:tcW w:w="1722"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t>Numeracy</w:t>
            </w:r>
          </w:p>
        </w:tc>
        <w:tc>
          <w:tcPr>
            <w:tcW w:w="1183"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t>5</w:t>
            </w:r>
          </w:p>
        </w:tc>
      </w:tr>
    </w:tbl>
    <w:p w:rsidR="00FC2F4E" w:rsidP="00BD60DB">
      <w:pPr>
        <w:pStyle w:val="BodyText"/>
      </w:pPr>
    </w:p>
    <w:p w:rsidR="00FC2F4E" w:rsidP="00BD60DB">
      <w:pPr>
        <w:pStyle w:val="BodyText"/>
      </w:pPr>
    </w:p>
    <w:p w:rsidR="00000000" w:rsidRPr="00BD60DB" w:rsidP="00BD60DB">
      <w:pPr>
        <w:pStyle w:val="Heading1"/>
      </w:pPr>
      <w:bookmarkStart w:id="14" w:name="O_232249"/>
      <w:bookmarkEnd w:id="14"/>
      <w:r w:rsidRPr="00BD60DB">
        <w:t>Competency Field</w:t>
      </w:r>
    </w:p>
    <w:tbl>
      <w:tblPr>
        <w:tblW w:w="0" w:type="auto"/>
        <w:tblLayout w:type="fixed"/>
        <w:tblCellMar>
          <w:left w:w="62" w:type="dxa"/>
          <w:right w:w="62" w:type="dxa"/>
        </w:tblCellMar>
        <w:tblLook w:val="0000"/>
      </w:tblPr>
      <w:tblGrid>
        <w:gridCol w:w="2760"/>
        <w:gridCol w:w="5880"/>
      </w:tblGrid>
      <w:tr w:rsidTr="00FC2F4E">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rPr>
                <w:rStyle w:val="SpecialBold"/>
              </w:rPr>
              <w:t>Competency Field</w:t>
            </w:r>
          </w:p>
        </w:tc>
        <w:tc>
          <w:tcPr>
            <w:tcW w:w="5880" w:type="dxa"/>
            <w:tcBorders>
              <w:top w:val="nil"/>
              <w:left w:val="nil"/>
              <w:bottom w:val="nil"/>
              <w:right w:val="nil"/>
            </w:tcBorders>
            <w:tcMar>
              <w:top w:w="0" w:type="dxa"/>
              <w:left w:w="62" w:type="dxa"/>
              <w:bottom w:w="0" w:type="dxa"/>
              <w:right w:w="62" w:type="dxa"/>
            </w:tcMar>
          </w:tcPr>
          <w:p w:rsidR="00000000" w:rsidP="00BD60DB">
            <w:pPr>
              <w:pStyle w:val="BodyText"/>
              <w:rPr>
                <w:lang w:val="en-NZ"/>
              </w:rPr>
            </w:pPr>
            <w:r w:rsidRPr="00BD60DB">
              <w:rPr>
                <w:rStyle w:val="SpecialBold"/>
              </w:rPr>
              <w:t>5</w:t>
            </w:r>
            <w:r w:rsidRPr="00BD60DB">
              <w:t>)</w:t>
            </w:r>
          </w:p>
        </w:tc>
      </w:tr>
      <w:tr w:rsidTr="00FC2F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BD60DB" w:rsidP="00BD60DB">
            <w:pPr>
              <w:pStyle w:val="BodyText"/>
            </w:pPr>
            <w:r w:rsidRPr="00BD60DB">
              <w:t>Testing Units</w:t>
            </w:r>
          </w:p>
        </w:tc>
      </w:tr>
    </w:tbl>
    <w:p w:rsidR="00FC2F4E" w:rsidP="00BD60DB">
      <w:pPr>
        <w:pStyle w:val="BodyText"/>
      </w:pPr>
    </w:p>
    <w:p w:rsidR="00FC2F4E" w:rsidP="00BD60DB">
      <w:pPr>
        <w:pStyle w:val="BodyText"/>
      </w:pPr>
    </w:p>
    <w:p w:rsidR="00000000" w:rsidRPr="00BD60DB" w:rsidP="00BD60DB"/>
    <w:sectPr w:rsidSect="00BD60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0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F4E" w:rsidP="00FC2F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0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4E" w:rsidP="00BD60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C2F4E" w:rsidP="00BD60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C2F4E" w:rsidP="00BD60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0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F4E" w:rsidP="00FC2F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0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4E" w:rsidP="00BD60DB">
    <w:pPr>
      <w:pStyle w:val="Header"/>
      <w:framePr w:wrap="around"/>
    </w:pPr>
    <w:r>
      <w:fldChar w:fldCharType="begin"/>
    </w:r>
    <w:r>
      <w:instrText xml:space="preserve"> TITLE   \* MERGEFORMAT </w:instrText>
    </w:r>
    <w:r>
      <w:fldChar w:fldCharType="separate"/>
    </w:r>
    <w:r>
      <w:t>UETTDRTS15B Maintain network protection and control systems (Complex)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2F4E" w:rsidP="00BD60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F42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AEA8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FAE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0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60DB"/>
    <w:pPr>
      <w:spacing w:before="360" w:after="60"/>
      <w:outlineLvl w:val="0"/>
    </w:pPr>
    <w:rPr>
      <w:sz w:val="32"/>
    </w:rPr>
  </w:style>
  <w:style w:type="paragraph" w:styleId="Heading2">
    <w:name w:val="heading 2"/>
    <w:basedOn w:val="HeadingBase"/>
    <w:next w:val="BodyText"/>
    <w:link w:val="Heading2Char"/>
    <w:qFormat/>
    <w:rsid w:val="00BD60DB"/>
    <w:pPr>
      <w:keepLines/>
      <w:spacing w:before="240" w:after="120"/>
      <w:outlineLvl w:val="1"/>
    </w:pPr>
    <w:rPr>
      <w:sz w:val="28"/>
      <w:szCs w:val="40"/>
    </w:rPr>
  </w:style>
  <w:style w:type="paragraph" w:styleId="Heading3">
    <w:name w:val="heading 3"/>
    <w:basedOn w:val="HeadingBase"/>
    <w:next w:val="BodyText"/>
    <w:link w:val="Heading3Char"/>
    <w:qFormat/>
    <w:rsid w:val="00BD60DB"/>
    <w:pPr>
      <w:spacing w:before="180" w:after="120"/>
      <w:outlineLvl w:val="2"/>
    </w:pPr>
    <w:rPr>
      <w:spacing w:val="-10"/>
      <w:kern w:val="32"/>
    </w:rPr>
  </w:style>
  <w:style w:type="paragraph" w:styleId="Heading4">
    <w:name w:val="heading 4"/>
    <w:basedOn w:val="HeadingBase"/>
    <w:next w:val="BodyText"/>
    <w:link w:val="Heading4Char"/>
    <w:qFormat/>
    <w:rsid w:val="00BD60DB"/>
    <w:pPr>
      <w:spacing w:before="160" w:after="120"/>
      <w:outlineLvl w:val="3"/>
    </w:pPr>
    <w:rPr>
      <w:sz w:val="22"/>
    </w:rPr>
  </w:style>
  <w:style w:type="paragraph" w:styleId="Heading5">
    <w:name w:val="heading 5"/>
    <w:basedOn w:val="HeadingBase"/>
    <w:next w:val="Normal"/>
    <w:link w:val="Heading5Char"/>
    <w:qFormat/>
    <w:rsid w:val="00BD60DB"/>
    <w:pPr>
      <w:spacing w:before="80"/>
      <w:outlineLvl w:val="4"/>
    </w:pPr>
    <w:rPr>
      <w:color w:val="918585"/>
      <w:sz w:val="20"/>
    </w:rPr>
  </w:style>
  <w:style w:type="paragraph" w:styleId="Heading6">
    <w:name w:val="heading 6"/>
    <w:basedOn w:val="HeadingBase"/>
    <w:next w:val="Normal"/>
    <w:link w:val="Heading6Char"/>
    <w:qFormat/>
    <w:rsid w:val="00BD60DB"/>
    <w:pPr>
      <w:spacing w:before="60"/>
      <w:outlineLvl w:val="5"/>
    </w:pPr>
    <w:rPr>
      <w:color w:val="918585"/>
      <w:sz w:val="20"/>
    </w:rPr>
  </w:style>
  <w:style w:type="paragraph" w:styleId="Heading7">
    <w:name w:val="heading 7"/>
    <w:basedOn w:val="Normal"/>
    <w:next w:val="Normal"/>
    <w:link w:val="Heading7Char"/>
    <w:qFormat/>
    <w:rsid w:val="00BD60DB"/>
    <w:pPr>
      <w:ind w:left="720"/>
      <w:outlineLvl w:val="6"/>
    </w:pPr>
    <w:rPr>
      <w:i/>
    </w:rPr>
  </w:style>
  <w:style w:type="paragraph" w:styleId="Heading8">
    <w:name w:val="heading 8"/>
    <w:basedOn w:val="Normal"/>
    <w:next w:val="Normal"/>
    <w:link w:val="Heading8Char"/>
    <w:qFormat/>
    <w:rsid w:val="00BD60DB"/>
    <w:pPr>
      <w:ind w:left="720"/>
      <w:outlineLvl w:val="7"/>
    </w:pPr>
    <w:rPr>
      <w:i/>
    </w:rPr>
  </w:style>
  <w:style w:type="paragraph" w:styleId="Heading9">
    <w:name w:val="heading 9"/>
    <w:basedOn w:val="Normal"/>
    <w:next w:val="Normal"/>
    <w:link w:val="Heading9Char"/>
    <w:qFormat/>
    <w:rsid w:val="00BD60DB"/>
    <w:pPr>
      <w:ind w:left="720"/>
      <w:outlineLvl w:val="8"/>
    </w:pPr>
    <w:rPr>
      <w:i/>
    </w:rPr>
  </w:style>
  <w:style w:type="character" w:default="1" w:styleId="DefaultParagraphFont">
    <w:name w:val="Default Paragraph Font"/>
    <w:uiPriority w:val="1"/>
    <w:unhideWhenUsed/>
    <w:rsid w:val="00BD60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0DB"/>
  </w:style>
  <w:style w:type="character" w:customStyle="1" w:styleId="Heading1Char">
    <w:name w:val="Heading 1 Char"/>
    <w:basedOn w:val="DefaultParagraphFont"/>
    <w:link w:val="Heading1"/>
    <w:rsid w:val="00BD60DB"/>
    <w:rPr>
      <w:rFonts w:ascii="Times New Roman" w:eastAsia="Times New Roman" w:hAnsi="Times New Roman" w:cs="Times New Roman"/>
      <w:b/>
      <w:sz w:val="32"/>
      <w:szCs w:val="20"/>
      <w:lang w:eastAsia="en-US"/>
    </w:rPr>
  </w:style>
  <w:style w:type="paragraph" w:styleId="BodyText">
    <w:name w:val="Body Text"/>
    <w:basedOn w:val="Normal"/>
    <w:link w:val="BodyTextChar"/>
    <w:rsid w:val="00BD60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60DB"/>
    <w:rPr>
      <w:rFonts w:ascii="Times New Roman" w:eastAsia="Times New Roman" w:hAnsi="Times New Roman" w:cs="Times New Roman"/>
      <w:sz w:val="24"/>
      <w:lang w:val="en-US" w:eastAsia="en-US"/>
    </w:rPr>
  </w:style>
  <w:style w:type="paragraph" w:styleId="Footer">
    <w:name w:val="footer"/>
    <w:basedOn w:val="Normal"/>
    <w:link w:val="FooterChar"/>
    <w:rsid w:val="00BD60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0DB"/>
    <w:rPr>
      <w:rFonts w:ascii="Times New Roman" w:eastAsia="Times New Roman" w:hAnsi="Times New Roman" w:cs="Times New Roman"/>
      <w:sz w:val="16"/>
      <w:lang w:val="en-US" w:eastAsia="en-US"/>
    </w:rPr>
  </w:style>
  <w:style w:type="paragraph" w:styleId="ListBullet">
    <w:name w:val="List Bullet"/>
    <w:basedOn w:val="List"/>
    <w:rsid w:val="00BD60DB"/>
    <w:pPr>
      <w:numPr>
        <w:numId w:val="13"/>
      </w:numPr>
      <w:tabs>
        <w:tab w:val="clear" w:pos="340"/>
      </w:tabs>
      <w:spacing w:before="40" w:after="40"/>
    </w:pPr>
  </w:style>
  <w:style w:type="character" w:customStyle="1" w:styleId="SpecialBold">
    <w:name w:val="Special Bold"/>
    <w:basedOn w:val="DefaultParagraphFont"/>
    <w:rsid w:val="00BD60DB"/>
    <w:rPr>
      <w:b/>
      <w:spacing w:val="0"/>
    </w:rPr>
  </w:style>
  <w:style w:type="paragraph" w:styleId="ListBullet2">
    <w:name w:val="List Bullet 2"/>
    <w:basedOn w:val="List2"/>
    <w:rsid w:val="00BD60DB"/>
    <w:pPr>
      <w:numPr>
        <w:numId w:val="14"/>
      </w:numPr>
      <w:tabs>
        <w:tab w:val="clear" w:pos="680"/>
      </w:tabs>
    </w:pPr>
  </w:style>
  <w:style w:type="paragraph" w:styleId="Header">
    <w:name w:val="header"/>
    <w:basedOn w:val="Normal"/>
    <w:link w:val="HeaderChar"/>
    <w:rsid w:val="00BD60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0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60DB"/>
    <w:pPr>
      <w:spacing w:before="240" w:after="120"/>
      <w:outlineLvl w:val="0"/>
    </w:pPr>
    <w:rPr>
      <w:rFonts w:ascii="Times New Roman" w:hAnsi="Times New Roman"/>
      <w:b/>
      <w:sz w:val="28"/>
    </w:rPr>
  </w:style>
  <w:style w:type="paragraph" w:customStyle="1" w:styleId="AllowPageBreak">
    <w:name w:val="AllowPageBreak"/>
    <w:rsid w:val="00BD60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60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0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0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0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0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0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60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60DB"/>
    <w:rPr>
      <w:rFonts w:ascii="Courier New" w:eastAsia="Times New Roman" w:hAnsi="Courier New" w:cs="Times New Roman"/>
      <w:i/>
      <w:szCs w:val="20"/>
      <w:lang w:val="en-US" w:eastAsia="en-US"/>
    </w:rPr>
  </w:style>
  <w:style w:type="paragraph" w:customStyle="1" w:styleId="HeadingBase">
    <w:name w:val="Heading Base"/>
    <w:rsid w:val="00BD60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0DB"/>
    <w:pPr>
      <w:tabs>
        <w:tab w:val="right" w:leader="dot" w:pos="9072"/>
      </w:tabs>
      <w:ind w:left="567"/>
    </w:pPr>
    <w:rPr>
      <w:szCs w:val="22"/>
    </w:rPr>
  </w:style>
  <w:style w:type="paragraph" w:customStyle="1" w:styleId="TOCBase">
    <w:name w:val="TOC Base"/>
    <w:rsid w:val="00BD60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0DB"/>
    <w:pPr>
      <w:tabs>
        <w:tab w:val="right" w:leader="dot" w:pos="9072"/>
      </w:tabs>
      <w:spacing w:before="40" w:after="40"/>
      <w:ind w:left="284"/>
    </w:pPr>
    <w:rPr>
      <w:rFonts w:ascii="Times New Roman" w:hAnsi="Times New Roman"/>
    </w:rPr>
  </w:style>
  <w:style w:type="paragraph" w:styleId="TOC1">
    <w:name w:val="toc 1"/>
    <w:basedOn w:val="TOCBase"/>
    <w:next w:val="Normal"/>
    <w:rsid w:val="00BD60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60DB"/>
    <w:pPr>
      <w:spacing w:before="5040"/>
      <w:jc w:val="center"/>
    </w:pPr>
    <w:rPr>
      <w:sz w:val="48"/>
      <w:szCs w:val="72"/>
      <w:lang w:val="en-US"/>
    </w:rPr>
  </w:style>
  <w:style w:type="character" w:customStyle="1" w:styleId="TitleChar">
    <w:name w:val="Title Char"/>
    <w:basedOn w:val="DefaultParagraphFont"/>
    <w:link w:val="Title"/>
    <w:rsid w:val="00BD60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0DB"/>
    <w:pPr>
      <w:tabs>
        <w:tab w:val="left" w:pos="3600"/>
        <w:tab w:val="left" w:pos="3958"/>
      </w:tabs>
    </w:pPr>
  </w:style>
  <w:style w:type="paragraph" w:styleId="List">
    <w:name w:val="List"/>
    <w:basedOn w:val="BodyText"/>
    <w:next w:val="BodyText"/>
    <w:rsid w:val="00BD60DB"/>
    <w:pPr>
      <w:tabs>
        <w:tab w:val="left" w:pos="340"/>
      </w:tabs>
      <w:spacing w:before="60" w:after="60"/>
      <w:ind w:left="340" w:hanging="340"/>
    </w:pPr>
  </w:style>
  <w:style w:type="paragraph" w:customStyle="1" w:styleId="Note">
    <w:name w:val="Note"/>
    <w:basedOn w:val="BodyText"/>
    <w:rsid w:val="00BD60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0DB"/>
    <w:pPr>
      <w:framePr w:wrap="auto" w:hAnchor="text" w:y="6049"/>
    </w:pPr>
    <w:rPr>
      <w:color w:val="000000"/>
      <w:sz w:val="40"/>
    </w:rPr>
  </w:style>
  <w:style w:type="paragraph" w:customStyle="1" w:styleId="TOCTitle">
    <w:name w:val="TOCTitle"/>
    <w:basedOn w:val="Heading1"/>
    <w:rsid w:val="00BD60DB"/>
    <w:pPr>
      <w:spacing w:after="240"/>
      <w:jc w:val="center"/>
      <w:outlineLvl w:val="9"/>
    </w:pPr>
    <w:rPr>
      <w:caps/>
    </w:rPr>
  </w:style>
  <w:style w:type="paragraph" w:customStyle="1" w:styleId="Version">
    <w:name w:val="Version"/>
    <w:rsid w:val="00BD60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0DB"/>
    <w:pPr>
      <w:keepNext w:val="0"/>
      <w:tabs>
        <w:tab w:val="right" w:pos="4176"/>
      </w:tabs>
      <w:ind w:left="198" w:hanging="198"/>
    </w:pPr>
    <w:rPr>
      <w:rFonts w:ascii="Garamond" w:hAnsi="Garamond"/>
    </w:rPr>
  </w:style>
  <w:style w:type="paragraph" w:styleId="IndexHeading">
    <w:name w:val="index heading"/>
    <w:basedOn w:val="Normal"/>
    <w:next w:val="Index1"/>
    <w:semiHidden/>
    <w:rsid w:val="00BD60DB"/>
    <w:pPr>
      <w:spacing w:before="120" w:after="120"/>
    </w:pPr>
    <w:rPr>
      <w:rFonts w:ascii="Arial" w:hAnsi="Arial"/>
      <w:b/>
      <w:color w:val="918585"/>
      <w:sz w:val="24"/>
    </w:rPr>
  </w:style>
  <w:style w:type="paragraph" w:customStyle="1" w:styleId="Chapter">
    <w:name w:val="Chapter"/>
    <w:basedOn w:val="Normal"/>
    <w:rsid w:val="00BD60DB"/>
    <w:pPr>
      <w:spacing w:before="240"/>
    </w:pPr>
    <w:rPr>
      <w:rFonts w:ascii="Times New Roman" w:hAnsi="Times New Roman"/>
      <w:smallCaps/>
      <w:spacing w:val="80"/>
      <w:sz w:val="28"/>
    </w:rPr>
  </w:style>
  <w:style w:type="paragraph" w:customStyle="1" w:styleId="InChapter">
    <w:name w:val="InChapter"/>
    <w:basedOn w:val="Heading3"/>
    <w:rsid w:val="00BD60DB"/>
    <w:pPr>
      <w:spacing w:after="240"/>
      <w:outlineLvl w:val="9"/>
    </w:pPr>
    <w:rPr>
      <w:noProof/>
    </w:rPr>
  </w:style>
  <w:style w:type="paragraph" w:styleId="Index2">
    <w:name w:val="index 2"/>
    <w:basedOn w:val="Normal"/>
    <w:next w:val="Normal"/>
    <w:semiHidden/>
    <w:rsid w:val="00BD60DB"/>
    <w:pPr>
      <w:tabs>
        <w:tab w:val="right" w:pos="4176"/>
      </w:tabs>
      <w:ind w:left="568" w:hanging="284"/>
    </w:pPr>
    <w:rPr>
      <w:rFonts w:ascii="Garamond" w:hAnsi="Garamond"/>
    </w:rPr>
  </w:style>
  <w:style w:type="paragraph" w:customStyle="1" w:styleId="Byline">
    <w:name w:val="Byline"/>
    <w:rsid w:val="00BD60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0DB"/>
    <w:pPr>
      <w:tabs>
        <w:tab w:val="clear" w:pos="3600"/>
        <w:tab w:val="clear" w:pos="3958"/>
      </w:tabs>
      <w:jc w:val="right"/>
    </w:pPr>
  </w:style>
  <w:style w:type="character" w:styleId="Emphasis">
    <w:name w:val="Emphasis"/>
    <w:basedOn w:val="DefaultParagraphFont"/>
    <w:qFormat/>
    <w:rsid w:val="00BD60DB"/>
    <w:rPr>
      <w:i/>
    </w:rPr>
  </w:style>
  <w:style w:type="paragraph" w:styleId="Caption">
    <w:name w:val="caption"/>
    <w:basedOn w:val="BodyText"/>
    <w:next w:val="Normal"/>
    <w:qFormat/>
    <w:rsid w:val="00BD60DB"/>
    <w:pPr>
      <w:framePr w:w="2268" w:hSpace="181" w:vSpace="181" w:wrap="around" w:vAnchor="text" w:hAnchor="page" w:x="1135" w:y="285" w:anchorLock="1"/>
    </w:pPr>
    <w:rPr>
      <w:i/>
    </w:rPr>
  </w:style>
  <w:style w:type="paragraph" w:customStyle="1" w:styleId="MiniTOCTitle">
    <w:name w:val="MiniTOCTitle"/>
    <w:basedOn w:val="Heading4"/>
    <w:rsid w:val="00BD60DB"/>
    <w:pPr>
      <w:spacing w:before="240"/>
      <w:outlineLvl w:val="9"/>
    </w:pPr>
    <w:rPr>
      <w:noProof/>
      <w:sz w:val="24"/>
    </w:rPr>
  </w:style>
  <w:style w:type="paragraph" w:customStyle="1" w:styleId="MiniTOCItem">
    <w:name w:val="MiniTOCItem"/>
    <w:basedOn w:val="ListBullet"/>
    <w:rsid w:val="00BD60DB"/>
    <w:pPr>
      <w:numPr>
        <w:numId w:val="0"/>
      </w:numPr>
      <w:tabs>
        <w:tab w:val="right" w:leader="dot" w:pos="6521"/>
      </w:tabs>
      <w:spacing w:before="0" w:after="0"/>
    </w:pPr>
  </w:style>
  <w:style w:type="paragraph" w:customStyle="1" w:styleId="TOFTitle">
    <w:name w:val="TOFTitle"/>
    <w:basedOn w:val="TOCTitle"/>
    <w:rsid w:val="00BD60DB"/>
  </w:style>
  <w:style w:type="paragraph" w:styleId="TableofFigures">
    <w:name w:val="table of figures"/>
    <w:basedOn w:val="Normal"/>
    <w:next w:val="Normal"/>
    <w:semiHidden/>
    <w:rsid w:val="00BD60DB"/>
    <w:pPr>
      <w:tabs>
        <w:tab w:val="right" w:leader="dot" w:pos="9072"/>
      </w:tabs>
      <w:ind w:left="970" w:hanging="403"/>
    </w:pPr>
    <w:rPr>
      <w:rFonts w:ascii="Times New Roman" w:hAnsi="Times New Roman"/>
      <w:b/>
    </w:rPr>
  </w:style>
  <w:style w:type="paragraph" w:styleId="ListNumber">
    <w:name w:val="List Number"/>
    <w:basedOn w:val="List"/>
    <w:rsid w:val="00BD60DB"/>
    <w:pPr>
      <w:numPr>
        <w:numId w:val="11"/>
      </w:numPr>
    </w:pPr>
  </w:style>
  <w:style w:type="character" w:customStyle="1" w:styleId="WingdingSymbols">
    <w:name w:val="Wingding Symbols"/>
    <w:rsid w:val="00BD60DB"/>
    <w:rPr>
      <w:rFonts w:ascii="Wingdings" w:hAnsi="Wingdings"/>
    </w:rPr>
  </w:style>
  <w:style w:type="paragraph" w:customStyle="1" w:styleId="TableHeading">
    <w:name w:val="Table Heading"/>
    <w:basedOn w:val="HeadingBase"/>
    <w:rsid w:val="00BD60DB"/>
    <w:pPr>
      <w:keepLines/>
      <w:pBdr>
        <w:bottom w:val="single" w:sz="6" w:space="1" w:color="918585"/>
      </w:pBdr>
      <w:spacing w:before="240"/>
    </w:pPr>
  </w:style>
  <w:style w:type="character" w:customStyle="1" w:styleId="HotSpot">
    <w:name w:val="HotSpot"/>
    <w:rsid w:val="00BD60DB"/>
    <w:rPr>
      <w:color w:val="0033CC"/>
      <w:u w:val="none"/>
    </w:rPr>
  </w:style>
  <w:style w:type="paragraph" w:customStyle="1" w:styleId="BodyTextRight">
    <w:name w:val="Body Text Right"/>
    <w:basedOn w:val="BodyText"/>
    <w:rsid w:val="00BD60DB"/>
    <w:pPr>
      <w:spacing w:before="0" w:after="0"/>
      <w:jc w:val="right"/>
    </w:pPr>
  </w:style>
  <w:style w:type="paragraph" w:styleId="Index3">
    <w:name w:val="index 3"/>
    <w:basedOn w:val="ListNumber2"/>
    <w:next w:val="Normal"/>
    <w:semiHidden/>
    <w:rsid w:val="00BD60DB"/>
    <w:pPr>
      <w:numPr>
        <w:numId w:val="0"/>
      </w:numPr>
      <w:tabs>
        <w:tab w:val="right" w:leader="dot" w:pos="4176"/>
      </w:tabs>
    </w:pPr>
  </w:style>
  <w:style w:type="paragraph" w:styleId="ListNumber2">
    <w:name w:val="List Number 2"/>
    <w:basedOn w:val="List2"/>
    <w:rsid w:val="00BD60DB"/>
    <w:pPr>
      <w:numPr>
        <w:numId w:val="10"/>
      </w:numPr>
      <w:tabs>
        <w:tab w:val="clear" w:pos="1060"/>
      </w:tabs>
    </w:pPr>
  </w:style>
  <w:style w:type="paragraph" w:customStyle="1" w:styleId="MarginNote">
    <w:name w:val="Margin Note"/>
    <w:basedOn w:val="BodyText"/>
    <w:rsid w:val="00BD60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0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0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60DB"/>
    <w:rPr>
      <w:sz w:val="32"/>
    </w:rPr>
  </w:style>
  <w:style w:type="paragraph" w:customStyle="1" w:styleId="HeadingProcedure">
    <w:name w:val="Heading Procedure"/>
    <w:basedOn w:val="HeadingBase"/>
    <w:next w:val="Normal"/>
    <w:rsid w:val="00BD60DB"/>
    <w:pPr>
      <w:tabs>
        <w:tab w:val="left" w:pos="0"/>
      </w:tabs>
      <w:spacing w:before="120" w:after="60"/>
    </w:pPr>
    <w:rPr>
      <w:i/>
      <w:color w:val="918585"/>
      <w:sz w:val="22"/>
    </w:rPr>
  </w:style>
  <w:style w:type="paragraph" w:customStyle="1" w:styleId="TableBodyText">
    <w:name w:val="Table Body Text"/>
    <w:basedOn w:val="BodyText"/>
    <w:rsid w:val="00BD60DB"/>
    <w:pPr>
      <w:spacing w:before="60" w:after="60"/>
    </w:pPr>
  </w:style>
  <w:style w:type="paragraph" w:styleId="ListContinue">
    <w:name w:val="List Continue"/>
    <w:basedOn w:val="List"/>
    <w:rsid w:val="00BD60DB"/>
    <w:pPr>
      <w:ind w:firstLine="0"/>
    </w:pPr>
  </w:style>
  <w:style w:type="paragraph" w:customStyle="1" w:styleId="ListNote">
    <w:name w:val="List Note"/>
    <w:basedOn w:val="List"/>
    <w:rsid w:val="00BD60DB"/>
    <w:pPr>
      <w:pBdr>
        <w:top w:val="single" w:sz="6" w:space="2" w:color="918585"/>
        <w:bottom w:val="single" w:sz="6" w:space="2" w:color="918585"/>
      </w:pBdr>
      <w:tabs>
        <w:tab w:val="left" w:pos="1021"/>
      </w:tabs>
      <w:ind w:firstLine="0"/>
    </w:pPr>
  </w:style>
  <w:style w:type="paragraph" w:customStyle="1" w:styleId="Warning">
    <w:name w:val="Warning"/>
    <w:basedOn w:val="BodyText"/>
    <w:rsid w:val="00BD60DB"/>
    <w:pPr>
      <w:shd w:val="clear" w:color="auto" w:fill="D9D9D9"/>
      <w:tabs>
        <w:tab w:val="left" w:pos="992"/>
      </w:tabs>
      <w:ind w:left="119" w:right="119"/>
    </w:pPr>
    <w:rPr>
      <w:sz w:val="20"/>
    </w:rPr>
  </w:style>
  <w:style w:type="paragraph" w:customStyle="1" w:styleId="MarginIcons">
    <w:name w:val="Margin Icons"/>
    <w:basedOn w:val="BodyText"/>
    <w:rsid w:val="00BD60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0DB"/>
    <w:rPr>
      <w:rFonts w:ascii="Courier New" w:hAnsi="Courier New"/>
    </w:rPr>
  </w:style>
  <w:style w:type="paragraph" w:customStyle="1" w:styleId="NoteBullet">
    <w:name w:val="Note Bullet"/>
    <w:basedOn w:val="Note"/>
    <w:rsid w:val="00BD60DB"/>
    <w:pPr>
      <w:tabs>
        <w:tab w:val="clear" w:pos="680"/>
      </w:tabs>
      <w:spacing w:before="60" w:after="60"/>
    </w:pPr>
  </w:style>
  <w:style w:type="paragraph" w:customStyle="1" w:styleId="SubHeading2">
    <w:name w:val="SubHeading2"/>
    <w:basedOn w:val="HeadingBase"/>
    <w:rsid w:val="00BD60DB"/>
    <w:pPr>
      <w:spacing w:before="240" w:after="60"/>
    </w:pPr>
    <w:rPr>
      <w:sz w:val="20"/>
    </w:rPr>
  </w:style>
  <w:style w:type="paragraph" w:customStyle="1" w:styleId="SubHeading1">
    <w:name w:val="SubHeading1"/>
    <w:basedOn w:val="HeadingBase"/>
    <w:rsid w:val="00BD60DB"/>
    <w:pPr>
      <w:spacing w:before="240" w:after="60"/>
    </w:pPr>
    <w:rPr>
      <w:color w:val="918585"/>
      <w:sz w:val="22"/>
    </w:rPr>
  </w:style>
  <w:style w:type="paragraph" w:customStyle="1" w:styleId="SideHeading">
    <w:name w:val="Side Heading"/>
    <w:basedOn w:val="HeadingBase"/>
    <w:rsid w:val="00BD60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0DB"/>
    <w:pPr>
      <w:numPr>
        <w:numId w:val="12"/>
      </w:numPr>
    </w:pPr>
  </w:style>
  <w:style w:type="paragraph" w:styleId="PlainText">
    <w:name w:val="Plain Text"/>
    <w:basedOn w:val="Normal"/>
    <w:link w:val="PlainTextChar"/>
    <w:rsid w:val="00BD60DB"/>
    <w:rPr>
      <w:sz w:val="20"/>
    </w:rPr>
  </w:style>
  <w:style w:type="character" w:customStyle="1" w:styleId="PlainTextChar">
    <w:name w:val="Plain Text Char"/>
    <w:basedOn w:val="DefaultParagraphFont"/>
    <w:link w:val="PlainText"/>
    <w:rsid w:val="00BD60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60DB"/>
    <w:rPr>
      <w:b/>
      <w:smallCaps/>
    </w:rPr>
  </w:style>
  <w:style w:type="paragraph" w:customStyle="1" w:styleId="TableListNumber">
    <w:name w:val="Table List Number"/>
    <w:basedOn w:val="ListNumber"/>
    <w:rsid w:val="00BD60DB"/>
    <w:pPr>
      <w:numPr>
        <w:numId w:val="0"/>
      </w:numPr>
    </w:pPr>
  </w:style>
  <w:style w:type="paragraph" w:styleId="TOC4">
    <w:name w:val="toc 4"/>
    <w:basedOn w:val="TOCBase"/>
    <w:next w:val="Normal"/>
    <w:semiHidden/>
    <w:rsid w:val="00BD60DB"/>
    <w:pPr>
      <w:tabs>
        <w:tab w:val="right" w:leader="dot" w:pos="9071"/>
      </w:tabs>
      <w:ind w:left="1701"/>
    </w:pPr>
  </w:style>
  <w:style w:type="paragraph" w:customStyle="1" w:styleId="ListAlpha">
    <w:name w:val="List Alpha"/>
    <w:basedOn w:val="List"/>
    <w:rsid w:val="00BD60DB"/>
    <w:pPr>
      <w:numPr>
        <w:numId w:val="9"/>
      </w:numPr>
    </w:pPr>
  </w:style>
  <w:style w:type="paragraph" w:customStyle="1" w:styleId="ListAlpha2">
    <w:name w:val="List Alpha 2"/>
    <w:basedOn w:val="List2"/>
    <w:rsid w:val="00BD60DB"/>
    <w:pPr>
      <w:numPr>
        <w:numId w:val="8"/>
      </w:numPr>
    </w:pPr>
  </w:style>
  <w:style w:type="paragraph" w:styleId="List2">
    <w:name w:val="List 2"/>
    <w:basedOn w:val="BodyText"/>
    <w:rsid w:val="00BD60DB"/>
    <w:pPr>
      <w:tabs>
        <w:tab w:val="left" w:pos="680"/>
      </w:tabs>
      <w:spacing w:before="60" w:after="60"/>
      <w:ind w:left="680" w:hanging="340"/>
    </w:pPr>
  </w:style>
  <w:style w:type="paragraph" w:styleId="List3">
    <w:name w:val="List 3"/>
    <w:basedOn w:val="BodyText"/>
    <w:rsid w:val="00BD60DB"/>
    <w:pPr>
      <w:tabs>
        <w:tab w:val="left" w:pos="1021"/>
      </w:tabs>
      <w:spacing w:before="60" w:after="60"/>
      <w:ind w:left="1020" w:hanging="340"/>
    </w:pPr>
  </w:style>
  <w:style w:type="paragraph" w:styleId="List4">
    <w:name w:val="List 4"/>
    <w:basedOn w:val="BodyText"/>
    <w:rsid w:val="00BD60DB"/>
    <w:pPr>
      <w:tabs>
        <w:tab w:val="left" w:pos="1361"/>
      </w:tabs>
      <w:spacing w:before="60" w:after="60"/>
      <w:ind w:left="1361" w:hanging="340"/>
    </w:pPr>
  </w:style>
  <w:style w:type="paragraph" w:styleId="List5">
    <w:name w:val="List 5"/>
    <w:basedOn w:val="BodyText"/>
    <w:rsid w:val="00BD60DB"/>
    <w:pPr>
      <w:tabs>
        <w:tab w:val="left" w:pos="1701"/>
      </w:tabs>
      <w:spacing w:before="60" w:after="60"/>
      <w:ind w:left="1701" w:hanging="340"/>
    </w:pPr>
  </w:style>
  <w:style w:type="paragraph" w:styleId="ListBullet3">
    <w:name w:val="List Bullet 3"/>
    <w:basedOn w:val="List3"/>
    <w:rsid w:val="00BD60DB"/>
    <w:pPr>
      <w:numPr>
        <w:numId w:val="15"/>
      </w:numPr>
      <w:tabs>
        <w:tab w:val="clear" w:pos="1021"/>
      </w:tabs>
      <w:ind w:left="1037" w:hanging="357"/>
    </w:pPr>
  </w:style>
  <w:style w:type="paragraph" w:styleId="ListBullet4">
    <w:name w:val="List Bullet 4"/>
    <w:basedOn w:val="List4"/>
    <w:rsid w:val="00BD60DB"/>
    <w:pPr>
      <w:numPr>
        <w:numId w:val="3"/>
      </w:numPr>
    </w:pPr>
  </w:style>
  <w:style w:type="paragraph" w:styleId="ListBullet5">
    <w:name w:val="List Bullet 5"/>
    <w:basedOn w:val="List5"/>
    <w:rsid w:val="00BD60DB"/>
    <w:pPr>
      <w:numPr>
        <w:numId w:val="4"/>
      </w:numPr>
    </w:pPr>
  </w:style>
  <w:style w:type="paragraph" w:styleId="ListContinue2">
    <w:name w:val="List Continue 2"/>
    <w:basedOn w:val="List2"/>
    <w:rsid w:val="00BD60DB"/>
    <w:pPr>
      <w:ind w:firstLine="0"/>
    </w:pPr>
  </w:style>
  <w:style w:type="paragraph" w:styleId="ListContinue3">
    <w:name w:val="List Continue 3"/>
    <w:basedOn w:val="List3"/>
    <w:rsid w:val="00BD60DB"/>
    <w:pPr>
      <w:ind w:left="1021" w:firstLine="0"/>
    </w:pPr>
  </w:style>
  <w:style w:type="paragraph" w:styleId="ListContinue4">
    <w:name w:val="List Continue 4"/>
    <w:basedOn w:val="List4"/>
    <w:rsid w:val="00BD60DB"/>
    <w:pPr>
      <w:ind w:firstLine="0"/>
    </w:pPr>
  </w:style>
  <w:style w:type="paragraph" w:styleId="ListContinue5">
    <w:name w:val="List Continue 5"/>
    <w:basedOn w:val="List5"/>
    <w:rsid w:val="00BD60DB"/>
    <w:pPr>
      <w:ind w:firstLine="0"/>
    </w:pPr>
  </w:style>
  <w:style w:type="paragraph" w:styleId="ListNumber3">
    <w:name w:val="List Number 3"/>
    <w:basedOn w:val="List3"/>
    <w:rsid w:val="00BD60DB"/>
    <w:pPr>
      <w:numPr>
        <w:numId w:val="5"/>
      </w:numPr>
    </w:pPr>
  </w:style>
  <w:style w:type="paragraph" w:styleId="ListNumber4">
    <w:name w:val="List Number 4"/>
    <w:basedOn w:val="List4"/>
    <w:rsid w:val="00BD60DB"/>
    <w:pPr>
      <w:numPr>
        <w:numId w:val="6"/>
      </w:numPr>
    </w:pPr>
  </w:style>
  <w:style w:type="paragraph" w:styleId="ListNumber5">
    <w:name w:val="List Number 5"/>
    <w:basedOn w:val="List5"/>
    <w:rsid w:val="00BD60DB"/>
    <w:pPr>
      <w:numPr>
        <w:numId w:val="7"/>
      </w:numPr>
    </w:pPr>
  </w:style>
  <w:style w:type="paragraph" w:styleId="BlockText">
    <w:name w:val="Block Text"/>
    <w:basedOn w:val="Normal"/>
    <w:rsid w:val="00BD60DB"/>
    <w:pPr>
      <w:spacing w:after="120"/>
      <w:ind w:left="1440" w:right="1440"/>
    </w:pPr>
  </w:style>
  <w:style w:type="character" w:customStyle="1" w:styleId="Subscript">
    <w:name w:val="Subscript"/>
    <w:basedOn w:val="DefaultParagraphFont"/>
    <w:rsid w:val="00BD60DB"/>
    <w:rPr>
      <w:sz w:val="16"/>
      <w:vertAlign w:val="subscript"/>
    </w:rPr>
  </w:style>
  <w:style w:type="character" w:customStyle="1" w:styleId="Superscript">
    <w:name w:val="Superscript"/>
    <w:basedOn w:val="DefaultParagraphFont"/>
    <w:rsid w:val="00BD60DB"/>
    <w:rPr>
      <w:sz w:val="16"/>
      <w:vertAlign w:val="superscript"/>
    </w:rPr>
  </w:style>
  <w:style w:type="character" w:customStyle="1" w:styleId="Symbols">
    <w:name w:val="Symbols"/>
    <w:basedOn w:val="DefaultParagraphFont"/>
    <w:rsid w:val="00BD60DB"/>
    <w:rPr>
      <w:rFonts w:ascii="Symbol" w:hAnsi="Symbol"/>
    </w:rPr>
  </w:style>
  <w:style w:type="character" w:customStyle="1" w:styleId="MenuOptions">
    <w:name w:val="Menu Options"/>
    <w:basedOn w:val="DefaultParagraphFont"/>
    <w:rsid w:val="00BD60DB"/>
    <w:rPr>
      <w:rFonts w:ascii="Arial Narrow" w:hAnsi="Arial Narrow"/>
      <w:smallCaps/>
    </w:rPr>
  </w:style>
  <w:style w:type="character" w:customStyle="1" w:styleId="Buttons">
    <w:name w:val="Buttons"/>
    <w:basedOn w:val="DefaultParagraphFont"/>
    <w:rsid w:val="00BD60DB"/>
    <w:rPr>
      <w:b/>
    </w:rPr>
  </w:style>
  <w:style w:type="character" w:customStyle="1" w:styleId="Underlined">
    <w:name w:val="Underlined"/>
    <w:basedOn w:val="DefaultParagraphFont"/>
    <w:rsid w:val="00BD60DB"/>
    <w:rPr>
      <w:u w:val="single"/>
    </w:rPr>
  </w:style>
  <w:style w:type="paragraph" w:customStyle="1" w:styleId="TableBodyTextRight">
    <w:name w:val="Table Body Text Right"/>
    <w:basedOn w:val="TableBodyText"/>
    <w:rsid w:val="00BD60DB"/>
    <w:pPr>
      <w:widowControl w:val="0"/>
      <w:autoSpaceDE w:val="0"/>
      <w:autoSpaceDN w:val="0"/>
      <w:adjustRightInd w:val="0"/>
      <w:jc w:val="right"/>
    </w:pPr>
    <w:rPr>
      <w:rFonts w:cs="Arial"/>
      <w:szCs w:val="18"/>
    </w:rPr>
  </w:style>
  <w:style w:type="paragraph" w:customStyle="1" w:styleId="CopyrightText">
    <w:name w:val="Copyright Text"/>
    <w:basedOn w:val="BodyText"/>
    <w:rsid w:val="00BD60DB"/>
    <w:rPr>
      <w:sz w:val="18"/>
    </w:rPr>
  </w:style>
  <w:style w:type="paragraph" w:customStyle="1" w:styleId="BodySmallRight">
    <w:name w:val="Body Small Right"/>
    <w:basedOn w:val="BodyTextRight"/>
    <w:rsid w:val="00BD60DB"/>
    <w:rPr>
      <w:sz w:val="18"/>
      <w:szCs w:val="18"/>
    </w:rPr>
  </w:style>
  <w:style w:type="paragraph" w:customStyle="1" w:styleId="MarginEdition">
    <w:name w:val="Margin Edition"/>
    <w:basedOn w:val="MarginNote"/>
    <w:rsid w:val="00BD60DB"/>
    <w:pPr>
      <w:spacing w:before="0" w:after="0"/>
    </w:pPr>
    <w:rPr>
      <w:rFonts w:ascii="Times New Roman" w:hAnsi="Times New Roman"/>
      <w:color w:val="999999"/>
    </w:rPr>
  </w:style>
  <w:style w:type="paragraph" w:customStyle="1" w:styleId="Spacer">
    <w:name w:val="Spacer"/>
    <w:basedOn w:val="Normal"/>
    <w:rsid w:val="00BD60DB"/>
    <w:rPr>
      <w:sz w:val="2"/>
      <w:szCs w:val="2"/>
    </w:rPr>
  </w:style>
  <w:style w:type="character" w:customStyle="1" w:styleId="Small">
    <w:name w:val="Small"/>
    <w:basedOn w:val="DefaultParagraphFont"/>
    <w:rsid w:val="00BD60DB"/>
    <w:rPr>
      <w:sz w:val="16"/>
    </w:rPr>
  </w:style>
  <w:style w:type="paragraph" w:customStyle="1" w:styleId="WideTable">
    <w:name w:val="Wide Table"/>
    <w:basedOn w:val="Normal"/>
    <w:rsid w:val="00BD60DB"/>
    <w:pPr>
      <w:ind w:left="-1418"/>
    </w:pPr>
    <w:rPr>
      <w:sz w:val="2"/>
      <w:szCs w:val="2"/>
    </w:rPr>
  </w:style>
  <w:style w:type="character" w:styleId="PageNumber">
    <w:name w:val="page number"/>
    <w:basedOn w:val="DefaultParagraphFont"/>
    <w:rsid w:val="00BD60DB"/>
  </w:style>
  <w:style w:type="paragraph" w:styleId="Quote">
    <w:name w:val="Quote"/>
    <w:basedOn w:val="Heading1"/>
    <w:link w:val="QuoteChar"/>
    <w:qFormat/>
    <w:rsid w:val="00BD60DB"/>
    <w:rPr>
      <w:b w:val="0"/>
      <w:sz w:val="72"/>
      <w:szCs w:val="72"/>
      <w:lang w:val="en-NZ"/>
    </w:rPr>
  </w:style>
  <w:style w:type="character" w:customStyle="1" w:styleId="QuoteChar">
    <w:name w:val="Quote Char"/>
    <w:basedOn w:val="DefaultParagraphFont"/>
    <w:link w:val="Quote"/>
    <w:rsid w:val="00BD60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0DB"/>
    <w:pPr>
      <w:pageBreakBefore/>
    </w:pPr>
  </w:style>
  <w:style w:type="paragraph" w:customStyle="1" w:styleId="Border">
    <w:name w:val="Border"/>
    <w:basedOn w:val="Normal"/>
    <w:qFormat/>
    <w:rsid w:val="00BD60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0DB"/>
    <w:rPr>
      <w:b/>
      <w:bCs/>
      <w:i/>
      <w:iCs/>
      <w:color w:val="auto"/>
    </w:rPr>
  </w:style>
  <w:style w:type="paragraph" w:styleId="IntenseQuote">
    <w:name w:val="Intense Quote"/>
    <w:basedOn w:val="Normal"/>
    <w:next w:val="Normal"/>
    <w:link w:val="IntenseQuoteChar"/>
    <w:uiPriority w:val="30"/>
    <w:qFormat/>
    <w:rsid w:val="00BD60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0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60DB"/>
    <w:rPr>
      <w:smallCaps/>
      <w:color w:val="auto"/>
      <w:u w:val="single"/>
    </w:rPr>
  </w:style>
  <w:style w:type="character" w:styleId="IntenseReference">
    <w:name w:val="Intense Reference"/>
    <w:basedOn w:val="DefaultParagraphFont"/>
    <w:uiPriority w:val="32"/>
    <w:qFormat/>
    <w:rsid w:val="00BD60DB"/>
    <w:rPr>
      <w:b/>
      <w:bCs/>
      <w:smallCaps/>
      <w:color w:val="auto"/>
      <w:spacing w:val="5"/>
      <w:u w:val="single"/>
    </w:rPr>
  </w:style>
  <w:style w:type="paragraph" w:customStyle="1" w:styleId="2ColumnHeading">
    <w:name w:val="2Column Heading"/>
    <w:basedOn w:val="BodyText"/>
    <w:qFormat/>
    <w:rsid w:val="00BD60DB"/>
    <w:pPr>
      <w:spacing w:after="60"/>
      <w:ind w:left="-2268"/>
    </w:pPr>
    <w:rPr>
      <w:b/>
    </w:rPr>
  </w:style>
  <w:style w:type="paragraph" w:customStyle="1" w:styleId="Heading1TOC">
    <w:name w:val="Heading1 TOC"/>
    <w:basedOn w:val="Normal"/>
    <w:qFormat/>
    <w:rsid w:val="00BD60DB"/>
    <w:pPr>
      <w:spacing w:before="240" w:after="120"/>
    </w:pPr>
    <w:rPr>
      <w:rFonts w:ascii="Times New Roman" w:hAnsi="Times New Roman"/>
      <w:b/>
      <w:sz w:val="32"/>
    </w:rPr>
  </w:style>
  <w:style w:type="paragraph" w:customStyle="1" w:styleId="Heading2TOC">
    <w:name w:val="Heading2 TOC"/>
    <w:basedOn w:val="Normal"/>
    <w:qFormat/>
    <w:rsid w:val="00BD60DB"/>
    <w:pPr>
      <w:spacing w:before="240" w:after="60"/>
    </w:pPr>
    <w:rPr>
      <w:rFonts w:ascii="Times New Roman" w:hAnsi="Times New Roman"/>
      <w:b/>
      <w:sz w:val="28"/>
    </w:rPr>
  </w:style>
  <w:style w:type="character" w:customStyle="1" w:styleId="Underline">
    <w:name w:val="Underline"/>
    <w:basedOn w:val="DefaultParagraphFont"/>
    <w:qFormat/>
    <w:rsid w:val="00BD60DB"/>
    <w:rPr>
      <w:u w:val="single"/>
    </w:rPr>
  </w:style>
  <w:style w:type="character" w:customStyle="1" w:styleId="BoldandItalics">
    <w:name w:val="Bold and Italics"/>
    <w:qFormat/>
    <w:rsid w:val="00BD60DB"/>
    <w:rPr>
      <w:b/>
      <w:i/>
      <w:u w:val="none"/>
    </w:rPr>
  </w:style>
  <w:style w:type="paragraph" w:styleId="BalloonText">
    <w:name w:val="Balloon Text"/>
    <w:basedOn w:val="Normal"/>
    <w:link w:val="BalloonTextChar"/>
    <w:rsid w:val="00BD60DB"/>
    <w:rPr>
      <w:rFonts w:ascii="Tahoma" w:hAnsi="Tahoma" w:cs="Tahoma"/>
      <w:sz w:val="16"/>
      <w:szCs w:val="16"/>
    </w:rPr>
  </w:style>
  <w:style w:type="character" w:customStyle="1" w:styleId="BalloonTextChar">
    <w:name w:val="Balloon Text Char"/>
    <w:basedOn w:val="DefaultParagraphFont"/>
    <w:link w:val="BalloonText"/>
    <w:rsid w:val="00BD60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60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60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2360</Words>
  <Characters>14915</Characters>
  <Application>Microsoft Office Word</Application>
  <DocSecurity>0</DocSecurity>
  <Lines>615</Lines>
  <Paragraphs>236</Paragraphs>
  <ScaleCrop>false</ScaleCrop>
  <Company>Author-it Software Corporation Ltd.</Company>
  <LinksUpToDate>false</LinksUpToDate>
  <CharactersWithSpaces>17089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UETTDRTS15B Maintain network protection and control systems (Complex)</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2012-05-26T12:25:00Z</dcterms:created>
  <dcterms:modified xsi:type="dcterms:W3CDTF">2012-05-26T12:25:00Z</dcterms:modified>
</cp:coreProperties>
</file>