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B3C" w:rsidP="00C16B3C">
      <w:pPr>
        <w:pStyle w:val="Title"/>
      </w:pPr>
      <w:r>
        <w:fldChar w:fldCharType="begin"/>
      </w:r>
      <w:r>
        <w:instrText xml:space="preserve"> TITLE   \* MERGEFORMAT </w:instrText>
      </w:r>
      <w:r>
        <w:fldChar w:fldCharType="separate"/>
      </w:r>
      <w:r>
        <w:t>UETTDRTS14B Install and maintain power system communication equipment</w:t>
      </w:r>
      <w:r>
        <w:fldChar w:fldCharType="end"/>
      </w:r>
    </w:p>
    <w:p w:rsidR="00C16B3C" w:rsidP="00C16B3C">
      <w:pPr>
        <w:pStyle w:val="Version"/>
        <w:sectPr w:rsidSect="00CC5C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5CA4" w:rsidP="00CC5CA4">
      <w:pPr>
        <w:pStyle w:val="SuperHeading"/>
      </w:pPr>
      <w:r w:rsidRPr="00CC5CA4">
        <w:t>UETTDRTS14B Install and maintain power system communication equipment</w:t>
      </w:r>
    </w:p>
    <w:p w:rsidR="00000000" w:rsidRPr="00CC5CA4" w:rsidP="00CC5CA4">
      <w:pPr>
        <w:pStyle w:val="Heading1"/>
      </w:pPr>
      <w:bookmarkStart w:id="1" w:name="O_275584"/>
      <w:bookmarkEnd w:id="1"/>
      <w:r w:rsidRPr="00CC5CA4">
        <w:t>Modification History</w:t>
      </w:r>
    </w:p>
    <w:p w:rsidR="00000000" w:rsidRPr="00CC5CA4" w:rsidP="00CC5CA4">
      <w:pPr>
        <w:pStyle w:val="BodyText"/>
      </w:pPr>
      <w:r w:rsidRPr="00CC5CA4">
        <w:t>Not Applicable</w:t>
      </w:r>
    </w:p>
    <w:p w:rsidR="00000000" w:rsidRPr="00CC5CA4" w:rsidP="00CC5CA4">
      <w:pPr>
        <w:pStyle w:val="AllowPageBreak"/>
      </w:pPr>
    </w:p>
    <w:p w:rsidR="00000000" w:rsidRPr="00CC5CA4" w:rsidP="00CC5CA4">
      <w:pPr>
        <w:pStyle w:val="Heading1"/>
      </w:pPr>
      <w:bookmarkStart w:id="2" w:name="O_232236"/>
      <w:bookmarkEnd w:id="2"/>
      <w:r w:rsidRPr="00CC5CA4">
        <w:t>Unit Descriptor</w:t>
      </w:r>
    </w:p>
    <w:tbl>
      <w:tblPr>
        <w:tblW w:w="0" w:type="auto"/>
        <w:tblLayout w:type="fixed"/>
        <w:tblCellMar>
          <w:left w:w="62" w:type="dxa"/>
          <w:right w:w="62" w:type="dxa"/>
        </w:tblCellMar>
        <w:tblLook w:val="0000"/>
      </w:tblPr>
      <w:tblGrid>
        <w:gridCol w:w="2760"/>
        <w:gridCol w:w="5880"/>
      </w:tblGrid>
      <w:tr w:rsidTr="00C16B3C">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rPr>
                <w:rStyle w:val="SpecialBold"/>
              </w:rPr>
              <w:t>Unit Descriptor</w:t>
            </w:r>
          </w:p>
        </w:tc>
        <w:tc>
          <w:tcPr>
            <w:tcW w:w="5880" w:type="dxa"/>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rPr>
                <w:rStyle w:val="SpecialBold"/>
              </w:rPr>
              <w:t>1</w:t>
            </w:r>
            <w:r w:rsidRPr="00CC5CA4">
              <w:t xml:space="preserve">) </w:t>
            </w:r>
          </w:p>
          <w:p w:rsidR="00000000" w:rsidP="00CC5CA4">
            <w:pPr>
              <w:pStyle w:val="BodyText"/>
              <w:rPr>
                <w:lang w:val="en-NZ"/>
              </w:rPr>
            </w:pPr>
            <w:r w:rsidRPr="00CC5CA4">
              <w:rPr>
                <w:rStyle w:val="SpecialBold"/>
              </w:rPr>
              <w:t>1</w:t>
            </w:r>
            <w:r w:rsidRPr="00CC5CA4">
              <w:t>.</w:t>
            </w:r>
            <w:r w:rsidRPr="00CC5CA4">
              <w:rPr>
                <w:rStyle w:val="SpecialBold"/>
              </w:rPr>
              <w:t>1</w:t>
            </w:r>
            <w:r w:rsidRPr="00CC5CA4">
              <w:t xml:space="preserve">) </w:t>
            </w:r>
            <w:r w:rsidRPr="00CC5CA4">
              <w:rPr>
                <w:rStyle w:val="SpecialBold"/>
              </w:rPr>
              <w:t>Descriptor</w:t>
            </w:r>
          </w:p>
        </w:tc>
      </w:tr>
      <w:tr w:rsidTr="00C16B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t xml:space="preserve">This Competency Standard Unit covers the installation and maintenance of Network Communication Systems and includes the isolation and functional checks of discrete and interdependent communication schemes associated with power systems. It also encompasses </w:t>
            </w:r>
            <w:r w:rsidRPr="00CC5CA4">
              <w:t>power line carrier equipment, protection signalling equipment, radio systems and telephone systems, VF systems, multiplexing systems and fibre optic systems, but does not include wiring.</w:t>
            </w:r>
          </w:p>
        </w:tc>
      </w:tr>
    </w:tbl>
    <w:p w:rsidR="00C16B3C" w:rsidP="00CC5CA4">
      <w:pPr>
        <w:pStyle w:val="BodyText"/>
      </w:pPr>
    </w:p>
    <w:p w:rsidR="00C16B3C" w:rsidP="00CC5CA4">
      <w:pPr>
        <w:pStyle w:val="BodyText"/>
      </w:pPr>
    </w:p>
    <w:p w:rsidR="00000000" w:rsidRPr="00CC5CA4" w:rsidP="00CC5CA4">
      <w:pPr>
        <w:pStyle w:val="Heading1"/>
      </w:pPr>
      <w:bookmarkStart w:id="3" w:name="O_232241"/>
      <w:bookmarkEnd w:id="3"/>
      <w:r w:rsidRPr="00CC5CA4">
        <w:t>Application of the Unit</w:t>
      </w:r>
    </w:p>
    <w:tbl>
      <w:tblPr>
        <w:tblW w:w="0" w:type="auto"/>
        <w:tblLayout w:type="fixed"/>
        <w:tblCellMar>
          <w:left w:w="62" w:type="dxa"/>
          <w:right w:w="62" w:type="dxa"/>
        </w:tblCellMar>
        <w:tblLook w:val="0000"/>
      </w:tblPr>
      <w:tblGrid>
        <w:gridCol w:w="2760"/>
        <w:gridCol w:w="5880"/>
      </w:tblGrid>
      <w:tr w:rsidTr="00C16B3C">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rPr>
                <w:rStyle w:val="SpecialBold"/>
              </w:rPr>
              <w:t>Application of the Unit</w:t>
            </w:r>
          </w:p>
        </w:tc>
        <w:tc>
          <w:tcPr>
            <w:tcW w:w="588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rPr>
                <w:rStyle w:val="SpecialBold"/>
              </w:rPr>
              <w:t>4</w:t>
            </w:r>
            <w:r w:rsidRPr="00CC5CA4">
              <w:t>)</w:t>
            </w:r>
          </w:p>
        </w:tc>
      </w:tr>
      <w:tr w:rsidTr="00C16B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t>This competency standards unit is intended to apply to any recognised development program that leads to the acquisition of a formal award at AQF level 5 or higher.</w:t>
            </w:r>
          </w:p>
        </w:tc>
      </w:tr>
    </w:tbl>
    <w:p w:rsidR="00C16B3C" w:rsidP="00CC5CA4">
      <w:pPr>
        <w:pStyle w:val="BodyText"/>
      </w:pPr>
    </w:p>
    <w:p w:rsidR="00C16B3C" w:rsidP="00CC5CA4">
      <w:pPr>
        <w:pStyle w:val="BodyText"/>
      </w:pPr>
    </w:p>
    <w:p w:rsidR="00000000" w:rsidRPr="00CC5CA4" w:rsidP="00CC5CA4">
      <w:pPr>
        <w:pStyle w:val="Heading1"/>
      </w:pPr>
      <w:bookmarkStart w:id="4" w:name="O_232237"/>
      <w:bookmarkEnd w:id="4"/>
      <w:r w:rsidRPr="00CC5CA4">
        <w:t>Licensing/Regulatory Information</w:t>
      </w:r>
    </w:p>
    <w:tbl>
      <w:tblPr>
        <w:tblW w:w="0" w:type="auto"/>
        <w:tblLayout w:type="fixed"/>
        <w:tblCellMar>
          <w:left w:w="62" w:type="dxa"/>
          <w:right w:w="62" w:type="dxa"/>
        </w:tblCellMar>
        <w:tblLook w:val="0000"/>
      </w:tblPr>
      <w:tblGrid>
        <w:gridCol w:w="8640"/>
      </w:tblGrid>
      <w:tr w:rsidTr="00C16B3C">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rPr>
                <w:rStyle w:val="SpecialBold"/>
              </w:rPr>
              <w:t>1</w:t>
            </w:r>
            <w:r w:rsidRPr="00CC5CA4">
              <w:t>.</w:t>
            </w:r>
            <w:r w:rsidRPr="00CC5CA4">
              <w:rPr>
                <w:rStyle w:val="SpecialBold"/>
              </w:rPr>
              <w:t>2</w:t>
            </w:r>
            <w:r w:rsidRPr="00CC5CA4">
              <w:t xml:space="preserve">) </w:t>
            </w:r>
            <w:r w:rsidRPr="00CC5CA4">
              <w:rPr>
                <w:rStyle w:val="SpecialBold"/>
              </w:rPr>
              <w:t>License to practice</w:t>
            </w:r>
          </w:p>
        </w:tc>
      </w:tr>
      <w:tr w:rsidTr="00C16B3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t>The skills and knowledge described in this unit may require a licence/registration to practice in the work place subject to regulations for undertaking of electrical work. Practice in workplace and during training is also subject to regulations directly re</w:t>
            </w:r>
            <w:r w:rsidRPr="00CC5CA4">
              <w:t>lated to Occupational Health and Safety, electricity/telecommunications/gas/water industry safety and compliance, industrial relations, environmental protection, anti discrimination and training. Commonwealth, State/Territory or Local Government legislatio</w:t>
            </w:r>
            <w:r w:rsidRPr="00CC5CA4">
              <w:t>n and regulations may exist that limits the age of operating certain equipment.</w:t>
            </w:r>
          </w:p>
        </w:tc>
      </w:tr>
    </w:tbl>
    <w:p w:rsidR="00C16B3C" w:rsidP="00CC5CA4">
      <w:pPr>
        <w:pStyle w:val="BodyText"/>
      </w:pPr>
    </w:p>
    <w:p w:rsidR="00C16B3C" w:rsidP="00CC5CA4">
      <w:pPr>
        <w:pStyle w:val="BodyText"/>
      </w:pPr>
    </w:p>
    <w:p w:rsidR="00000000" w:rsidRPr="00CC5CA4" w:rsidP="00CC5CA4">
      <w:pPr>
        <w:pStyle w:val="Heading1"/>
      </w:pPr>
      <w:bookmarkStart w:id="5" w:name="O_232238"/>
      <w:bookmarkEnd w:id="5"/>
      <w:r w:rsidRPr="00CC5CA4">
        <w:t>Pre-Requisites</w:t>
      </w:r>
    </w:p>
    <w:tbl>
      <w:tblPr>
        <w:tblW w:w="0" w:type="auto"/>
        <w:tblLayout w:type="fixed"/>
        <w:tblCellMar>
          <w:left w:w="62" w:type="dxa"/>
          <w:right w:w="62" w:type="dxa"/>
        </w:tblCellMar>
        <w:tblLook w:val="0000"/>
      </w:tblPr>
      <w:tblGrid>
        <w:gridCol w:w="2700"/>
        <w:gridCol w:w="60"/>
        <w:gridCol w:w="780"/>
        <w:gridCol w:w="2040"/>
        <w:gridCol w:w="3060"/>
      </w:tblGrid>
      <w:tr w:rsidTr="00C16B3C">
        <w:tblPrEx>
          <w:tblW w:w="0" w:type="auto"/>
          <w:tblLayout w:type="fixed"/>
          <w:tblCellMar>
            <w:left w:w="62" w:type="dxa"/>
            <w:right w:w="62" w:type="dxa"/>
          </w:tblCellMar>
          <w:tblLook w:val="0000"/>
        </w:tblPrEx>
        <w:trPr>
          <w:tblHeader/>
        </w:trPr>
        <w:tc>
          <w:tcPr>
            <w:tcW w:w="2760" w:type="dxa"/>
            <w:gridSpan w:val="2"/>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rPr>
                <w:rStyle w:val="SpecialBold"/>
              </w:rPr>
              <w:t>Prerequisite Unit</w:t>
            </w:r>
            <w:r w:rsidRPr="00CC5CA4">
              <w:t>(</w:t>
            </w:r>
            <w:r w:rsidRPr="00CC5CA4">
              <w:rPr>
                <w:rStyle w:val="SpecialBold"/>
              </w:rPr>
              <w:t>s</w:t>
            </w:r>
            <w:r w:rsidRPr="00CC5CA4">
              <w:t>)</w:t>
            </w:r>
          </w:p>
        </w:tc>
        <w:tc>
          <w:tcPr>
            <w:tcW w:w="5880" w:type="dxa"/>
            <w:gridSpan w:val="3"/>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rPr>
                <w:rStyle w:val="SpecialBold"/>
              </w:rPr>
              <w:t>2</w:t>
            </w:r>
            <w:r w:rsidRPr="00CC5CA4">
              <w:t xml:space="preserve">) </w:t>
            </w:r>
          </w:p>
        </w:tc>
      </w:tr>
      <w:tr w:rsidTr="00C16B3C">
        <w:tblPrEx>
          <w:tblW w:w="0" w:type="auto"/>
          <w:tblLayout w:type="fixed"/>
          <w:tblCellMar>
            <w:left w:w="62" w:type="dxa"/>
            <w:right w:w="62" w:type="dxa"/>
          </w:tblCellMar>
          <w:tblLook w:val="0000"/>
        </w:tblPrEx>
        <w:tc>
          <w:tcPr>
            <w:tcW w:w="2760" w:type="dxa"/>
            <w:gridSpan w:val="2"/>
            <w:tcBorders>
              <w:top w:val="nil"/>
              <w:left w:val="nil"/>
              <w:bottom w:val="nil"/>
              <w:right w:val="nil"/>
            </w:tcBorders>
            <w:tcMar>
              <w:top w:w="0" w:type="dxa"/>
              <w:left w:w="62" w:type="dxa"/>
              <w:bottom w:w="0" w:type="dxa"/>
              <w:right w:w="62" w:type="dxa"/>
            </w:tcMar>
          </w:tcPr>
          <w:p w:rsidR="00000000" w:rsidRPr="00CC5CA4">
            <w:pPr>
              <w:pStyle w:val="BodyText"/>
              <w:keepNext w:val="0"/>
              <w:keepLines w:val="0"/>
              <w:contextualSpacing w:val="0"/>
            </w:pPr>
          </w:p>
        </w:tc>
        <w:tc>
          <w:tcPr>
            <w:tcW w:w="5880" w:type="dxa"/>
            <w:gridSpan w:val="3"/>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rPr>
                <w:rStyle w:val="SpecialBold"/>
              </w:rPr>
              <w:t>2</w:t>
            </w:r>
            <w:r w:rsidRPr="00CC5CA4">
              <w:t>.</w:t>
            </w:r>
            <w:r w:rsidRPr="00CC5CA4">
              <w:rPr>
                <w:rStyle w:val="SpecialBold"/>
              </w:rPr>
              <w:t>1</w:t>
            </w:r>
            <w:r w:rsidRPr="00CC5CA4">
              <w:t xml:space="preserve">) </w:t>
            </w:r>
            <w:r w:rsidRPr="00CC5CA4">
              <w:rPr>
                <w:rStyle w:val="SpecialBold"/>
              </w:rPr>
              <w:t>Competencies</w:t>
            </w:r>
          </w:p>
        </w:tc>
      </w:tr>
      <w:tr w:rsidTr="00C16B3C">
        <w:tblPrEx>
          <w:tblW w:w="0" w:type="auto"/>
          <w:tblLayout w:type="fixed"/>
          <w:tblCellMar>
            <w:left w:w="62" w:type="dxa"/>
            <w:right w:w="62" w:type="dxa"/>
          </w:tblCellMar>
          <w:tblLook w:val="0000"/>
        </w:tblPrEx>
        <w:tc>
          <w:tcPr>
            <w:tcW w:w="27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gridSpan w:val="3"/>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 xml:space="preserve">Granting of competency in this unit shall be made only after </w:t>
            </w:r>
            <w:r w:rsidRPr="00CC5CA4">
              <w:t>competency in the following unit(s) has/have been confirmed:.</w:t>
            </w:r>
          </w:p>
        </w:tc>
      </w:tr>
      <w:tr w:rsidTr="00C16B3C">
        <w:tblPrEx>
          <w:tblW w:w="0" w:type="auto"/>
          <w:tblLayout w:type="fixed"/>
          <w:tblCellMar>
            <w:left w:w="62" w:type="dxa"/>
            <w:right w:w="62" w:type="dxa"/>
          </w:tblCellMar>
          <w:tblLook w:val="0000"/>
        </w:tblPrEx>
        <w:tc>
          <w:tcPr>
            <w:tcW w:w="27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UEENEED004B</w:t>
            </w:r>
          </w:p>
        </w:tc>
        <w:tc>
          <w:tcPr>
            <w:tcW w:w="30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Use engineering application software</w:t>
            </w:r>
          </w:p>
        </w:tc>
      </w:tr>
      <w:tr w:rsidTr="00C16B3C">
        <w:tblPrEx>
          <w:tblW w:w="0" w:type="auto"/>
          <w:tblLayout w:type="fixed"/>
          <w:tblCellMar>
            <w:left w:w="62" w:type="dxa"/>
            <w:right w:w="62" w:type="dxa"/>
          </w:tblCellMar>
          <w:tblLook w:val="0000"/>
        </w:tblPrEx>
        <w:tc>
          <w:tcPr>
            <w:tcW w:w="27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UEENEEE007B</w:t>
            </w:r>
          </w:p>
        </w:tc>
        <w:tc>
          <w:tcPr>
            <w:tcW w:w="30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Use drawings, diagrams, schedules and manuals</w:t>
            </w:r>
          </w:p>
        </w:tc>
      </w:tr>
      <w:tr w:rsidTr="00C16B3C">
        <w:tblPrEx>
          <w:tblW w:w="0" w:type="auto"/>
          <w:tblLayout w:type="fixed"/>
          <w:tblCellMar>
            <w:left w:w="62" w:type="dxa"/>
            <w:right w:w="62" w:type="dxa"/>
          </w:tblCellMar>
          <w:tblLook w:val="0000"/>
        </w:tblPrEx>
        <w:tc>
          <w:tcPr>
            <w:tcW w:w="27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UEENEEE024B</w:t>
            </w:r>
          </w:p>
        </w:tc>
        <w:tc>
          <w:tcPr>
            <w:tcW w:w="30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 xml:space="preserve"> Compile and produce an electrotechnology report</w:t>
            </w:r>
          </w:p>
        </w:tc>
      </w:tr>
      <w:tr w:rsidTr="00C16B3C">
        <w:tblPrEx>
          <w:tblW w:w="0" w:type="auto"/>
          <w:tblLayout w:type="fixed"/>
          <w:tblCellMar>
            <w:left w:w="62" w:type="dxa"/>
            <w:right w:w="62" w:type="dxa"/>
          </w:tblCellMar>
          <w:tblLook w:val="0000"/>
        </w:tblPrEx>
        <w:tc>
          <w:tcPr>
            <w:tcW w:w="27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UEENEEG049B</w:t>
            </w:r>
          </w:p>
        </w:tc>
        <w:tc>
          <w:tcPr>
            <w:tcW w:w="30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Solve problems in complex polyphase power circuits</w:t>
            </w:r>
          </w:p>
        </w:tc>
      </w:tr>
      <w:tr w:rsidTr="00C16B3C">
        <w:tblPrEx>
          <w:tblW w:w="0" w:type="auto"/>
          <w:tblLayout w:type="fixed"/>
          <w:tblCellMar>
            <w:left w:w="62" w:type="dxa"/>
            <w:right w:w="62" w:type="dxa"/>
          </w:tblCellMar>
          <w:tblLook w:val="0000"/>
        </w:tblPrEx>
        <w:tc>
          <w:tcPr>
            <w:tcW w:w="27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 xml:space="preserve">UETTDRIS22B </w:t>
            </w:r>
          </w:p>
        </w:tc>
        <w:tc>
          <w:tcPr>
            <w:tcW w:w="30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Implement and monitor organisation's OHS policies, procedures and programs</w:t>
            </w:r>
          </w:p>
        </w:tc>
      </w:tr>
      <w:tr w:rsidTr="00C16B3C">
        <w:tblPrEx>
          <w:tblW w:w="0" w:type="auto"/>
          <w:tblLayout w:type="fixed"/>
          <w:tblCellMar>
            <w:left w:w="62" w:type="dxa"/>
            <w:right w:w="62" w:type="dxa"/>
          </w:tblCellMar>
          <w:tblLook w:val="0000"/>
        </w:tblPrEx>
        <w:tc>
          <w:tcPr>
            <w:tcW w:w="27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UETTDRIS23B</w:t>
            </w:r>
          </w:p>
        </w:tc>
        <w:tc>
          <w:tcPr>
            <w:tcW w:w="30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Implement and monitor environmental and sustainable energy management policies and procedures</w:t>
            </w:r>
          </w:p>
        </w:tc>
      </w:tr>
      <w:tr w:rsidTr="00C16B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4"/>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t>For the full prerequisite chain details for this unit please refer to Table 3 in Volume 1, Part 2</w:t>
            </w:r>
          </w:p>
        </w:tc>
      </w:tr>
    </w:tbl>
    <w:p w:rsidR="00C16B3C" w:rsidP="00CC5CA4">
      <w:pPr>
        <w:pStyle w:val="BodyText"/>
      </w:pPr>
    </w:p>
    <w:p w:rsidR="00C16B3C" w:rsidP="00CC5CA4">
      <w:pPr>
        <w:pStyle w:val="BodyText"/>
      </w:pPr>
    </w:p>
    <w:p w:rsidR="00000000" w:rsidRPr="00CC5CA4" w:rsidP="00CC5CA4">
      <w:pPr>
        <w:pStyle w:val="Heading1"/>
      </w:pPr>
      <w:bookmarkStart w:id="6" w:name="O_232240"/>
      <w:bookmarkEnd w:id="6"/>
      <w:r w:rsidRPr="00CC5CA4">
        <w:t>Employability Skills Information</w:t>
      </w:r>
    </w:p>
    <w:tbl>
      <w:tblPr>
        <w:tblW w:w="0" w:type="auto"/>
        <w:tblLayout w:type="fixed"/>
        <w:tblCellMar>
          <w:left w:w="62" w:type="dxa"/>
          <w:right w:w="62" w:type="dxa"/>
        </w:tblCellMar>
        <w:tblLook w:val="0000"/>
      </w:tblPr>
      <w:tblGrid>
        <w:gridCol w:w="2760"/>
        <w:gridCol w:w="5880"/>
      </w:tblGrid>
      <w:tr w:rsidTr="00C16B3C">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rPr>
                <w:rStyle w:val="SpecialBold"/>
              </w:rPr>
              <w:t>Employability Skills</w:t>
            </w:r>
          </w:p>
        </w:tc>
        <w:tc>
          <w:tcPr>
            <w:tcW w:w="5880" w:type="dxa"/>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rPr>
                <w:rStyle w:val="SpecialBold"/>
              </w:rPr>
              <w:t>3</w:t>
            </w:r>
            <w:r w:rsidRPr="00CC5CA4">
              <w:t>)</w:t>
            </w:r>
          </w:p>
          <w:p w:rsidR="00000000" w:rsidRPr="00CC5CA4" w:rsidP="00CC5CA4">
            <w:pPr>
              <w:pStyle w:val="BodyText"/>
            </w:pPr>
            <w:r w:rsidRPr="00CC5CA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C5CA4">
              <w:t>requirements.</w:t>
            </w:r>
          </w:p>
        </w:tc>
      </w:tr>
    </w:tbl>
    <w:p w:rsidR="00C16B3C" w:rsidP="00CC5CA4">
      <w:pPr>
        <w:pStyle w:val="BodyText"/>
      </w:pPr>
    </w:p>
    <w:p w:rsidR="00C16B3C" w:rsidP="00CC5CA4">
      <w:pPr>
        <w:pStyle w:val="BodyText"/>
      </w:pPr>
    </w:p>
    <w:p w:rsidR="00000000" w:rsidRPr="00CC5CA4" w:rsidP="00CC5CA4">
      <w:pPr>
        <w:pStyle w:val="Heading1"/>
      </w:pPr>
      <w:bookmarkStart w:id="7" w:name="O_293630"/>
      <w:bookmarkEnd w:id="7"/>
      <w:r w:rsidRPr="00CC5CA4">
        <w:t>Elements and Performance Criteria Pre-Content</w:t>
      </w:r>
    </w:p>
    <w:tbl>
      <w:tblPr>
        <w:tblW w:w="0" w:type="auto"/>
        <w:tblLayout w:type="fixed"/>
        <w:tblCellMar>
          <w:left w:w="62" w:type="dxa"/>
          <w:right w:w="62" w:type="dxa"/>
        </w:tblCellMar>
        <w:tblLook w:val="0000"/>
      </w:tblPr>
      <w:tblGrid>
        <w:gridCol w:w="2760"/>
        <w:gridCol w:w="5880"/>
      </w:tblGrid>
      <w:tr w:rsidTr="00C16B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rPr>
                <w:rStyle w:val="SpecialBold"/>
              </w:rPr>
              <w:t>6</w:t>
            </w:r>
            <w:r w:rsidRPr="00CC5CA4">
              <w:t xml:space="preserve">) </w:t>
            </w:r>
            <w:r w:rsidRPr="00CC5CA4">
              <w:rPr>
                <w:rStyle w:val="SpecialBold"/>
              </w:rPr>
              <w:t>Elements</w:t>
            </w:r>
            <w:r w:rsidRPr="00CC5CA4">
              <w:t>: Elements describe the essential outcomes of a unit of competency</w:t>
            </w:r>
          </w:p>
        </w:tc>
        <w:tc>
          <w:tcPr>
            <w:tcW w:w="5880" w:type="dxa"/>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t>Performance Criteria describe the required performance needed to demonstrate achievement of the el</w:t>
            </w:r>
            <w:r w:rsidRPr="00CC5CA4">
              <w:t>ement. Assessment of performance is to be consistent with the evidence guide.</w:t>
            </w:r>
          </w:p>
        </w:tc>
      </w:tr>
    </w:tbl>
    <w:p w:rsidR="00000000" w:rsidRPr="00CC5CA4" w:rsidP="00CC5CA4">
      <w:pPr>
        <w:pStyle w:val="BodyText"/>
      </w:pPr>
    </w:p>
    <w:p w:rsidR="00000000" w:rsidRPr="00CC5CA4" w:rsidP="00CC5CA4">
      <w:pPr>
        <w:pStyle w:val="AllowPageBreak"/>
      </w:pPr>
    </w:p>
    <w:p w:rsidR="00000000" w:rsidRPr="00CC5CA4" w:rsidP="00CC5CA4">
      <w:pPr>
        <w:pStyle w:val="Heading1"/>
      </w:pPr>
      <w:bookmarkStart w:id="8" w:name="O_240298"/>
      <w:bookmarkEnd w:id="8"/>
      <w:r w:rsidRPr="00CC5CA4">
        <w:t>Elements and Performance Criteria</w:t>
      </w:r>
    </w:p>
    <w:tbl>
      <w:tblPr>
        <w:tblW w:w="0" w:type="auto"/>
        <w:tblLayout w:type="fixed"/>
        <w:tblCellMar>
          <w:left w:w="62" w:type="dxa"/>
          <w:right w:w="62" w:type="dxa"/>
        </w:tblCellMar>
        <w:tblLook w:val="0000"/>
      </w:tblPr>
      <w:tblGrid>
        <w:gridCol w:w="404"/>
        <w:gridCol w:w="2356"/>
        <w:gridCol w:w="960"/>
        <w:gridCol w:w="4920"/>
      </w:tblGrid>
      <w:tr w:rsidTr="00C16B3C">
        <w:tblPrEx>
          <w:tblW w:w="0" w:type="auto"/>
          <w:tblLayout w:type="fixed"/>
          <w:tblCellMar>
            <w:left w:w="62" w:type="dxa"/>
            <w:right w:w="62" w:type="dxa"/>
          </w:tblCellMar>
          <w:tblLook w:val="0000"/>
        </w:tblPrEx>
        <w:trPr>
          <w:tblHeader/>
        </w:trPr>
        <w:tc>
          <w:tcPr>
            <w:tcW w:w="2760" w:type="dxa"/>
            <w:gridSpan w:val="2"/>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rPr>
                <w:rStyle w:val="SpecialBold"/>
              </w:rPr>
              <w:t>ELEMENT</w:t>
            </w:r>
          </w:p>
        </w:tc>
        <w:tc>
          <w:tcPr>
            <w:tcW w:w="5880" w:type="dxa"/>
            <w:gridSpan w:val="2"/>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PERFORMANCE CRITERIA</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1</w:t>
            </w:r>
          </w:p>
        </w:tc>
        <w:tc>
          <w:tcPr>
            <w:tcW w:w="2356"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Plan for the installation and maintenance of power system communication equipment</w:t>
            </w: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1.1</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OHS practices/procedures and environmental and sustainable energy procedures, which may influence the installation and maintenance of power system communication equipment systems, are reviewed and determined.</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1.2</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Purpose of the installation and maintena</w:t>
            </w:r>
            <w:r w:rsidRPr="00CC5CA4">
              <w:t>nce of power system communication equipment is established after data is analysed and expected outcomes of the work are confirmed with the appropriate personnel.</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1.3</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 xml:space="preserve">Organisational established procedures on policies and specifications for the installation and </w:t>
            </w:r>
            <w:r w:rsidRPr="00CC5CA4">
              <w:t>maintenance of power system communication equipment are obtained or established with the appropriate personnel.</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1.4</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Testing procedures are discussed with/direc</w:t>
            </w:r>
            <w:r w:rsidRPr="00CC5CA4">
              <w:t>ted to the appropriate personnel in order to ascertain the project brief.</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1.5</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Testing parameters are established from organisational established procedures on policies and specifications</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1.6</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Equipment/tools and personal protective equipment are selec</w:t>
            </w:r>
            <w:r w:rsidRPr="00CC5CA4">
              <w:t>ted based on specified Performance Criteria and established procedures.</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1.7</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Work roles and tasks are allocated according to requirements and individuals' competencies.</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1.8</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Work is prioritised and sequenced for the most efficient/effective outcome, completed within an acceptable timeframe to a quality standard and in accordance with established procedures.</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1.9</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Liaison and communication issues with other/authorised personne</w:t>
            </w:r>
            <w:r w:rsidRPr="00CC5CA4">
              <w:t>l, authorities, clients and land owners are resolved and activities coordinated to carry out work.</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1.10</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Risk control measures are identified, prioritised and evaluated against the work schedule.</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1.11</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Relevant work permits are secured to coordinate th</w:t>
            </w:r>
            <w:r w:rsidRPr="00CC5CA4">
              <w:t>e performance of work according to requirements and/or established procedures.</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2</w:t>
            </w:r>
          </w:p>
        </w:tc>
        <w:tc>
          <w:tcPr>
            <w:tcW w:w="2356" w:type="dxa"/>
            <w:vMerge w:val="restart"/>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Carry out the installation and maintenance of power system communication equipment</w:t>
            </w: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2.1</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Circuit/systems modelling is used to evaluate alternative proposals as per established procedures.</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2.2</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OHS and sustainable energy principles, functionality and practices to reduce the incidents of accidents and minimise waste are incorporated into the p</w:t>
            </w:r>
            <w:r w:rsidRPr="00CC5CA4">
              <w:t>roject in accordance with requirements and/or established procedures.</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2.3</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 xml:space="preserve">Installation and maintenance of power system communication equipment decisions are made on </w:t>
            </w:r>
            <w:r w:rsidRPr="00CC5CA4">
              <w:t xml:space="preserve">the basis of safety and effective outcomes according to requirements and/or established </w:t>
            </w:r>
            <w:r w:rsidRPr="00CC5CA4">
              <w:t>procedures.</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2.4</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Mathematical/engineering models of the installation and maintenance of power system communication equipment are used to analyse the effectiveness of the finished project as per requirements and established procedures.</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2.5</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Technical advice is given regarding potential hazards, safety risks and control measures so that monitoring and preventative action can be undertaken and/or appropriate authorities consulted, where necessary, in accordance with requirements and established</w:t>
            </w:r>
            <w:r w:rsidRPr="00CC5CA4">
              <w:t xml:space="preserve"> procedures.</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2.6</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Essential knowledge and associated skills are applied to analyse specific data and compare it with compliance specifications to ensure completion of the project within an agreed timeframe according to requirements.</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2.7</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Testing of the</w:t>
            </w:r>
            <w:r w:rsidRPr="00CC5CA4">
              <w:t xml:space="preserve"> installed and/or maintained power system communication equipment is undertaken according to requirements and established procedures.</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2.8</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 xml:space="preserve">Work teams/groups are arranged/coordinated/evaluated to ensure planned goals are </w:t>
            </w:r>
            <w:r w:rsidRPr="00CC5CA4">
              <w:t>met according to established procedures.</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2.9</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Solutions to non-routine problems are identified and actioned, using acquired essential knowledge and associated skills, according to requirements.</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2.10</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Quality of work is monitored against personal perfor</w:t>
            </w:r>
            <w:r w:rsidRPr="00CC5CA4">
              <w:t>mance agreement and/or established organisational and professional standards.</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2.11</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Strategic plans are developed incorporating organisation initiatives as per established procedures.</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3</w:t>
            </w:r>
          </w:p>
        </w:tc>
        <w:tc>
          <w:tcPr>
            <w:tcW w:w="2356"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Complete the installation and maintenance of power system communica</w:t>
            </w:r>
            <w:r w:rsidRPr="00CC5CA4">
              <w:t>tion equipment</w:t>
            </w: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3.1</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Final inspections of the installed and/or maintained power system communication equipment are undertaken to ensure they comply with all requirements and include all specifications and documentations needed to complete the project.</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3.2</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Appropriate personnel are notified of completion and reports and/or completion documents are finalised/commissioned.</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3.3</w:t>
            </w:r>
          </w:p>
        </w:tc>
        <w:tc>
          <w:tcPr>
            <w:tcW w:w="492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Reports and/or completion documents are submitted to relevant personnel/organisations for approval and, where applicable, statutory</w:t>
            </w:r>
            <w:r w:rsidRPr="00CC5CA4">
              <w:t xml:space="preserve"> or regulatory approval.</w:t>
            </w:r>
          </w:p>
        </w:tc>
      </w:tr>
      <w:tr w:rsidTr="00C16B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3.4</w:t>
            </w:r>
          </w:p>
        </w:tc>
        <w:tc>
          <w:tcPr>
            <w:tcW w:w="4920" w:type="dxa"/>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t>Approved copies of the installation and maintenance of power system communication equipment documents are issues and records are updated in accordance with established procedures.</w:t>
            </w:r>
          </w:p>
        </w:tc>
      </w:tr>
    </w:tbl>
    <w:p w:rsidR="00C16B3C" w:rsidP="00CC5CA4">
      <w:pPr>
        <w:pStyle w:val="BodyText"/>
      </w:pPr>
    </w:p>
    <w:p w:rsidR="00C16B3C" w:rsidP="00CC5CA4">
      <w:pPr>
        <w:pStyle w:val="BodyText"/>
      </w:pPr>
    </w:p>
    <w:p w:rsidR="00000000" w:rsidRPr="00CC5CA4" w:rsidP="00CC5CA4">
      <w:pPr>
        <w:pStyle w:val="Heading1"/>
      </w:pPr>
      <w:bookmarkStart w:id="9" w:name="O_264089"/>
      <w:bookmarkEnd w:id="9"/>
      <w:r w:rsidRPr="00CC5CA4">
        <w:t>Required Skills and Know</w:t>
      </w:r>
      <w:r w:rsidRPr="00CC5CA4">
        <w:t>ledge</w:t>
      </w:r>
    </w:p>
    <w:tbl>
      <w:tblPr>
        <w:tblW w:w="0" w:type="auto"/>
        <w:tblLayout w:type="fixed"/>
        <w:tblCellMar>
          <w:left w:w="62" w:type="dxa"/>
          <w:right w:w="62" w:type="dxa"/>
        </w:tblCellMar>
        <w:tblLook w:val="0000"/>
      </w:tblPr>
      <w:tblGrid>
        <w:gridCol w:w="2760"/>
        <w:gridCol w:w="1140"/>
        <w:gridCol w:w="4740"/>
      </w:tblGrid>
      <w:tr w:rsidTr="00C16B3C">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rPr>
                <w:rStyle w:val="SpecialBold"/>
              </w:rPr>
              <w:t>REQUIRED SKILLS AND KNOWLEDGE</w:t>
            </w:r>
          </w:p>
        </w:tc>
      </w:tr>
      <w:tr w:rsidTr="00C16B3C">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rPr>
                <w:rStyle w:val="SpecialBold"/>
              </w:rPr>
              <w:t>7</w:t>
            </w:r>
            <w:r w:rsidRPr="00CC5CA4">
              <w:t xml:space="preserve">) </w:t>
            </w:r>
            <w:r w:rsidRPr="00CC5CA4">
              <w:rPr>
                <w:rStyle w:val="SpecialBold"/>
              </w:rPr>
              <w:t>Essential Knowledge and Associated Skills</w:t>
            </w:r>
            <w:r w:rsidRPr="00CC5CA4">
              <w:t xml:space="preserve"> (</w:t>
            </w:r>
            <w:r w:rsidRPr="00CC5CA4">
              <w:rPr>
                <w:rStyle w:val="SpecialBold"/>
              </w:rPr>
              <w:t>EKAS</w:t>
            </w:r>
            <w:r w:rsidRPr="00CC5CA4">
              <w:t>): This describes the essential skills and knowledge and their level, required for this unit.</w:t>
            </w:r>
          </w:p>
        </w:tc>
      </w:tr>
      <w:tr w:rsidTr="00C16B3C">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t>Evidence shall show that knowledge has been acquired of installing and maintaining power system communication equipment.</w:t>
            </w:r>
          </w:p>
          <w:p w:rsidR="00000000" w:rsidRPr="00CC5CA4" w:rsidP="00CC5CA4">
            <w:pPr>
              <w:pStyle w:val="BodyText"/>
            </w:pPr>
            <w:r w:rsidRPr="00CC5CA4">
              <w:t>All knowledge and skills detailed in this unit should be contextualised to current industry practices and technologies.</w:t>
            </w:r>
          </w:p>
          <w:p w:rsidR="00000000" w:rsidP="00CC5CA4">
            <w:pPr>
              <w:pStyle w:val="BodyText"/>
              <w:rPr>
                <w:lang w:val="en-NZ"/>
              </w:rPr>
            </w:pPr>
            <w:r w:rsidRPr="00CC5CA4">
              <w:t>The extent of t</w:t>
            </w:r>
            <w:r w:rsidRPr="00CC5CA4">
              <w:t>he essential knowledge and associated skills (EKAS) required is given in Volume 2 - Part 2.2 EKAS. It forms an integral part of this unit.</w:t>
            </w:r>
          </w:p>
        </w:tc>
      </w:tr>
      <w:tr w:rsidTr="00C16B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 xml:space="preserve">E2.18.1 </w:t>
            </w:r>
          </w:p>
        </w:tc>
        <w:tc>
          <w:tcPr>
            <w:tcW w:w="47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Occupational Health and Safety principles</w:t>
            </w:r>
          </w:p>
        </w:tc>
      </w:tr>
      <w:tr w:rsidTr="00C16B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E2.18.2</w:t>
            </w:r>
          </w:p>
        </w:tc>
        <w:tc>
          <w:tcPr>
            <w:tcW w:w="47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Electrical safe working practices</w:t>
            </w:r>
          </w:p>
        </w:tc>
      </w:tr>
      <w:tr w:rsidTr="00C16B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T2.2.1</w:t>
            </w:r>
          </w:p>
        </w:tc>
        <w:tc>
          <w:tcPr>
            <w:tcW w:w="47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Generation power systems</w:t>
            </w:r>
          </w:p>
        </w:tc>
      </w:tr>
      <w:tr w:rsidTr="00C16B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T2.2.2</w:t>
            </w:r>
          </w:p>
        </w:tc>
        <w:tc>
          <w:tcPr>
            <w:tcW w:w="47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Transmission, distribution and rail power systems</w:t>
            </w:r>
          </w:p>
        </w:tc>
      </w:tr>
      <w:tr w:rsidTr="00C16B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T2.2.3</w:t>
            </w:r>
          </w:p>
        </w:tc>
        <w:tc>
          <w:tcPr>
            <w:tcW w:w="47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Substations, power transmission and reactors</w:t>
            </w:r>
          </w:p>
        </w:tc>
      </w:tr>
      <w:tr w:rsidTr="00C16B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T2.2.49</w:t>
            </w:r>
          </w:p>
        </w:tc>
        <w:tc>
          <w:tcPr>
            <w:tcW w:w="47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Coordinating permit access authority procedures</w:t>
            </w:r>
          </w:p>
        </w:tc>
      </w:tr>
      <w:tr w:rsidTr="00C16B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T2.3.3</w:t>
            </w:r>
          </w:p>
        </w:tc>
        <w:tc>
          <w:tcPr>
            <w:tcW w:w="47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 xml:space="preserve">Statutory and safety considerations </w:t>
            </w:r>
          </w:p>
        </w:tc>
      </w:tr>
      <w:tr w:rsidTr="00C16B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T2.4.8</w:t>
            </w:r>
          </w:p>
        </w:tc>
        <w:tc>
          <w:tcPr>
            <w:tcW w:w="47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System switching operations and authorisation procedures - HV</w:t>
            </w:r>
          </w:p>
        </w:tc>
      </w:tr>
      <w:tr w:rsidTr="00C16B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T2.4.9</w:t>
            </w:r>
          </w:p>
        </w:tc>
        <w:tc>
          <w:tcPr>
            <w:tcW w:w="47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System switching operations and authorisation procedures - LV</w:t>
            </w:r>
          </w:p>
        </w:tc>
      </w:tr>
      <w:tr w:rsidTr="00C16B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T2.8.7</w:t>
            </w:r>
          </w:p>
        </w:tc>
        <w:tc>
          <w:tcPr>
            <w:tcW w:w="47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Enterprise specific - equipment installation procedures</w:t>
            </w:r>
          </w:p>
        </w:tc>
      </w:tr>
      <w:tr w:rsidTr="00C16B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T2.11.25</w:t>
            </w:r>
          </w:p>
        </w:tc>
        <w:tc>
          <w:tcPr>
            <w:tcW w:w="47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Communication devices and principles</w:t>
            </w:r>
          </w:p>
        </w:tc>
      </w:tr>
      <w:tr w:rsidTr="00C16B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T2.11.41</w:t>
            </w:r>
          </w:p>
        </w:tc>
        <w:tc>
          <w:tcPr>
            <w:tcW w:w="47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Fault finding and diagnostic techniques</w:t>
            </w:r>
          </w:p>
        </w:tc>
      </w:tr>
      <w:tr w:rsidTr="00C16B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T2.11.53</w:t>
            </w:r>
          </w:p>
        </w:tc>
        <w:tc>
          <w:tcPr>
            <w:tcW w:w="47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Protection schemes</w:t>
            </w:r>
          </w:p>
        </w:tc>
      </w:tr>
      <w:tr w:rsidTr="00C16B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T2.11.59</w:t>
            </w:r>
          </w:p>
        </w:tc>
        <w:tc>
          <w:tcPr>
            <w:tcW w:w="4740" w:type="dxa"/>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t>Generator control systems - EHV</w:t>
            </w:r>
          </w:p>
        </w:tc>
      </w:tr>
    </w:tbl>
    <w:p w:rsidR="00C16B3C" w:rsidP="00CC5CA4">
      <w:pPr>
        <w:pStyle w:val="BodyText"/>
      </w:pPr>
    </w:p>
    <w:p w:rsidR="00C16B3C" w:rsidP="00CC5CA4">
      <w:pPr>
        <w:pStyle w:val="BodyText"/>
      </w:pPr>
    </w:p>
    <w:p w:rsidR="00000000" w:rsidRPr="00CC5CA4" w:rsidP="00CC5CA4">
      <w:pPr>
        <w:pStyle w:val="Heading1"/>
      </w:pPr>
      <w:bookmarkStart w:id="10" w:name="O_248281"/>
      <w:bookmarkEnd w:id="10"/>
      <w:r w:rsidRPr="00CC5CA4">
        <w:t>Evidence Guide</w:t>
      </w:r>
    </w:p>
    <w:tbl>
      <w:tblPr>
        <w:tblW w:w="0" w:type="auto"/>
        <w:tblLayout w:type="fixed"/>
        <w:tblCellMar>
          <w:left w:w="62" w:type="dxa"/>
          <w:right w:w="62" w:type="dxa"/>
        </w:tblCellMar>
        <w:tblLook w:val="0000"/>
      </w:tblPr>
      <w:tblGrid>
        <w:gridCol w:w="2160"/>
        <w:gridCol w:w="780"/>
        <w:gridCol w:w="960"/>
        <w:gridCol w:w="2040"/>
        <w:gridCol w:w="2700"/>
      </w:tblGrid>
      <w:tr w:rsidTr="00C16B3C">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rPr>
                <w:rStyle w:val="SpecialBold"/>
              </w:rPr>
              <w:t>EVIDENCE GUIDE</w:t>
            </w:r>
          </w:p>
        </w:tc>
      </w:tr>
      <w:tr w:rsidTr="00C16B3C">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rPr>
                <w:rStyle w:val="SpecialBold"/>
              </w:rPr>
              <w:t>9</w:t>
            </w:r>
            <w:r w:rsidRPr="00CC5CA4">
              <w:t>) This provides essential advice for assessment of the unit of competency and must be read in conjunction with the Performance Criteria and the Range Statement of the unit of competency and the Training Package Assessment Guidelines.</w:t>
            </w:r>
          </w:p>
          <w:p w:rsidR="00000000" w:rsidP="00CC5CA4">
            <w:pPr>
              <w:pStyle w:val="BodyText"/>
              <w:rPr>
                <w:lang w:val="en-NZ"/>
              </w:rPr>
            </w:pPr>
            <w:r w:rsidRPr="00CC5CA4">
              <w:t>The Evidence Guide for</w:t>
            </w:r>
            <w:r w:rsidRPr="00CC5CA4">
              <w:t>ms an integral part of this Competency Standard Unit and shall be used in conjunction with all component parts of this unit and, performed in accordance with the Assessment Guidelines of this Training Package.</w:t>
            </w:r>
          </w:p>
        </w:tc>
      </w:tr>
      <w:tr w:rsidTr="00C16B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rPr>
                <w:rStyle w:val="SpecialBold"/>
              </w:rPr>
              <w:t>Overview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rPr>
                <w:rStyle w:val="SpecialBold"/>
              </w:rPr>
              <w:t>9</w:t>
            </w:r>
            <w:r w:rsidRPr="00CC5CA4">
              <w:t>.</w:t>
            </w:r>
            <w:r w:rsidRPr="00CC5CA4">
              <w:rPr>
                <w:rStyle w:val="SpecialBold"/>
              </w:rPr>
              <w:t>1</w:t>
            </w:r>
            <w:r w:rsidRPr="00CC5CA4">
              <w:t xml:space="preserve">) </w:t>
            </w:r>
          </w:p>
          <w:p w:rsidR="00000000" w:rsidRPr="00CC5CA4" w:rsidP="00CC5CA4">
            <w:pPr>
              <w:pStyle w:val="BodyText"/>
            </w:pPr>
            <w:r w:rsidRPr="00CC5CA4">
              <w:t>Longitudinal competency development approaches to assessment, such as Profiling, require data to be reliably gathered in a form that can be consistently interpreted over time. This approach is best utilised in Apprenticeship programs and reduces assessment</w:t>
            </w:r>
            <w:r w:rsidRPr="00CC5CA4">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CC5CA4">
              <w:t>tency in a realistically simulated work environment. It is recognised that, in some circumstances, assessment in part or full can occur outside the workplace. However, it must be in accord with Industry and, Regulatory policy in this regard.</w:t>
            </w:r>
          </w:p>
          <w:p w:rsidR="00000000" w:rsidRPr="00CC5CA4" w:rsidP="00CC5CA4">
            <w:pPr>
              <w:pStyle w:val="BodyText"/>
            </w:pPr>
            <w:r w:rsidRPr="00CC5CA4">
              <w:t>Methods chosen</w:t>
            </w:r>
            <w:r w:rsidRPr="00CC5CA4">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CC5CA4">
              <w:t>equired and the critical nature of the competencies being assessed.</w:t>
            </w:r>
          </w:p>
          <w:p w:rsidR="00000000" w:rsidRPr="00CC5CA4" w:rsidP="00CC5CA4">
            <w:pPr>
              <w:pStyle w:val="BodyText"/>
            </w:pPr>
            <w:r w:rsidRPr="00CC5CA4">
              <w:t>The critical safety nature of working with electricity, electrical equipment, gas or any other hazardous substance/material carries risk in deeming a person competent. Hence, sources of ev</w:t>
            </w:r>
            <w:r w:rsidRPr="00CC5CA4">
              <w:t>idence need to be 'rich' in nature so as to minimise error in judgment.</w:t>
            </w:r>
          </w:p>
          <w:p w:rsidR="00000000" w:rsidP="00CC5CA4">
            <w:pPr>
              <w:pStyle w:val="BodyText"/>
              <w:rPr>
                <w:lang w:val="en-NZ"/>
              </w:rPr>
            </w:pPr>
            <w:r w:rsidRPr="00CC5CA4">
              <w:t>Activities associated with normal every day work have a bearing on the decision as to how much and how detailed the data gathered will contribute to its 'richness'. Some skills are mor</w:t>
            </w:r>
            <w:r w:rsidRPr="00CC5CA4">
              <w:t>e critical to safety and operational requirements while the same skills may be more or less frequently practiced. These points are raised for the assessors to consider when choosing an assessment method and developing assessment instruments. Sample assessm</w:t>
            </w:r>
            <w:r w:rsidRPr="00CC5CA4">
              <w:t>ent instruments are included for Assessors in the Assessment Guidelines of this Training Package.</w:t>
            </w:r>
          </w:p>
        </w:tc>
      </w:tr>
      <w:tr w:rsidTr="00C16B3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rPr>
                <w:rStyle w:val="SpecialBold"/>
              </w:rPr>
              <w:t>Critical aspects of evidence required to demonstrate competency in this unit</w:t>
            </w:r>
          </w:p>
        </w:tc>
        <w:tc>
          <w:tcPr>
            <w:tcW w:w="6480" w:type="dxa"/>
            <w:gridSpan w:val="4"/>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rPr>
                <w:rStyle w:val="SpecialBold"/>
              </w:rPr>
              <w:t>9</w:t>
            </w:r>
            <w:r w:rsidRPr="00CC5CA4">
              <w:t>.</w:t>
            </w:r>
            <w:r w:rsidRPr="00CC5CA4">
              <w:rPr>
                <w:rStyle w:val="SpecialBold"/>
              </w:rPr>
              <w:t>2</w:t>
            </w:r>
            <w:r w:rsidRPr="00CC5CA4">
              <w:t xml:space="preserve">) </w:t>
            </w:r>
          </w:p>
          <w:p w:rsidR="00000000" w:rsidP="00CC5CA4">
            <w:pPr>
              <w:pStyle w:val="BodyText"/>
              <w:rPr>
                <w:lang w:val="en-NZ"/>
              </w:rPr>
            </w:pPr>
            <w:r w:rsidRPr="00CC5CA4">
              <w:t>Before the critical aspects of evidence are considered all prerequisites shall be met.</w:t>
            </w:r>
          </w:p>
        </w:tc>
      </w:tr>
      <w:tr w:rsidTr="00C16B3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t>Evidence for competence in this unit shall be considered holistically. Each element and associated Performance Criteria shall be demonstrated on at least two occasi</w:t>
            </w:r>
            <w:r w:rsidRPr="00CC5CA4">
              <w:t>ons in accordance with the "Assessment Guidelines - UET09". Evidence shall also comprise:</w:t>
            </w:r>
          </w:p>
          <w:p w:rsidR="00000000" w:rsidP="00CC5CA4">
            <w:pPr>
              <w:pStyle w:val="ListBullet"/>
              <w:rPr>
                <w:lang w:val="en-NZ"/>
              </w:rPr>
            </w:pPr>
            <w:r w:rsidRPr="00CC5CA4">
              <w:t>A representative body of Performance Criteria demonstrated within the timeframes typically expected of the discipline, work function and industrial environment. In p</w:t>
            </w:r>
            <w:r w:rsidRPr="00CC5CA4">
              <w:t>articular this shall incorporate evidence that shows a candidate is able to:</w:t>
            </w:r>
          </w:p>
        </w:tc>
      </w:tr>
      <w:tr w:rsidTr="00C16B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CC5CA4" w:rsidP="00CC5CA4">
            <w:pPr>
              <w:pStyle w:val="ListBullet2"/>
            </w:pPr>
            <w:r w:rsidRPr="00CC5CA4">
              <w:t xml:space="preserve">Implement Occupational Health and Safety workplace procedures and practices including </w:t>
            </w:r>
            <w:r w:rsidRPr="00CC5CA4">
              <w:t>the use of risk control measures as specified in the Performance Criteria and range; and</w:t>
            </w:r>
          </w:p>
          <w:p w:rsidR="00000000" w:rsidRPr="00CC5CA4" w:rsidP="00CC5CA4">
            <w:pPr>
              <w:pStyle w:val="ListBullet2"/>
            </w:pPr>
            <w:r w:rsidRPr="00CC5CA4">
              <w:t>Apply sustainable energy principles and practices as specified in the Performance Criteria and range; and</w:t>
            </w:r>
          </w:p>
          <w:p w:rsidR="00000000" w:rsidRPr="00CC5CA4" w:rsidP="00CC5CA4">
            <w:pPr>
              <w:pStyle w:val="ListBullet2"/>
            </w:pPr>
            <w:r w:rsidRPr="00CC5CA4">
              <w:t>Demonstrate an understanding of the essential knowledge and associated skills as described in this unit to such an extent that the learner's performance outcome is reported in accordance with the preferred approach; namely a percentile graded result, where</w:t>
            </w:r>
            <w:r w:rsidRPr="00CC5CA4">
              <w:t xml:space="preserve"> required by the regulated environment; and</w:t>
            </w:r>
          </w:p>
          <w:p w:rsidR="00000000" w:rsidRPr="00CC5CA4" w:rsidP="00CC5CA4">
            <w:pPr>
              <w:pStyle w:val="ListBullet2"/>
            </w:pPr>
            <w:r w:rsidRPr="00CC5CA4">
              <w:t>Demonstrate an appropriate level of employability skills; and</w:t>
            </w:r>
          </w:p>
          <w:p w:rsidR="00000000" w:rsidP="00CC5CA4">
            <w:pPr>
              <w:pStyle w:val="ListBullet2"/>
              <w:rPr>
                <w:lang w:val="en-NZ"/>
              </w:rPr>
            </w:pPr>
            <w:r w:rsidRPr="00CC5CA4">
              <w:t>Conduct work observing the relevant Anti discrimination legislation, regulations, policies and workplace procedures; and</w:t>
            </w:r>
          </w:p>
        </w:tc>
      </w:tr>
      <w:tr w:rsidTr="00C16B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CC5CA4">
            <w:pPr>
              <w:pStyle w:val="ListBullet"/>
              <w:rPr>
                <w:lang w:val="en-NZ"/>
              </w:rPr>
            </w:pPr>
            <w:r w:rsidRPr="00CC5CA4">
              <w:t>Demonstrated performanc</w:t>
            </w:r>
            <w:r w:rsidRPr="00CC5CA4">
              <w:t>e across a representative range of contexts from the prescribed items below:</w:t>
            </w:r>
          </w:p>
        </w:tc>
      </w:tr>
      <w:tr w:rsidTr="00C16B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single" w:sz="6" w:space="0" w:color="auto"/>
            </w:tcBorders>
            <w:tcMar>
              <w:top w:w="0" w:type="dxa"/>
              <w:left w:w="62" w:type="dxa"/>
              <w:bottom w:w="0" w:type="dxa"/>
              <w:right w:w="62" w:type="dxa"/>
            </w:tcMar>
          </w:tcPr>
          <w:p w:rsidR="00000000" w:rsidRPr="00CC5CA4">
            <w:pPr>
              <w:pStyle w:val="BodyText"/>
              <w:keepNext w:val="0"/>
              <w:keepLines w:val="0"/>
              <w:contextualSpacing w:val="0"/>
            </w:pPr>
          </w:p>
        </w:tc>
        <w:tc>
          <w:tcPr>
            <w:tcW w:w="57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CA4">
            <w:pPr>
              <w:pStyle w:val="BodyText"/>
              <w:rPr>
                <w:lang w:val="en-NZ"/>
              </w:rPr>
            </w:pPr>
            <w:r w:rsidRPr="00CC5CA4">
              <w:rPr>
                <w:rStyle w:val="SpecialBold"/>
              </w:rPr>
              <w:t>Range of tools</w:t>
            </w:r>
            <w:r w:rsidRPr="00CC5CA4">
              <w:t>/</w:t>
            </w:r>
            <w:r w:rsidRPr="00CC5CA4">
              <w:rPr>
                <w:rStyle w:val="SpecialBold"/>
              </w:rPr>
              <w:t>equipment</w:t>
            </w:r>
            <w:r w:rsidRPr="00CC5CA4">
              <w:t>/</w:t>
            </w:r>
            <w:r w:rsidRPr="00CC5CA4">
              <w:rPr>
                <w:rStyle w:val="SpecialBold"/>
              </w:rPr>
              <w:t>materials</w:t>
            </w:r>
            <w:r w:rsidRPr="00CC5CA4">
              <w:t>/</w:t>
            </w:r>
            <w:r w:rsidRPr="00CC5CA4">
              <w:rPr>
                <w:rStyle w:val="SpecialBold"/>
              </w:rPr>
              <w:t>procedures</w:t>
            </w:r>
            <w:r w:rsidRPr="00CC5CA4">
              <w:t>/</w:t>
            </w:r>
            <w:r w:rsidRPr="00CC5CA4">
              <w:rPr>
                <w:rStyle w:val="SpecialBold"/>
              </w:rPr>
              <w:t>workplaces</w:t>
            </w:r>
            <w:r w:rsidRPr="00CC5CA4">
              <w:t>/</w:t>
            </w:r>
            <w:r w:rsidRPr="00CC5CA4">
              <w:rPr>
                <w:rStyle w:val="SpecialBold"/>
              </w:rPr>
              <w:t>other variables</w:t>
            </w:r>
          </w:p>
        </w:tc>
      </w:tr>
      <w:tr w:rsidTr="00C16B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single" w:sz="6" w:space="0" w:color="auto"/>
            </w:tcBorders>
            <w:tcMar>
              <w:top w:w="0" w:type="dxa"/>
              <w:left w:w="62" w:type="dxa"/>
              <w:bottom w:w="0" w:type="dxa"/>
              <w:right w:w="62" w:type="dxa"/>
            </w:tcMar>
          </w:tcPr>
          <w:p w:rsidR="00000000" w:rsidRPr="00CC5CA4">
            <w:pPr>
              <w:pStyle w:val="BodyText"/>
              <w:keepNext w:val="0"/>
              <w:keepLines w:val="0"/>
              <w:contextualSpacing w:val="0"/>
            </w:pPr>
          </w:p>
        </w:tc>
        <w:tc>
          <w:tcPr>
            <w:tcW w:w="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CA4" w:rsidP="00CC5CA4">
            <w:pPr>
              <w:pStyle w:val="BodyText"/>
            </w:pPr>
            <w:r w:rsidRPr="00CC5CA4">
              <w:rPr>
                <w:rStyle w:val="SpecialBold"/>
              </w:rPr>
              <w:t>Group No</w:t>
            </w:r>
          </w:p>
        </w:tc>
        <w:tc>
          <w:tcPr>
            <w:tcW w:w="2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CA4" w:rsidP="00CC5CA4">
            <w:pPr>
              <w:pStyle w:val="BodyText"/>
            </w:pPr>
            <w:r w:rsidRPr="00CC5CA4">
              <w:rPr>
                <w:rStyle w:val="SpecialBold"/>
              </w:rPr>
              <w:t>The minimum number of items on which skill is to be demonstrated</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CA4">
            <w:pPr>
              <w:pStyle w:val="BodyText"/>
              <w:rPr>
                <w:lang w:val="en-NZ"/>
              </w:rPr>
            </w:pPr>
            <w:r w:rsidRPr="00CC5CA4">
              <w:rPr>
                <w:rStyle w:val="SpecialBold"/>
              </w:rPr>
              <w:t>Item List</w:t>
            </w:r>
          </w:p>
        </w:tc>
      </w:tr>
      <w:tr w:rsidTr="00C16B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CA4">
            <w:pPr>
              <w:pStyle w:val="BodyText"/>
              <w:rPr>
                <w:lang w:val="en-NZ"/>
              </w:rPr>
            </w:pPr>
            <w:r w:rsidRPr="00CC5CA4">
              <w:t>A</w:t>
            </w:r>
          </w:p>
        </w:tc>
        <w:tc>
          <w:tcPr>
            <w:tcW w:w="2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CA4">
            <w:pPr>
              <w:pStyle w:val="BodyText"/>
              <w:rPr>
                <w:lang w:val="en-NZ"/>
              </w:rPr>
            </w:pPr>
            <w:r w:rsidRPr="00CC5CA4">
              <w:t>Carry out maintenance testing on Substation communications equipment, to include isolation and functional checks on at least three (3) of the following systems:</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CA4" w:rsidP="00CC5CA4">
            <w:pPr>
              <w:pStyle w:val="BodyText"/>
            </w:pPr>
            <w:r w:rsidRPr="00CC5CA4">
              <w:t>Supervisory cables</w:t>
            </w:r>
          </w:p>
          <w:p w:rsidR="00000000" w:rsidRPr="00CC5CA4" w:rsidP="00CC5CA4">
            <w:pPr>
              <w:pStyle w:val="BodyText"/>
            </w:pPr>
            <w:r w:rsidRPr="00CC5CA4">
              <w:t>Power line carrier systems</w:t>
            </w:r>
          </w:p>
          <w:p w:rsidR="00000000" w:rsidRPr="00CC5CA4" w:rsidP="00CC5CA4">
            <w:pPr>
              <w:pStyle w:val="BodyText"/>
            </w:pPr>
            <w:r w:rsidRPr="00CC5CA4">
              <w:t>Protection signalling equipment</w:t>
            </w:r>
          </w:p>
          <w:p w:rsidR="00000000" w:rsidRPr="00CC5CA4" w:rsidP="00CC5CA4">
            <w:pPr>
              <w:pStyle w:val="BodyText"/>
            </w:pPr>
            <w:r w:rsidRPr="00CC5CA4">
              <w:t>Telephone systems</w:t>
            </w:r>
          </w:p>
          <w:p w:rsidR="00000000" w:rsidRPr="00CC5CA4" w:rsidP="00CC5CA4">
            <w:pPr>
              <w:pStyle w:val="BodyText"/>
            </w:pPr>
            <w:r w:rsidRPr="00CC5CA4">
              <w:t>VF systems</w:t>
            </w:r>
          </w:p>
          <w:p w:rsidR="00000000" w:rsidP="00CC5CA4">
            <w:pPr>
              <w:pStyle w:val="BodyText"/>
              <w:rPr>
                <w:lang w:val="en-NZ"/>
              </w:rPr>
            </w:pPr>
            <w:r w:rsidRPr="00CC5CA4">
              <w:t>Fibre optics</w:t>
            </w:r>
          </w:p>
        </w:tc>
      </w:tr>
      <w:tr w:rsidTr="00C16B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CA4">
            <w:pPr>
              <w:pStyle w:val="BodyText"/>
              <w:rPr>
                <w:lang w:val="en-NZ"/>
              </w:rPr>
            </w:pPr>
            <w:r w:rsidRPr="00CC5CA4">
              <w:t>B</w:t>
            </w:r>
          </w:p>
        </w:tc>
        <w:tc>
          <w:tcPr>
            <w:tcW w:w="2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CA4">
            <w:pPr>
              <w:pStyle w:val="BodyText"/>
              <w:rPr>
                <w:lang w:val="en-NZ"/>
              </w:rPr>
            </w:pPr>
            <w:r w:rsidRPr="00CC5CA4">
              <w:t>Carry out commissioning tests on Substation communications equipment, to include isolation and functional checks on at least three (3) of the following systems:</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CA4" w:rsidP="00CC5CA4">
            <w:pPr>
              <w:pStyle w:val="BodyText"/>
            </w:pPr>
            <w:r w:rsidRPr="00CC5CA4">
              <w:t>Supervisory cables</w:t>
            </w:r>
          </w:p>
          <w:p w:rsidR="00000000" w:rsidRPr="00CC5CA4" w:rsidP="00CC5CA4">
            <w:pPr>
              <w:pStyle w:val="BodyText"/>
            </w:pPr>
            <w:r w:rsidRPr="00CC5CA4">
              <w:t>Power line carrier systems</w:t>
            </w:r>
          </w:p>
          <w:p w:rsidR="00000000" w:rsidRPr="00CC5CA4" w:rsidP="00CC5CA4">
            <w:pPr>
              <w:pStyle w:val="BodyText"/>
            </w:pPr>
            <w:r w:rsidRPr="00CC5CA4">
              <w:t>Protection signalli</w:t>
            </w:r>
            <w:r w:rsidRPr="00CC5CA4">
              <w:t>ng equipment</w:t>
            </w:r>
          </w:p>
          <w:p w:rsidR="00000000" w:rsidRPr="00CC5CA4" w:rsidP="00CC5CA4">
            <w:pPr>
              <w:pStyle w:val="BodyText"/>
            </w:pPr>
            <w:r w:rsidRPr="00CC5CA4">
              <w:t>Telephone systems</w:t>
            </w:r>
          </w:p>
          <w:p w:rsidR="00000000" w:rsidRPr="00CC5CA4" w:rsidP="00CC5CA4">
            <w:pPr>
              <w:pStyle w:val="BodyText"/>
            </w:pPr>
            <w:r w:rsidRPr="00CC5CA4">
              <w:t>VF systems</w:t>
            </w:r>
          </w:p>
          <w:p w:rsidR="00000000" w:rsidP="00CC5CA4">
            <w:pPr>
              <w:pStyle w:val="BodyText"/>
              <w:rPr>
                <w:lang w:val="en-NZ"/>
              </w:rPr>
            </w:pPr>
            <w:r w:rsidRPr="00CC5CA4">
              <w:t>Fibre optics</w:t>
            </w:r>
          </w:p>
        </w:tc>
      </w:tr>
      <w:tr w:rsidTr="00C16B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CA4">
            <w:pPr>
              <w:pStyle w:val="BodyText"/>
              <w:rPr>
                <w:lang w:val="en-NZ"/>
              </w:rPr>
            </w:pPr>
            <w:r w:rsidRPr="00CC5CA4">
              <w:t>C</w:t>
            </w:r>
          </w:p>
        </w:tc>
        <w:tc>
          <w:tcPr>
            <w:tcW w:w="2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CA4">
            <w:pPr>
              <w:pStyle w:val="BodyText"/>
              <w:rPr>
                <w:lang w:val="en-NZ"/>
              </w:rPr>
            </w:pPr>
            <w:r w:rsidRPr="00CC5CA4">
              <w:t>At least one occasion</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CA4">
            <w:pPr>
              <w:pStyle w:val="BodyText"/>
              <w:rPr>
                <w:lang w:val="en-NZ"/>
              </w:rPr>
            </w:pPr>
            <w:r w:rsidRPr="00CC5CA4">
              <w:t xml:space="preserve">Dealing with an unplanned event by drawing on essential knowledge and associated skills to provide appropriate solutions incorporated in the </w:t>
            </w:r>
            <w:r w:rsidRPr="00CC5CA4">
              <w:t>holistic assessment with the above listed items.</w:t>
            </w:r>
          </w:p>
        </w:tc>
      </w:tr>
      <w:tr w:rsidTr="00C16B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rPr>
                <w:rStyle w:val="SpecialBold"/>
              </w:rPr>
              <w:t>Context of and specific resources for assessment</w:t>
            </w:r>
          </w:p>
        </w:tc>
        <w:tc>
          <w:tcPr>
            <w:tcW w:w="6480" w:type="dxa"/>
            <w:gridSpan w:val="4"/>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rPr>
                <w:rStyle w:val="SpecialBold"/>
              </w:rPr>
              <w:t>9</w:t>
            </w:r>
            <w:r w:rsidRPr="00CC5CA4">
              <w:t>.</w:t>
            </w:r>
            <w:r w:rsidRPr="00CC5CA4">
              <w:rPr>
                <w:rStyle w:val="SpecialBold"/>
              </w:rPr>
              <w:t>3</w:t>
            </w:r>
            <w:r w:rsidRPr="00CC5CA4">
              <w:t xml:space="preserve">) </w:t>
            </w:r>
          </w:p>
          <w:p w:rsidR="00000000" w:rsidRPr="00CC5CA4" w:rsidP="00CC5CA4">
            <w:pPr>
              <w:pStyle w:val="BodyText"/>
            </w:pPr>
            <w:r w:rsidRPr="00CC5CA4">
              <w:t>This unit should be assessed as it relates to normal work practice using procedures, information and resources typical of a workplace. This should incl</w:t>
            </w:r>
            <w:r w:rsidRPr="00CC5CA4">
              <w:t>ude:</w:t>
            </w:r>
          </w:p>
          <w:p w:rsidR="00000000" w:rsidRPr="00CC5CA4" w:rsidP="00CC5CA4">
            <w:pPr>
              <w:pStyle w:val="ListBullet"/>
            </w:pPr>
            <w:r w:rsidRPr="00CC5CA4">
              <w:t>OHS policy and work procedures and instructions.</w:t>
            </w:r>
          </w:p>
          <w:p w:rsidR="00000000" w:rsidP="00CC5CA4">
            <w:pPr>
              <w:pStyle w:val="ListBullet"/>
              <w:rPr>
                <w:lang w:val="en-NZ"/>
              </w:rPr>
            </w:pPr>
            <w:r w:rsidRPr="00CC5CA4">
              <w:t>Suitable work environment, facilities, equipment and materials to undertake actual installation and maintenance of power system communication equipment.</w:t>
            </w:r>
          </w:p>
        </w:tc>
      </w:tr>
      <w:tr w:rsidTr="00C16B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In addition to the resources listed above, in Context of and specific resources for assessment, evidence should show demonstrated competency working in realistic environment and a variety of conditions.</w:t>
            </w:r>
          </w:p>
        </w:tc>
      </w:tr>
      <w:tr w:rsidTr="00C16B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rPr>
                <w:rStyle w:val="SpecialBold"/>
              </w:rPr>
              <w:t>Method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rPr>
                <w:rStyle w:val="SpecialBold"/>
              </w:rPr>
              <w:t>9</w:t>
            </w:r>
            <w:r w:rsidRPr="00CC5CA4">
              <w:t>.</w:t>
            </w:r>
            <w:r w:rsidRPr="00CC5CA4">
              <w:rPr>
                <w:rStyle w:val="SpecialBold"/>
              </w:rPr>
              <w:t>4</w:t>
            </w:r>
            <w:r w:rsidRPr="00CC5CA4">
              <w:t xml:space="preserve">) </w:t>
            </w:r>
          </w:p>
          <w:p w:rsidR="00000000" w:rsidRPr="00CC5CA4" w:rsidP="00CC5CA4">
            <w:pPr>
              <w:pStyle w:val="BodyText"/>
            </w:pPr>
            <w:r w:rsidRPr="00CC5CA4">
              <w:t>This Competency Standa</w:t>
            </w:r>
            <w:r w:rsidRPr="00CC5CA4">
              <w:t>rd Unit shall be assessed by methods given in Volume 1, Part 3 "Assessment Guidelines".</w:t>
            </w:r>
          </w:p>
          <w:p w:rsidR="00000000" w:rsidP="00CC5CA4">
            <w:pPr>
              <w:pStyle w:val="BodyText"/>
              <w:rPr>
                <w:lang w:val="en-NZ"/>
              </w:rPr>
            </w:pPr>
            <w:r w:rsidRPr="00CC5CA4">
              <w:t>Note:</w:t>
            </w:r>
            <w:r w:rsidRPr="00CC5CA4">
              <w:br/>
              <w:t>Competent performance with inherent safe working practices is expected in the Transmission, Distribution and Rail Traction Industry. This requires that the specif</w:t>
            </w:r>
            <w:r w:rsidRPr="00CC5CA4">
              <w:t>ied essential knowledge and associated skills are assessed in a structured environment which is primarily intended for learning/assessment and incorporates all necessary equipment and facilities for learners to develop and demonstrate the essential knowled</w:t>
            </w:r>
            <w:r w:rsidRPr="00CC5CA4">
              <w:t>ge and associated skills described in this unit.</w:t>
            </w:r>
          </w:p>
        </w:tc>
      </w:tr>
      <w:tr w:rsidTr="00C16B3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rPr>
                <w:rStyle w:val="SpecialBold"/>
              </w:rPr>
              <w:t>Concurrent assessment and relationship with other units</w:t>
            </w:r>
          </w:p>
        </w:tc>
        <w:tc>
          <w:tcPr>
            <w:tcW w:w="6480" w:type="dxa"/>
            <w:gridSpan w:val="4"/>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rPr>
                <w:rStyle w:val="SpecialBold"/>
              </w:rPr>
              <w:t>9</w:t>
            </w:r>
            <w:r w:rsidRPr="00CC5CA4">
              <w:t>.</w:t>
            </w:r>
            <w:r w:rsidRPr="00CC5CA4">
              <w:rPr>
                <w:rStyle w:val="SpecialBold"/>
              </w:rPr>
              <w:t>5</w:t>
            </w:r>
            <w:r w:rsidRPr="00CC5CA4">
              <w:t>)</w:t>
            </w:r>
          </w:p>
        </w:tc>
      </w:tr>
      <w:tr w:rsidTr="00C16B3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t>There are no concurrent assessment recommendations for this unit.</w:t>
            </w:r>
          </w:p>
        </w:tc>
      </w:tr>
    </w:tbl>
    <w:p w:rsidR="00C16B3C" w:rsidP="00CC5CA4">
      <w:pPr>
        <w:pStyle w:val="BodyText"/>
      </w:pPr>
    </w:p>
    <w:p w:rsidR="00C16B3C" w:rsidP="00CC5CA4">
      <w:pPr>
        <w:pStyle w:val="BodyText"/>
      </w:pPr>
    </w:p>
    <w:p w:rsidR="00000000" w:rsidRPr="00CC5CA4" w:rsidP="00CC5CA4">
      <w:pPr>
        <w:pStyle w:val="Heading1"/>
      </w:pPr>
      <w:bookmarkStart w:id="11" w:name="O_256265"/>
      <w:bookmarkEnd w:id="11"/>
      <w:r w:rsidRPr="00CC5CA4">
        <w:t>Range Statement</w:t>
      </w:r>
    </w:p>
    <w:tbl>
      <w:tblPr>
        <w:tblW w:w="0" w:type="auto"/>
        <w:tblLayout w:type="fixed"/>
        <w:tblCellMar>
          <w:left w:w="62" w:type="dxa"/>
          <w:right w:w="62" w:type="dxa"/>
        </w:tblCellMar>
        <w:tblLook w:val="0000"/>
      </w:tblPr>
      <w:tblGrid>
        <w:gridCol w:w="2160"/>
        <w:gridCol w:w="6480"/>
      </w:tblGrid>
      <w:tr w:rsidTr="00C16B3C">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rPr>
                <w:rStyle w:val="SpecialBold"/>
              </w:rPr>
              <w:t>RANGE STATEMENT</w:t>
            </w:r>
          </w:p>
        </w:tc>
      </w:tr>
      <w:tr w:rsidTr="00C16B3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rPr>
                <w:rStyle w:val="SpecialBold"/>
              </w:rPr>
              <w:t>8</w:t>
            </w:r>
            <w:r w:rsidRPr="00CC5CA4">
              <w:t>) This relates to the unit of competency as a whole providing the range of contexts and conditions to which the Performance Criteria apply. It allows for different work environments and situations that will affect performance.</w:t>
            </w:r>
          </w:p>
        </w:tc>
      </w:tr>
      <w:tr w:rsidTr="00C16B3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t>This Competency Standard Unit shall/may be demonstrated in relation to the installation and maintenance of power system communication equipment and may include the following:</w:t>
            </w:r>
          </w:p>
          <w:p w:rsidR="00000000" w:rsidRPr="00CC5CA4" w:rsidP="00CC5CA4">
            <w:pPr>
              <w:pStyle w:val="BodyText"/>
            </w:pPr>
            <w:r w:rsidRPr="00CC5CA4">
              <w:t xml:space="preserve">Power Line Carrier Equipment, Protection Signalling Equipment, Radio Systems and </w:t>
            </w:r>
            <w:r w:rsidRPr="00CC5CA4">
              <w:t>Telephone Systems, VF Systems, Multiplexing systems and Fibre Optic Systems, but does not include wiring.</w:t>
            </w:r>
          </w:p>
          <w:p w:rsidR="00000000" w:rsidP="00CC5CA4">
            <w:pPr>
              <w:pStyle w:val="BodyText"/>
              <w:rPr>
                <w:lang w:val="en-NZ"/>
              </w:rPr>
            </w:pPr>
            <w:r w:rsidRPr="00CC5CA4">
              <w:t>The following constants and variables included in the element/Performance Criteria in this unit are fully described in the Definitions Section 1 of th</w:t>
            </w:r>
            <w:r w:rsidRPr="00CC5CA4">
              <w:t>is volume and form an integral part of the Range Statement of this unit:</w:t>
            </w:r>
          </w:p>
        </w:tc>
      </w:tr>
      <w:tr w:rsidTr="00C16B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CC5CA4" w:rsidP="00CC5CA4">
            <w:pPr>
              <w:pStyle w:val="ListBullet"/>
            </w:pPr>
            <w:r w:rsidRPr="00CC5CA4">
              <w:t>Appropriate and relevant persons (see Personnel)</w:t>
            </w:r>
          </w:p>
          <w:p w:rsidR="00000000" w:rsidRPr="00CC5CA4" w:rsidP="00CC5CA4">
            <w:pPr>
              <w:pStyle w:val="ListBullet"/>
            </w:pPr>
            <w:r w:rsidRPr="00CC5CA4">
              <w:t>Appropriate authorities</w:t>
            </w:r>
          </w:p>
          <w:p w:rsidR="00000000" w:rsidRPr="00CC5CA4" w:rsidP="00CC5CA4">
            <w:pPr>
              <w:pStyle w:val="ListBullet"/>
            </w:pPr>
            <w:r w:rsidRPr="00CC5CA4">
              <w:t>Appropriate work platform</w:t>
            </w:r>
          </w:p>
          <w:p w:rsidR="00000000" w:rsidRPr="00CC5CA4" w:rsidP="00CC5CA4">
            <w:pPr>
              <w:pStyle w:val="ListBullet"/>
            </w:pPr>
            <w:r w:rsidRPr="00CC5CA4">
              <w:t>Assessing risk</w:t>
            </w:r>
          </w:p>
          <w:p w:rsidR="00000000" w:rsidRPr="00CC5CA4" w:rsidP="00CC5CA4">
            <w:pPr>
              <w:pStyle w:val="ListBullet"/>
            </w:pPr>
            <w:r w:rsidRPr="00CC5CA4">
              <w:t>Assessment</w:t>
            </w:r>
          </w:p>
          <w:p w:rsidR="00000000" w:rsidRPr="00CC5CA4" w:rsidP="00CC5CA4">
            <w:pPr>
              <w:pStyle w:val="ListBullet"/>
            </w:pPr>
            <w:r w:rsidRPr="00CC5CA4">
              <w:t>Authorisation</w:t>
            </w:r>
          </w:p>
          <w:p w:rsidR="00000000" w:rsidRPr="00CC5CA4" w:rsidP="00CC5CA4">
            <w:pPr>
              <w:pStyle w:val="ListBullet"/>
            </w:pPr>
            <w:r w:rsidRPr="00CC5CA4">
              <w:t>Confined space</w:t>
            </w:r>
          </w:p>
          <w:p w:rsidR="00000000" w:rsidRPr="00CC5CA4" w:rsidP="00CC5CA4">
            <w:pPr>
              <w:pStyle w:val="ListBullet"/>
            </w:pPr>
            <w:r w:rsidRPr="00CC5CA4">
              <w:t>Diagnostic, testing and r</w:t>
            </w:r>
            <w:r w:rsidRPr="00CC5CA4">
              <w:t>estoration</w:t>
            </w:r>
          </w:p>
          <w:p w:rsidR="00000000" w:rsidRPr="00CC5CA4" w:rsidP="00CC5CA4">
            <w:pPr>
              <w:pStyle w:val="ListBullet"/>
            </w:pPr>
            <w:r w:rsidRPr="00CC5CA4">
              <w:t>Documenting detail work events, record keeping and or storage of information</w:t>
            </w:r>
          </w:p>
          <w:p w:rsidR="00000000" w:rsidRPr="00CC5CA4" w:rsidP="00CC5CA4">
            <w:pPr>
              <w:pStyle w:val="ListBullet"/>
            </w:pPr>
            <w:r w:rsidRPr="00CC5CA4">
              <w:t>Drawings and specifications</w:t>
            </w:r>
          </w:p>
          <w:p w:rsidR="00000000" w:rsidRPr="00CC5CA4" w:rsidP="00CC5CA4">
            <w:pPr>
              <w:pStyle w:val="ListBullet"/>
            </w:pPr>
            <w:r w:rsidRPr="00CC5CA4">
              <w:t>Emergency</w:t>
            </w:r>
          </w:p>
          <w:p w:rsidR="00000000" w:rsidRPr="00CC5CA4" w:rsidP="00CC5CA4">
            <w:pPr>
              <w:pStyle w:val="ListBullet"/>
            </w:pPr>
            <w:r w:rsidRPr="00CC5CA4">
              <w:t>Environmental and sustainable energy procedures</w:t>
            </w:r>
          </w:p>
          <w:p w:rsidR="00000000" w:rsidRPr="00CC5CA4" w:rsidP="00CC5CA4">
            <w:pPr>
              <w:pStyle w:val="ListBullet"/>
            </w:pPr>
            <w:r w:rsidRPr="00CC5CA4">
              <w:t>Environmental legislation</w:t>
            </w:r>
          </w:p>
          <w:p w:rsidR="00000000" w:rsidRPr="00CC5CA4" w:rsidP="00CC5CA4">
            <w:pPr>
              <w:pStyle w:val="ListBullet"/>
            </w:pPr>
            <w:r w:rsidRPr="00CC5CA4">
              <w:t>Environmental management documentation</w:t>
            </w:r>
          </w:p>
          <w:p w:rsidR="00000000" w:rsidRPr="00CC5CA4" w:rsidP="00CC5CA4">
            <w:pPr>
              <w:pStyle w:val="ListBullet"/>
            </w:pPr>
            <w:r w:rsidRPr="00CC5CA4">
              <w:t>Established procedures</w:t>
            </w:r>
          </w:p>
          <w:p w:rsidR="00000000" w:rsidRPr="00CC5CA4" w:rsidP="00CC5CA4">
            <w:pPr>
              <w:pStyle w:val="ListBullet"/>
            </w:pPr>
            <w:r w:rsidRPr="00CC5CA4">
              <w:t>Fall prevention</w:t>
            </w:r>
          </w:p>
          <w:p w:rsidR="00000000" w:rsidRPr="00CC5CA4" w:rsidP="00CC5CA4">
            <w:pPr>
              <w:pStyle w:val="ListBullet"/>
            </w:pPr>
            <w:r w:rsidRPr="00CC5CA4">
              <w:t>Hazards</w:t>
            </w:r>
          </w:p>
          <w:p w:rsidR="00000000" w:rsidRPr="00CC5CA4" w:rsidP="00CC5CA4">
            <w:pPr>
              <w:pStyle w:val="ListBullet"/>
            </w:pPr>
            <w:r w:rsidRPr="00CC5CA4">
              <w:t>Identifying hazards</w:t>
            </w:r>
          </w:p>
          <w:p w:rsidR="00000000" w:rsidRPr="00CC5CA4" w:rsidP="00CC5CA4">
            <w:pPr>
              <w:pStyle w:val="ListBullet"/>
            </w:pPr>
            <w:r w:rsidRPr="00CC5CA4">
              <w:t>Inspect</w:t>
            </w:r>
          </w:p>
          <w:p w:rsidR="00000000" w:rsidRPr="00CC5CA4" w:rsidP="00CC5CA4">
            <w:pPr>
              <w:pStyle w:val="ListBullet"/>
            </w:pPr>
            <w:r w:rsidRPr="00CC5CA4">
              <w:t>Legislation</w:t>
            </w:r>
          </w:p>
          <w:p w:rsidR="00000000" w:rsidRPr="00CC5CA4" w:rsidP="00CC5CA4">
            <w:pPr>
              <w:pStyle w:val="ListBullet"/>
            </w:pPr>
            <w:r w:rsidRPr="00CC5CA4">
              <w:t>MSDS</w:t>
            </w:r>
          </w:p>
          <w:p w:rsidR="00000000" w:rsidRPr="00CC5CA4" w:rsidP="00CC5CA4">
            <w:pPr>
              <w:pStyle w:val="ListBullet"/>
            </w:pPr>
            <w:r w:rsidRPr="00CC5CA4">
              <w:t>Notification</w:t>
            </w:r>
          </w:p>
          <w:p w:rsidR="00000000" w:rsidRPr="00CC5CA4" w:rsidP="00CC5CA4">
            <w:pPr>
              <w:pStyle w:val="ListBullet"/>
            </w:pPr>
            <w:r w:rsidRPr="00CC5CA4">
              <w:t>OHS practices</w:t>
            </w:r>
          </w:p>
          <w:p w:rsidR="00000000" w:rsidRPr="00CC5CA4" w:rsidP="00CC5CA4">
            <w:pPr>
              <w:pStyle w:val="ListBullet"/>
            </w:pPr>
            <w:r w:rsidRPr="00CC5CA4">
              <w:t>OHS issues</w:t>
            </w:r>
          </w:p>
          <w:p w:rsidR="00000000" w:rsidRPr="00CC5CA4" w:rsidP="00CC5CA4">
            <w:pPr>
              <w:pStyle w:val="ListBullet"/>
            </w:pPr>
            <w:r w:rsidRPr="00CC5CA4">
              <w:t>Permits and/or permits to work</w:t>
            </w:r>
          </w:p>
          <w:p w:rsidR="00000000" w:rsidRPr="00CC5CA4" w:rsidP="00CC5CA4">
            <w:pPr>
              <w:pStyle w:val="ListBullet"/>
            </w:pPr>
            <w:r w:rsidRPr="00CC5CA4">
              <w:t>Personnel</w:t>
            </w:r>
          </w:p>
          <w:p w:rsidR="00000000" w:rsidRPr="00CC5CA4" w:rsidP="00CC5CA4">
            <w:pPr>
              <w:pStyle w:val="ListBullet"/>
            </w:pPr>
            <w:r w:rsidRPr="00CC5CA4">
              <w:t>Quality assurance systems</w:t>
            </w:r>
          </w:p>
          <w:p w:rsidR="00000000" w:rsidRPr="00CC5CA4" w:rsidP="00CC5CA4">
            <w:pPr>
              <w:pStyle w:val="ListBullet"/>
            </w:pPr>
            <w:r w:rsidRPr="00CC5CA4">
              <w:t>Requirements</w:t>
            </w:r>
          </w:p>
          <w:p w:rsidR="00000000" w:rsidRPr="00CC5CA4" w:rsidP="00CC5CA4">
            <w:pPr>
              <w:pStyle w:val="ListBullet"/>
            </w:pPr>
            <w:r w:rsidRPr="00CC5CA4">
              <w:t>Testing procedures</w:t>
            </w:r>
          </w:p>
          <w:p w:rsidR="00000000" w:rsidRPr="00CC5CA4" w:rsidP="00CC5CA4">
            <w:pPr>
              <w:pStyle w:val="ListBullet"/>
            </w:pPr>
            <w:r w:rsidRPr="00CC5CA4">
              <w:t>Work clearance systems</w:t>
            </w:r>
          </w:p>
        </w:tc>
      </w:tr>
    </w:tbl>
    <w:p w:rsidR="00C16B3C" w:rsidP="00CC5CA4">
      <w:pPr>
        <w:pStyle w:val="BodyText"/>
      </w:pPr>
    </w:p>
    <w:p w:rsidR="00C16B3C" w:rsidP="00CC5CA4">
      <w:pPr>
        <w:pStyle w:val="BodyText"/>
      </w:pPr>
    </w:p>
    <w:p w:rsidR="00000000" w:rsidRPr="00CC5CA4" w:rsidP="00CC5CA4">
      <w:pPr>
        <w:pStyle w:val="Heading1"/>
      </w:pPr>
      <w:bookmarkStart w:id="12" w:name="O_297278"/>
      <w:bookmarkEnd w:id="12"/>
      <w:r w:rsidRPr="00CC5CA4">
        <w:t>Unit Sector(s)</w:t>
      </w:r>
    </w:p>
    <w:p w:rsidR="00000000" w:rsidRPr="00CC5CA4" w:rsidP="00CC5CA4">
      <w:pPr>
        <w:pStyle w:val="BodyText"/>
      </w:pPr>
      <w:r w:rsidRPr="00CC5CA4">
        <w:t>Not Applicable</w:t>
      </w:r>
    </w:p>
    <w:p w:rsidR="00000000" w:rsidRPr="00CC5CA4" w:rsidP="00CC5CA4">
      <w:pPr>
        <w:pStyle w:val="AllowPageBreak"/>
      </w:pPr>
    </w:p>
    <w:p w:rsidR="00000000" w:rsidRPr="00CC5CA4" w:rsidP="00CC5CA4">
      <w:pPr>
        <w:pStyle w:val="Heading1"/>
      </w:pPr>
      <w:bookmarkStart w:id="13" w:name="O_232239"/>
      <w:bookmarkEnd w:id="13"/>
      <w:r w:rsidRPr="00CC5CA4">
        <w:t>2.2) Literacy and numeracy skills</w:t>
      </w:r>
    </w:p>
    <w:tbl>
      <w:tblPr>
        <w:tblW w:w="0" w:type="auto"/>
        <w:tblLayout w:type="fixed"/>
        <w:tblCellMar>
          <w:left w:w="62" w:type="dxa"/>
          <w:right w:w="62" w:type="dxa"/>
        </w:tblCellMar>
        <w:tblLook w:val="0000"/>
      </w:tblPr>
      <w:tblGrid>
        <w:gridCol w:w="1541"/>
        <w:gridCol w:w="1183"/>
        <w:gridCol w:w="1828"/>
        <w:gridCol w:w="1183"/>
        <w:gridCol w:w="1722"/>
        <w:gridCol w:w="1183"/>
      </w:tblGrid>
      <w:tr w:rsidTr="00C16B3C">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rPr>
                <w:rStyle w:val="SpecialBold"/>
              </w:rPr>
              <w:t>2</w:t>
            </w:r>
            <w:r w:rsidRPr="00CC5CA4">
              <w:t>.</w:t>
            </w:r>
            <w:r w:rsidRPr="00CC5CA4">
              <w:rPr>
                <w:rStyle w:val="SpecialBold"/>
              </w:rPr>
              <w:t>2</w:t>
            </w:r>
            <w:r w:rsidRPr="00CC5CA4">
              <w:t xml:space="preserve">) </w:t>
            </w:r>
            <w:r w:rsidRPr="00CC5CA4">
              <w:rPr>
                <w:rStyle w:val="SpecialBold"/>
              </w:rPr>
              <w:t>Literacy and numeracy skills</w:t>
            </w:r>
          </w:p>
          <w:p w:rsidR="00000000" w:rsidP="00CC5CA4">
            <w:pPr>
              <w:pStyle w:val="BodyText"/>
              <w:rPr>
                <w:lang w:val="en-NZ"/>
              </w:rPr>
            </w:pPr>
            <w:r w:rsidRPr="00CC5CA4">
              <w:t>Participants are best equipped to achieve this unit if they have reading, writing and numeracy skills indicated by the follow</w:t>
            </w:r>
            <w:r w:rsidRPr="00CC5CA4">
              <w:t>ing scales. Description of each scale is given in Volume 2, Part 3 "Literacy and Numeracy"</w:t>
            </w:r>
          </w:p>
        </w:tc>
      </w:tr>
      <w:tr w:rsidTr="00C16B3C">
        <w:tblPrEx>
          <w:tblW w:w="0" w:type="auto"/>
          <w:tblLayout w:type="fixed"/>
          <w:tblCellMar>
            <w:left w:w="62" w:type="dxa"/>
            <w:right w:w="62" w:type="dxa"/>
          </w:tblCellMar>
          <w:tblLook w:val="0000"/>
        </w:tblPrEx>
        <w:tc>
          <w:tcPr>
            <w:tcW w:w="1541"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Reading</w:t>
            </w:r>
          </w:p>
        </w:tc>
        <w:tc>
          <w:tcPr>
            <w:tcW w:w="1183"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5</w:t>
            </w:r>
          </w:p>
        </w:tc>
        <w:tc>
          <w:tcPr>
            <w:tcW w:w="1828"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Writing</w:t>
            </w:r>
          </w:p>
        </w:tc>
        <w:tc>
          <w:tcPr>
            <w:tcW w:w="1183"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5</w:t>
            </w:r>
          </w:p>
        </w:tc>
        <w:tc>
          <w:tcPr>
            <w:tcW w:w="1722"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t>Numeracy</w:t>
            </w:r>
          </w:p>
        </w:tc>
        <w:tc>
          <w:tcPr>
            <w:tcW w:w="1183" w:type="dxa"/>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t>5</w:t>
            </w:r>
          </w:p>
        </w:tc>
      </w:tr>
    </w:tbl>
    <w:p w:rsidR="00C16B3C" w:rsidP="00CC5CA4">
      <w:pPr>
        <w:pStyle w:val="BodyText"/>
      </w:pPr>
    </w:p>
    <w:p w:rsidR="00C16B3C" w:rsidP="00CC5CA4">
      <w:pPr>
        <w:pStyle w:val="BodyText"/>
      </w:pPr>
    </w:p>
    <w:p w:rsidR="00000000" w:rsidRPr="00CC5CA4" w:rsidP="00CC5CA4">
      <w:pPr>
        <w:pStyle w:val="Heading1"/>
      </w:pPr>
      <w:bookmarkStart w:id="14" w:name="O_232242"/>
      <w:bookmarkEnd w:id="14"/>
      <w:r w:rsidRPr="00CC5CA4">
        <w:t>Competency Field</w:t>
      </w:r>
    </w:p>
    <w:tbl>
      <w:tblPr>
        <w:tblW w:w="0" w:type="auto"/>
        <w:tblLayout w:type="fixed"/>
        <w:tblCellMar>
          <w:left w:w="62" w:type="dxa"/>
          <w:right w:w="62" w:type="dxa"/>
        </w:tblCellMar>
        <w:tblLook w:val="0000"/>
      </w:tblPr>
      <w:tblGrid>
        <w:gridCol w:w="2760"/>
        <w:gridCol w:w="5880"/>
      </w:tblGrid>
      <w:tr w:rsidTr="00C16B3C">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rPr>
                <w:rStyle w:val="SpecialBold"/>
              </w:rPr>
              <w:t>Competency Field</w:t>
            </w:r>
          </w:p>
        </w:tc>
        <w:tc>
          <w:tcPr>
            <w:tcW w:w="5880" w:type="dxa"/>
            <w:tcBorders>
              <w:top w:val="nil"/>
              <w:left w:val="nil"/>
              <w:bottom w:val="nil"/>
              <w:right w:val="nil"/>
            </w:tcBorders>
            <w:tcMar>
              <w:top w:w="0" w:type="dxa"/>
              <w:left w:w="62" w:type="dxa"/>
              <w:bottom w:w="0" w:type="dxa"/>
              <w:right w:w="62" w:type="dxa"/>
            </w:tcMar>
          </w:tcPr>
          <w:p w:rsidR="00000000" w:rsidP="00CC5CA4">
            <w:pPr>
              <w:pStyle w:val="BodyText"/>
              <w:rPr>
                <w:lang w:val="en-NZ"/>
              </w:rPr>
            </w:pPr>
            <w:r w:rsidRPr="00CC5CA4">
              <w:rPr>
                <w:rStyle w:val="SpecialBold"/>
              </w:rPr>
              <w:t>5</w:t>
            </w:r>
            <w:r w:rsidRPr="00CC5CA4">
              <w:t>)</w:t>
            </w:r>
          </w:p>
        </w:tc>
      </w:tr>
      <w:tr w:rsidTr="00C16B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tcBorders>
              <w:top w:val="nil"/>
              <w:left w:val="nil"/>
              <w:bottom w:val="nil"/>
              <w:right w:val="nil"/>
            </w:tcBorders>
            <w:tcMar>
              <w:top w:w="0" w:type="dxa"/>
              <w:left w:w="62" w:type="dxa"/>
              <w:bottom w:w="0" w:type="dxa"/>
              <w:right w:w="62" w:type="dxa"/>
            </w:tcMar>
          </w:tcPr>
          <w:p w:rsidR="00000000" w:rsidRPr="00CC5CA4" w:rsidP="00CC5CA4">
            <w:pPr>
              <w:pStyle w:val="BodyText"/>
            </w:pPr>
            <w:r w:rsidRPr="00CC5CA4">
              <w:t>Testing Units</w:t>
            </w:r>
          </w:p>
        </w:tc>
      </w:tr>
    </w:tbl>
    <w:p w:rsidR="00C16B3C" w:rsidP="00CC5CA4">
      <w:pPr>
        <w:pStyle w:val="BodyText"/>
      </w:pPr>
    </w:p>
    <w:p w:rsidR="00C16B3C" w:rsidP="00CC5CA4">
      <w:pPr>
        <w:pStyle w:val="BodyText"/>
      </w:pPr>
    </w:p>
    <w:p w:rsidR="00000000" w:rsidRPr="00CC5CA4" w:rsidP="00CC5CA4"/>
    <w:sectPr w:rsidSect="00CC5C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C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6B3C" w:rsidP="00C16B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C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3C" w:rsidP="00CC5C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16B3C" w:rsidP="00CC5C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16B3C" w:rsidP="00CC5C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C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6B3C" w:rsidP="00C16B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C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3C" w:rsidP="00CC5CA4">
    <w:pPr>
      <w:pStyle w:val="Header"/>
      <w:framePr w:wrap="around"/>
    </w:pPr>
    <w:r>
      <w:fldChar w:fldCharType="begin"/>
    </w:r>
    <w:r>
      <w:instrText xml:space="preserve"> TITLE   \* MERGEFORMAT </w:instrText>
    </w:r>
    <w:r>
      <w:fldChar w:fldCharType="separate"/>
    </w:r>
    <w:r>
      <w:t>UETTDRTS14B Install and maintain power system communication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6B3C" w:rsidP="00CC5C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6ED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D83F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A0EE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C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5CA4"/>
    <w:pPr>
      <w:spacing w:before="360" w:after="60"/>
      <w:outlineLvl w:val="0"/>
    </w:pPr>
    <w:rPr>
      <w:sz w:val="32"/>
    </w:rPr>
  </w:style>
  <w:style w:type="paragraph" w:styleId="Heading2">
    <w:name w:val="heading 2"/>
    <w:basedOn w:val="HeadingBase"/>
    <w:next w:val="BodyText"/>
    <w:link w:val="Heading2Char"/>
    <w:qFormat/>
    <w:rsid w:val="00CC5CA4"/>
    <w:pPr>
      <w:keepLines/>
      <w:spacing w:before="240" w:after="120"/>
      <w:outlineLvl w:val="1"/>
    </w:pPr>
    <w:rPr>
      <w:sz w:val="28"/>
      <w:szCs w:val="40"/>
    </w:rPr>
  </w:style>
  <w:style w:type="paragraph" w:styleId="Heading3">
    <w:name w:val="heading 3"/>
    <w:basedOn w:val="HeadingBase"/>
    <w:next w:val="BodyText"/>
    <w:link w:val="Heading3Char"/>
    <w:qFormat/>
    <w:rsid w:val="00CC5CA4"/>
    <w:pPr>
      <w:spacing w:before="180" w:after="120"/>
      <w:outlineLvl w:val="2"/>
    </w:pPr>
    <w:rPr>
      <w:spacing w:val="-10"/>
      <w:kern w:val="32"/>
    </w:rPr>
  </w:style>
  <w:style w:type="paragraph" w:styleId="Heading4">
    <w:name w:val="heading 4"/>
    <w:basedOn w:val="HeadingBase"/>
    <w:next w:val="BodyText"/>
    <w:link w:val="Heading4Char"/>
    <w:qFormat/>
    <w:rsid w:val="00CC5CA4"/>
    <w:pPr>
      <w:spacing w:before="160" w:after="120"/>
      <w:outlineLvl w:val="3"/>
    </w:pPr>
    <w:rPr>
      <w:sz w:val="22"/>
    </w:rPr>
  </w:style>
  <w:style w:type="paragraph" w:styleId="Heading5">
    <w:name w:val="heading 5"/>
    <w:basedOn w:val="HeadingBase"/>
    <w:next w:val="Normal"/>
    <w:link w:val="Heading5Char"/>
    <w:qFormat/>
    <w:rsid w:val="00CC5CA4"/>
    <w:pPr>
      <w:spacing w:before="80"/>
      <w:outlineLvl w:val="4"/>
    </w:pPr>
    <w:rPr>
      <w:color w:val="918585"/>
      <w:sz w:val="20"/>
    </w:rPr>
  </w:style>
  <w:style w:type="paragraph" w:styleId="Heading6">
    <w:name w:val="heading 6"/>
    <w:basedOn w:val="HeadingBase"/>
    <w:next w:val="Normal"/>
    <w:link w:val="Heading6Char"/>
    <w:qFormat/>
    <w:rsid w:val="00CC5CA4"/>
    <w:pPr>
      <w:spacing w:before="60"/>
      <w:outlineLvl w:val="5"/>
    </w:pPr>
    <w:rPr>
      <w:color w:val="918585"/>
      <w:sz w:val="20"/>
    </w:rPr>
  </w:style>
  <w:style w:type="paragraph" w:styleId="Heading7">
    <w:name w:val="heading 7"/>
    <w:basedOn w:val="Normal"/>
    <w:next w:val="Normal"/>
    <w:link w:val="Heading7Char"/>
    <w:qFormat/>
    <w:rsid w:val="00CC5CA4"/>
    <w:pPr>
      <w:ind w:left="720"/>
      <w:outlineLvl w:val="6"/>
    </w:pPr>
    <w:rPr>
      <w:i/>
    </w:rPr>
  </w:style>
  <w:style w:type="paragraph" w:styleId="Heading8">
    <w:name w:val="heading 8"/>
    <w:basedOn w:val="Normal"/>
    <w:next w:val="Normal"/>
    <w:link w:val="Heading8Char"/>
    <w:qFormat/>
    <w:rsid w:val="00CC5CA4"/>
    <w:pPr>
      <w:ind w:left="720"/>
      <w:outlineLvl w:val="7"/>
    </w:pPr>
    <w:rPr>
      <w:i/>
    </w:rPr>
  </w:style>
  <w:style w:type="paragraph" w:styleId="Heading9">
    <w:name w:val="heading 9"/>
    <w:basedOn w:val="Normal"/>
    <w:next w:val="Normal"/>
    <w:link w:val="Heading9Char"/>
    <w:qFormat/>
    <w:rsid w:val="00CC5CA4"/>
    <w:pPr>
      <w:ind w:left="720"/>
      <w:outlineLvl w:val="8"/>
    </w:pPr>
    <w:rPr>
      <w:i/>
    </w:rPr>
  </w:style>
  <w:style w:type="character" w:default="1" w:styleId="DefaultParagraphFont">
    <w:name w:val="Default Paragraph Font"/>
    <w:uiPriority w:val="1"/>
    <w:unhideWhenUsed/>
    <w:rsid w:val="00CC5C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CA4"/>
  </w:style>
  <w:style w:type="character" w:customStyle="1" w:styleId="Heading1Char">
    <w:name w:val="Heading 1 Char"/>
    <w:basedOn w:val="DefaultParagraphFont"/>
    <w:link w:val="Heading1"/>
    <w:rsid w:val="00CC5CA4"/>
    <w:rPr>
      <w:rFonts w:ascii="Times New Roman" w:eastAsia="Times New Roman" w:hAnsi="Times New Roman" w:cs="Times New Roman"/>
      <w:b/>
      <w:sz w:val="32"/>
      <w:szCs w:val="20"/>
      <w:lang w:eastAsia="en-US"/>
    </w:rPr>
  </w:style>
  <w:style w:type="paragraph" w:styleId="BodyText">
    <w:name w:val="Body Text"/>
    <w:basedOn w:val="Normal"/>
    <w:link w:val="BodyTextChar"/>
    <w:rsid w:val="00CC5C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5CA4"/>
    <w:rPr>
      <w:rFonts w:ascii="Times New Roman" w:eastAsia="Times New Roman" w:hAnsi="Times New Roman" w:cs="Times New Roman"/>
      <w:sz w:val="24"/>
      <w:lang w:val="en-US" w:eastAsia="en-US"/>
    </w:rPr>
  </w:style>
  <w:style w:type="paragraph" w:styleId="Footer">
    <w:name w:val="footer"/>
    <w:basedOn w:val="Normal"/>
    <w:link w:val="FooterChar"/>
    <w:rsid w:val="00CC5C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CA4"/>
    <w:rPr>
      <w:rFonts w:ascii="Times New Roman" w:eastAsia="Times New Roman" w:hAnsi="Times New Roman" w:cs="Times New Roman"/>
      <w:sz w:val="16"/>
      <w:lang w:val="en-US" w:eastAsia="en-US"/>
    </w:rPr>
  </w:style>
  <w:style w:type="paragraph" w:styleId="ListBullet">
    <w:name w:val="List Bullet"/>
    <w:basedOn w:val="List"/>
    <w:rsid w:val="00CC5CA4"/>
    <w:pPr>
      <w:numPr>
        <w:numId w:val="13"/>
      </w:numPr>
      <w:tabs>
        <w:tab w:val="clear" w:pos="340"/>
      </w:tabs>
      <w:spacing w:before="40" w:after="40"/>
    </w:pPr>
  </w:style>
  <w:style w:type="character" w:customStyle="1" w:styleId="SpecialBold">
    <w:name w:val="Special Bold"/>
    <w:basedOn w:val="DefaultParagraphFont"/>
    <w:rsid w:val="00CC5CA4"/>
    <w:rPr>
      <w:b/>
      <w:spacing w:val="0"/>
    </w:rPr>
  </w:style>
  <w:style w:type="paragraph" w:styleId="ListBullet2">
    <w:name w:val="List Bullet 2"/>
    <w:basedOn w:val="List2"/>
    <w:rsid w:val="00CC5CA4"/>
    <w:pPr>
      <w:numPr>
        <w:numId w:val="14"/>
      </w:numPr>
      <w:tabs>
        <w:tab w:val="clear" w:pos="680"/>
      </w:tabs>
    </w:pPr>
  </w:style>
  <w:style w:type="paragraph" w:styleId="Header">
    <w:name w:val="header"/>
    <w:basedOn w:val="Normal"/>
    <w:link w:val="HeaderChar"/>
    <w:rsid w:val="00CC5C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C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5CA4"/>
    <w:pPr>
      <w:spacing w:before="240" w:after="120"/>
      <w:outlineLvl w:val="0"/>
    </w:pPr>
    <w:rPr>
      <w:rFonts w:ascii="Times New Roman" w:hAnsi="Times New Roman"/>
      <w:b/>
      <w:sz w:val="28"/>
    </w:rPr>
  </w:style>
  <w:style w:type="paragraph" w:customStyle="1" w:styleId="AllowPageBreak">
    <w:name w:val="AllowPageBreak"/>
    <w:rsid w:val="00CC5C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5C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C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C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C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C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C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5C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5CA4"/>
    <w:rPr>
      <w:rFonts w:ascii="Courier New" w:eastAsia="Times New Roman" w:hAnsi="Courier New" w:cs="Times New Roman"/>
      <w:i/>
      <w:szCs w:val="20"/>
      <w:lang w:val="en-US" w:eastAsia="en-US"/>
    </w:rPr>
  </w:style>
  <w:style w:type="paragraph" w:customStyle="1" w:styleId="HeadingBase">
    <w:name w:val="Heading Base"/>
    <w:rsid w:val="00CC5C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CA4"/>
    <w:pPr>
      <w:tabs>
        <w:tab w:val="right" w:leader="dot" w:pos="9072"/>
      </w:tabs>
      <w:ind w:left="567"/>
    </w:pPr>
    <w:rPr>
      <w:szCs w:val="22"/>
    </w:rPr>
  </w:style>
  <w:style w:type="paragraph" w:customStyle="1" w:styleId="TOCBase">
    <w:name w:val="TOC Base"/>
    <w:rsid w:val="00CC5C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CA4"/>
    <w:pPr>
      <w:tabs>
        <w:tab w:val="right" w:leader="dot" w:pos="9072"/>
      </w:tabs>
      <w:spacing w:before="40" w:after="40"/>
      <w:ind w:left="284"/>
    </w:pPr>
    <w:rPr>
      <w:rFonts w:ascii="Times New Roman" w:hAnsi="Times New Roman"/>
    </w:rPr>
  </w:style>
  <w:style w:type="paragraph" w:styleId="TOC1">
    <w:name w:val="toc 1"/>
    <w:basedOn w:val="TOCBase"/>
    <w:next w:val="Normal"/>
    <w:rsid w:val="00CC5C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5CA4"/>
    <w:pPr>
      <w:spacing w:before="5040"/>
      <w:jc w:val="center"/>
    </w:pPr>
    <w:rPr>
      <w:sz w:val="48"/>
      <w:szCs w:val="72"/>
      <w:lang w:val="en-US"/>
    </w:rPr>
  </w:style>
  <w:style w:type="character" w:customStyle="1" w:styleId="TitleChar">
    <w:name w:val="Title Char"/>
    <w:basedOn w:val="DefaultParagraphFont"/>
    <w:link w:val="Title"/>
    <w:rsid w:val="00CC5C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CA4"/>
    <w:pPr>
      <w:tabs>
        <w:tab w:val="left" w:pos="3600"/>
        <w:tab w:val="left" w:pos="3958"/>
      </w:tabs>
    </w:pPr>
  </w:style>
  <w:style w:type="paragraph" w:styleId="List">
    <w:name w:val="List"/>
    <w:basedOn w:val="BodyText"/>
    <w:next w:val="BodyText"/>
    <w:rsid w:val="00CC5CA4"/>
    <w:pPr>
      <w:tabs>
        <w:tab w:val="left" w:pos="340"/>
      </w:tabs>
      <w:spacing w:before="60" w:after="60"/>
      <w:ind w:left="340" w:hanging="340"/>
    </w:pPr>
  </w:style>
  <w:style w:type="paragraph" w:customStyle="1" w:styleId="Note">
    <w:name w:val="Note"/>
    <w:basedOn w:val="BodyText"/>
    <w:rsid w:val="00CC5C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CA4"/>
    <w:pPr>
      <w:framePr w:wrap="auto" w:hAnchor="text" w:y="6049"/>
    </w:pPr>
    <w:rPr>
      <w:color w:val="000000"/>
      <w:sz w:val="40"/>
    </w:rPr>
  </w:style>
  <w:style w:type="paragraph" w:customStyle="1" w:styleId="TOCTitle">
    <w:name w:val="TOCTitle"/>
    <w:basedOn w:val="Heading1"/>
    <w:rsid w:val="00CC5CA4"/>
    <w:pPr>
      <w:spacing w:after="240"/>
      <w:jc w:val="center"/>
      <w:outlineLvl w:val="9"/>
    </w:pPr>
    <w:rPr>
      <w:caps/>
    </w:rPr>
  </w:style>
  <w:style w:type="paragraph" w:customStyle="1" w:styleId="Version">
    <w:name w:val="Version"/>
    <w:rsid w:val="00CC5C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5CA4"/>
    <w:pPr>
      <w:keepNext w:val="0"/>
      <w:tabs>
        <w:tab w:val="right" w:pos="4176"/>
      </w:tabs>
      <w:ind w:left="198" w:hanging="198"/>
    </w:pPr>
    <w:rPr>
      <w:rFonts w:ascii="Garamond" w:hAnsi="Garamond"/>
    </w:rPr>
  </w:style>
  <w:style w:type="paragraph" w:styleId="IndexHeading">
    <w:name w:val="index heading"/>
    <w:basedOn w:val="Normal"/>
    <w:next w:val="Index1"/>
    <w:semiHidden/>
    <w:rsid w:val="00CC5CA4"/>
    <w:pPr>
      <w:spacing w:before="120" w:after="120"/>
    </w:pPr>
    <w:rPr>
      <w:rFonts w:ascii="Arial" w:hAnsi="Arial"/>
      <w:b/>
      <w:color w:val="918585"/>
      <w:sz w:val="24"/>
    </w:rPr>
  </w:style>
  <w:style w:type="paragraph" w:customStyle="1" w:styleId="Chapter">
    <w:name w:val="Chapter"/>
    <w:basedOn w:val="Normal"/>
    <w:rsid w:val="00CC5CA4"/>
    <w:pPr>
      <w:spacing w:before="240"/>
    </w:pPr>
    <w:rPr>
      <w:rFonts w:ascii="Times New Roman" w:hAnsi="Times New Roman"/>
      <w:smallCaps/>
      <w:spacing w:val="80"/>
      <w:sz w:val="28"/>
    </w:rPr>
  </w:style>
  <w:style w:type="paragraph" w:customStyle="1" w:styleId="InChapter">
    <w:name w:val="InChapter"/>
    <w:basedOn w:val="Heading3"/>
    <w:rsid w:val="00CC5CA4"/>
    <w:pPr>
      <w:spacing w:after="240"/>
      <w:outlineLvl w:val="9"/>
    </w:pPr>
    <w:rPr>
      <w:noProof/>
    </w:rPr>
  </w:style>
  <w:style w:type="paragraph" w:styleId="Index2">
    <w:name w:val="index 2"/>
    <w:basedOn w:val="Normal"/>
    <w:next w:val="Normal"/>
    <w:semiHidden/>
    <w:rsid w:val="00CC5CA4"/>
    <w:pPr>
      <w:tabs>
        <w:tab w:val="right" w:pos="4176"/>
      </w:tabs>
      <w:ind w:left="568" w:hanging="284"/>
    </w:pPr>
    <w:rPr>
      <w:rFonts w:ascii="Garamond" w:hAnsi="Garamond"/>
    </w:rPr>
  </w:style>
  <w:style w:type="paragraph" w:customStyle="1" w:styleId="Byline">
    <w:name w:val="Byline"/>
    <w:rsid w:val="00CC5C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CA4"/>
    <w:pPr>
      <w:tabs>
        <w:tab w:val="clear" w:pos="3600"/>
        <w:tab w:val="clear" w:pos="3958"/>
      </w:tabs>
      <w:jc w:val="right"/>
    </w:pPr>
  </w:style>
  <w:style w:type="character" w:styleId="Emphasis">
    <w:name w:val="Emphasis"/>
    <w:basedOn w:val="DefaultParagraphFont"/>
    <w:qFormat/>
    <w:rsid w:val="00CC5CA4"/>
    <w:rPr>
      <w:i/>
    </w:rPr>
  </w:style>
  <w:style w:type="paragraph" w:styleId="Caption">
    <w:name w:val="caption"/>
    <w:basedOn w:val="BodyText"/>
    <w:next w:val="Normal"/>
    <w:qFormat/>
    <w:rsid w:val="00CC5CA4"/>
    <w:pPr>
      <w:framePr w:w="2268" w:hSpace="181" w:vSpace="181" w:wrap="around" w:vAnchor="text" w:hAnchor="page" w:x="1135" w:y="285" w:anchorLock="1"/>
    </w:pPr>
    <w:rPr>
      <w:i/>
    </w:rPr>
  </w:style>
  <w:style w:type="paragraph" w:customStyle="1" w:styleId="MiniTOCTitle">
    <w:name w:val="MiniTOCTitle"/>
    <w:basedOn w:val="Heading4"/>
    <w:rsid w:val="00CC5CA4"/>
    <w:pPr>
      <w:spacing w:before="240"/>
      <w:outlineLvl w:val="9"/>
    </w:pPr>
    <w:rPr>
      <w:noProof/>
      <w:sz w:val="24"/>
    </w:rPr>
  </w:style>
  <w:style w:type="paragraph" w:customStyle="1" w:styleId="MiniTOCItem">
    <w:name w:val="MiniTOCItem"/>
    <w:basedOn w:val="ListBullet"/>
    <w:rsid w:val="00CC5CA4"/>
    <w:pPr>
      <w:numPr>
        <w:numId w:val="0"/>
      </w:numPr>
      <w:tabs>
        <w:tab w:val="right" w:leader="dot" w:pos="6521"/>
      </w:tabs>
      <w:spacing w:before="0" w:after="0"/>
    </w:pPr>
  </w:style>
  <w:style w:type="paragraph" w:customStyle="1" w:styleId="TOFTitle">
    <w:name w:val="TOFTitle"/>
    <w:basedOn w:val="TOCTitle"/>
    <w:rsid w:val="00CC5CA4"/>
  </w:style>
  <w:style w:type="paragraph" w:styleId="TableofFigures">
    <w:name w:val="table of figures"/>
    <w:basedOn w:val="Normal"/>
    <w:next w:val="Normal"/>
    <w:semiHidden/>
    <w:rsid w:val="00CC5CA4"/>
    <w:pPr>
      <w:tabs>
        <w:tab w:val="right" w:leader="dot" w:pos="9072"/>
      </w:tabs>
      <w:ind w:left="970" w:hanging="403"/>
    </w:pPr>
    <w:rPr>
      <w:rFonts w:ascii="Times New Roman" w:hAnsi="Times New Roman"/>
      <w:b/>
    </w:rPr>
  </w:style>
  <w:style w:type="paragraph" w:styleId="ListNumber">
    <w:name w:val="List Number"/>
    <w:basedOn w:val="List"/>
    <w:rsid w:val="00CC5CA4"/>
    <w:pPr>
      <w:numPr>
        <w:numId w:val="11"/>
      </w:numPr>
    </w:pPr>
  </w:style>
  <w:style w:type="character" w:customStyle="1" w:styleId="WingdingSymbols">
    <w:name w:val="Wingding Symbols"/>
    <w:rsid w:val="00CC5CA4"/>
    <w:rPr>
      <w:rFonts w:ascii="Wingdings" w:hAnsi="Wingdings"/>
    </w:rPr>
  </w:style>
  <w:style w:type="paragraph" w:customStyle="1" w:styleId="TableHeading">
    <w:name w:val="Table Heading"/>
    <w:basedOn w:val="HeadingBase"/>
    <w:rsid w:val="00CC5CA4"/>
    <w:pPr>
      <w:keepLines/>
      <w:pBdr>
        <w:bottom w:val="single" w:sz="6" w:space="1" w:color="918585"/>
      </w:pBdr>
      <w:spacing w:before="240"/>
    </w:pPr>
  </w:style>
  <w:style w:type="character" w:customStyle="1" w:styleId="HotSpot">
    <w:name w:val="HotSpot"/>
    <w:rsid w:val="00CC5CA4"/>
    <w:rPr>
      <w:color w:val="0033CC"/>
      <w:u w:val="none"/>
    </w:rPr>
  </w:style>
  <w:style w:type="paragraph" w:customStyle="1" w:styleId="BodyTextRight">
    <w:name w:val="Body Text Right"/>
    <w:basedOn w:val="BodyText"/>
    <w:rsid w:val="00CC5CA4"/>
    <w:pPr>
      <w:spacing w:before="0" w:after="0"/>
      <w:jc w:val="right"/>
    </w:pPr>
  </w:style>
  <w:style w:type="paragraph" w:styleId="Index3">
    <w:name w:val="index 3"/>
    <w:basedOn w:val="ListNumber2"/>
    <w:next w:val="Normal"/>
    <w:semiHidden/>
    <w:rsid w:val="00CC5CA4"/>
    <w:pPr>
      <w:numPr>
        <w:numId w:val="0"/>
      </w:numPr>
      <w:tabs>
        <w:tab w:val="right" w:leader="dot" w:pos="4176"/>
      </w:tabs>
    </w:pPr>
  </w:style>
  <w:style w:type="paragraph" w:styleId="ListNumber2">
    <w:name w:val="List Number 2"/>
    <w:basedOn w:val="List2"/>
    <w:rsid w:val="00CC5CA4"/>
    <w:pPr>
      <w:numPr>
        <w:numId w:val="10"/>
      </w:numPr>
      <w:tabs>
        <w:tab w:val="clear" w:pos="1060"/>
      </w:tabs>
    </w:pPr>
  </w:style>
  <w:style w:type="paragraph" w:customStyle="1" w:styleId="MarginNote">
    <w:name w:val="Margin Note"/>
    <w:basedOn w:val="BodyText"/>
    <w:rsid w:val="00CC5C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C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C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5CA4"/>
    <w:rPr>
      <w:sz w:val="32"/>
    </w:rPr>
  </w:style>
  <w:style w:type="paragraph" w:customStyle="1" w:styleId="HeadingProcedure">
    <w:name w:val="Heading Procedure"/>
    <w:basedOn w:val="HeadingBase"/>
    <w:next w:val="Normal"/>
    <w:rsid w:val="00CC5CA4"/>
    <w:pPr>
      <w:tabs>
        <w:tab w:val="left" w:pos="0"/>
      </w:tabs>
      <w:spacing w:before="120" w:after="60"/>
    </w:pPr>
    <w:rPr>
      <w:i/>
      <w:color w:val="918585"/>
      <w:sz w:val="22"/>
    </w:rPr>
  </w:style>
  <w:style w:type="paragraph" w:customStyle="1" w:styleId="TableBodyText">
    <w:name w:val="Table Body Text"/>
    <w:basedOn w:val="BodyText"/>
    <w:rsid w:val="00CC5CA4"/>
    <w:pPr>
      <w:spacing w:before="60" w:after="60"/>
    </w:pPr>
  </w:style>
  <w:style w:type="paragraph" w:styleId="ListContinue">
    <w:name w:val="List Continue"/>
    <w:basedOn w:val="List"/>
    <w:rsid w:val="00CC5CA4"/>
    <w:pPr>
      <w:ind w:firstLine="0"/>
    </w:pPr>
  </w:style>
  <w:style w:type="paragraph" w:customStyle="1" w:styleId="ListNote">
    <w:name w:val="List Note"/>
    <w:basedOn w:val="List"/>
    <w:rsid w:val="00CC5CA4"/>
    <w:pPr>
      <w:pBdr>
        <w:top w:val="single" w:sz="6" w:space="2" w:color="918585"/>
        <w:bottom w:val="single" w:sz="6" w:space="2" w:color="918585"/>
      </w:pBdr>
      <w:tabs>
        <w:tab w:val="left" w:pos="1021"/>
      </w:tabs>
      <w:ind w:firstLine="0"/>
    </w:pPr>
  </w:style>
  <w:style w:type="paragraph" w:customStyle="1" w:styleId="Warning">
    <w:name w:val="Warning"/>
    <w:basedOn w:val="BodyText"/>
    <w:rsid w:val="00CC5CA4"/>
    <w:pPr>
      <w:shd w:val="clear" w:color="auto" w:fill="D9D9D9"/>
      <w:tabs>
        <w:tab w:val="left" w:pos="992"/>
      </w:tabs>
      <w:ind w:left="119" w:right="119"/>
    </w:pPr>
    <w:rPr>
      <w:sz w:val="20"/>
    </w:rPr>
  </w:style>
  <w:style w:type="paragraph" w:customStyle="1" w:styleId="MarginIcons">
    <w:name w:val="Margin Icons"/>
    <w:basedOn w:val="BodyText"/>
    <w:rsid w:val="00CC5C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CA4"/>
    <w:rPr>
      <w:rFonts w:ascii="Courier New" w:hAnsi="Courier New"/>
    </w:rPr>
  </w:style>
  <w:style w:type="paragraph" w:customStyle="1" w:styleId="NoteBullet">
    <w:name w:val="Note Bullet"/>
    <w:basedOn w:val="Note"/>
    <w:rsid w:val="00CC5CA4"/>
    <w:pPr>
      <w:tabs>
        <w:tab w:val="clear" w:pos="680"/>
      </w:tabs>
      <w:spacing w:before="60" w:after="60"/>
    </w:pPr>
  </w:style>
  <w:style w:type="paragraph" w:customStyle="1" w:styleId="SubHeading2">
    <w:name w:val="SubHeading2"/>
    <w:basedOn w:val="HeadingBase"/>
    <w:rsid w:val="00CC5CA4"/>
    <w:pPr>
      <w:spacing w:before="240" w:after="60"/>
    </w:pPr>
    <w:rPr>
      <w:sz w:val="20"/>
    </w:rPr>
  </w:style>
  <w:style w:type="paragraph" w:customStyle="1" w:styleId="SubHeading1">
    <w:name w:val="SubHeading1"/>
    <w:basedOn w:val="HeadingBase"/>
    <w:rsid w:val="00CC5CA4"/>
    <w:pPr>
      <w:spacing w:before="240" w:after="60"/>
    </w:pPr>
    <w:rPr>
      <w:color w:val="918585"/>
      <w:sz w:val="22"/>
    </w:rPr>
  </w:style>
  <w:style w:type="paragraph" w:customStyle="1" w:styleId="SideHeading">
    <w:name w:val="Side Heading"/>
    <w:basedOn w:val="HeadingBase"/>
    <w:rsid w:val="00CC5C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CA4"/>
    <w:pPr>
      <w:numPr>
        <w:numId w:val="12"/>
      </w:numPr>
    </w:pPr>
  </w:style>
  <w:style w:type="paragraph" w:styleId="PlainText">
    <w:name w:val="Plain Text"/>
    <w:basedOn w:val="Normal"/>
    <w:link w:val="PlainTextChar"/>
    <w:rsid w:val="00CC5CA4"/>
    <w:rPr>
      <w:sz w:val="20"/>
    </w:rPr>
  </w:style>
  <w:style w:type="character" w:customStyle="1" w:styleId="PlainTextChar">
    <w:name w:val="Plain Text Char"/>
    <w:basedOn w:val="DefaultParagraphFont"/>
    <w:link w:val="PlainText"/>
    <w:rsid w:val="00CC5C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5CA4"/>
    <w:rPr>
      <w:b/>
      <w:smallCaps/>
    </w:rPr>
  </w:style>
  <w:style w:type="paragraph" w:customStyle="1" w:styleId="TableListNumber">
    <w:name w:val="Table List Number"/>
    <w:basedOn w:val="ListNumber"/>
    <w:rsid w:val="00CC5CA4"/>
    <w:pPr>
      <w:numPr>
        <w:numId w:val="0"/>
      </w:numPr>
    </w:pPr>
  </w:style>
  <w:style w:type="paragraph" w:styleId="TOC4">
    <w:name w:val="toc 4"/>
    <w:basedOn w:val="TOCBase"/>
    <w:next w:val="Normal"/>
    <w:semiHidden/>
    <w:rsid w:val="00CC5CA4"/>
    <w:pPr>
      <w:tabs>
        <w:tab w:val="right" w:leader="dot" w:pos="9071"/>
      </w:tabs>
      <w:ind w:left="1701"/>
    </w:pPr>
  </w:style>
  <w:style w:type="paragraph" w:customStyle="1" w:styleId="ListAlpha">
    <w:name w:val="List Alpha"/>
    <w:basedOn w:val="List"/>
    <w:rsid w:val="00CC5CA4"/>
    <w:pPr>
      <w:numPr>
        <w:numId w:val="9"/>
      </w:numPr>
    </w:pPr>
  </w:style>
  <w:style w:type="paragraph" w:customStyle="1" w:styleId="ListAlpha2">
    <w:name w:val="List Alpha 2"/>
    <w:basedOn w:val="List2"/>
    <w:rsid w:val="00CC5CA4"/>
    <w:pPr>
      <w:numPr>
        <w:numId w:val="8"/>
      </w:numPr>
    </w:pPr>
  </w:style>
  <w:style w:type="paragraph" w:styleId="List2">
    <w:name w:val="List 2"/>
    <w:basedOn w:val="BodyText"/>
    <w:rsid w:val="00CC5CA4"/>
    <w:pPr>
      <w:tabs>
        <w:tab w:val="left" w:pos="680"/>
      </w:tabs>
      <w:spacing w:before="60" w:after="60"/>
      <w:ind w:left="680" w:hanging="340"/>
    </w:pPr>
  </w:style>
  <w:style w:type="paragraph" w:styleId="List3">
    <w:name w:val="List 3"/>
    <w:basedOn w:val="BodyText"/>
    <w:rsid w:val="00CC5CA4"/>
    <w:pPr>
      <w:tabs>
        <w:tab w:val="left" w:pos="1021"/>
      </w:tabs>
      <w:spacing w:before="60" w:after="60"/>
      <w:ind w:left="1020" w:hanging="340"/>
    </w:pPr>
  </w:style>
  <w:style w:type="paragraph" w:styleId="List4">
    <w:name w:val="List 4"/>
    <w:basedOn w:val="BodyText"/>
    <w:rsid w:val="00CC5CA4"/>
    <w:pPr>
      <w:tabs>
        <w:tab w:val="left" w:pos="1361"/>
      </w:tabs>
      <w:spacing w:before="60" w:after="60"/>
      <w:ind w:left="1361" w:hanging="340"/>
    </w:pPr>
  </w:style>
  <w:style w:type="paragraph" w:styleId="List5">
    <w:name w:val="List 5"/>
    <w:basedOn w:val="BodyText"/>
    <w:rsid w:val="00CC5CA4"/>
    <w:pPr>
      <w:tabs>
        <w:tab w:val="left" w:pos="1701"/>
      </w:tabs>
      <w:spacing w:before="60" w:after="60"/>
      <w:ind w:left="1701" w:hanging="340"/>
    </w:pPr>
  </w:style>
  <w:style w:type="paragraph" w:styleId="ListBullet3">
    <w:name w:val="List Bullet 3"/>
    <w:basedOn w:val="List3"/>
    <w:rsid w:val="00CC5CA4"/>
    <w:pPr>
      <w:numPr>
        <w:numId w:val="15"/>
      </w:numPr>
      <w:tabs>
        <w:tab w:val="clear" w:pos="1021"/>
      </w:tabs>
      <w:ind w:left="1037" w:hanging="357"/>
    </w:pPr>
  </w:style>
  <w:style w:type="paragraph" w:styleId="ListBullet4">
    <w:name w:val="List Bullet 4"/>
    <w:basedOn w:val="List4"/>
    <w:rsid w:val="00CC5CA4"/>
    <w:pPr>
      <w:numPr>
        <w:numId w:val="3"/>
      </w:numPr>
    </w:pPr>
  </w:style>
  <w:style w:type="paragraph" w:styleId="ListBullet5">
    <w:name w:val="List Bullet 5"/>
    <w:basedOn w:val="List5"/>
    <w:rsid w:val="00CC5CA4"/>
    <w:pPr>
      <w:numPr>
        <w:numId w:val="4"/>
      </w:numPr>
    </w:pPr>
  </w:style>
  <w:style w:type="paragraph" w:styleId="ListContinue2">
    <w:name w:val="List Continue 2"/>
    <w:basedOn w:val="List2"/>
    <w:rsid w:val="00CC5CA4"/>
    <w:pPr>
      <w:ind w:firstLine="0"/>
    </w:pPr>
  </w:style>
  <w:style w:type="paragraph" w:styleId="ListContinue3">
    <w:name w:val="List Continue 3"/>
    <w:basedOn w:val="List3"/>
    <w:rsid w:val="00CC5CA4"/>
    <w:pPr>
      <w:ind w:left="1021" w:firstLine="0"/>
    </w:pPr>
  </w:style>
  <w:style w:type="paragraph" w:styleId="ListContinue4">
    <w:name w:val="List Continue 4"/>
    <w:basedOn w:val="List4"/>
    <w:rsid w:val="00CC5CA4"/>
    <w:pPr>
      <w:ind w:firstLine="0"/>
    </w:pPr>
  </w:style>
  <w:style w:type="paragraph" w:styleId="ListContinue5">
    <w:name w:val="List Continue 5"/>
    <w:basedOn w:val="List5"/>
    <w:rsid w:val="00CC5CA4"/>
    <w:pPr>
      <w:ind w:firstLine="0"/>
    </w:pPr>
  </w:style>
  <w:style w:type="paragraph" w:styleId="ListNumber3">
    <w:name w:val="List Number 3"/>
    <w:basedOn w:val="List3"/>
    <w:rsid w:val="00CC5CA4"/>
    <w:pPr>
      <w:numPr>
        <w:numId w:val="5"/>
      </w:numPr>
    </w:pPr>
  </w:style>
  <w:style w:type="paragraph" w:styleId="ListNumber4">
    <w:name w:val="List Number 4"/>
    <w:basedOn w:val="List4"/>
    <w:rsid w:val="00CC5CA4"/>
    <w:pPr>
      <w:numPr>
        <w:numId w:val="6"/>
      </w:numPr>
    </w:pPr>
  </w:style>
  <w:style w:type="paragraph" w:styleId="ListNumber5">
    <w:name w:val="List Number 5"/>
    <w:basedOn w:val="List5"/>
    <w:rsid w:val="00CC5CA4"/>
    <w:pPr>
      <w:numPr>
        <w:numId w:val="7"/>
      </w:numPr>
    </w:pPr>
  </w:style>
  <w:style w:type="paragraph" w:styleId="BlockText">
    <w:name w:val="Block Text"/>
    <w:basedOn w:val="Normal"/>
    <w:rsid w:val="00CC5CA4"/>
    <w:pPr>
      <w:spacing w:after="120"/>
      <w:ind w:left="1440" w:right="1440"/>
    </w:pPr>
  </w:style>
  <w:style w:type="character" w:customStyle="1" w:styleId="Subscript">
    <w:name w:val="Subscript"/>
    <w:basedOn w:val="DefaultParagraphFont"/>
    <w:rsid w:val="00CC5CA4"/>
    <w:rPr>
      <w:sz w:val="16"/>
      <w:vertAlign w:val="subscript"/>
    </w:rPr>
  </w:style>
  <w:style w:type="character" w:customStyle="1" w:styleId="Superscript">
    <w:name w:val="Superscript"/>
    <w:basedOn w:val="DefaultParagraphFont"/>
    <w:rsid w:val="00CC5CA4"/>
    <w:rPr>
      <w:sz w:val="16"/>
      <w:vertAlign w:val="superscript"/>
    </w:rPr>
  </w:style>
  <w:style w:type="character" w:customStyle="1" w:styleId="Symbols">
    <w:name w:val="Symbols"/>
    <w:basedOn w:val="DefaultParagraphFont"/>
    <w:rsid w:val="00CC5CA4"/>
    <w:rPr>
      <w:rFonts w:ascii="Symbol" w:hAnsi="Symbol"/>
    </w:rPr>
  </w:style>
  <w:style w:type="character" w:customStyle="1" w:styleId="MenuOptions">
    <w:name w:val="Menu Options"/>
    <w:basedOn w:val="DefaultParagraphFont"/>
    <w:rsid w:val="00CC5CA4"/>
    <w:rPr>
      <w:rFonts w:ascii="Arial Narrow" w:hAnsi="Arial Narrow"/>
      <w:smallCaps/>
    </w:rPr>
  </w:style>
  <w:style w:type="character" w:customStyle="1" w:styleId="Buttons">
    <w:name w:val="Buttons"/>
    <w:basedOn w:val="DefaultParagraphFont"/>
    <w:rsid w:val="00CC5CA4"/>
    <w:rPr>
      <w:b/>
    </w:rPr>
  </w:style>
  <w:style w:type="character" w:customStyle="1" w:styleId="Underlined">
    <w:name w:val="Underlined"/>
    <w:basedOn w:val="DefaultParagraphFont"/>
    <w:rsid w:val="00CC5CA4"/>
    <w:rPr>
      <w:u w:val="single"/>
    </w:rPr>
  </w:style>
  <w:style w:type="paragraph" w:customStyle="1" w:styleId="TableBodyTextRight">
    <w:name w:val="Table Body Text Right"/>
    <w:basedOn w:val="TableBodyText"/>
    <w:rsid w:val="00CC5CA4"/>
    <w:pPr>
      <w:widowControl w:val="0"/>
      <w:autoSpaceDE w:val="0"/>
      <w:autoSpaceDN w:val="0"/>
      <w:adjustRightInd w:val="0"/>
      <w:jc w:val="right"/>
    </w:pPr>
    <w:rPr>
      <w:rFonts w:cs="Arial"/>
      <w:szCs w:val="18"/>
    </w:rPr>
  </w:style>
  <w:style w:type="paragraph" w:customStyle="1" w:styleId="CopyrightText">
    <w:name w:val="Copyright Text"/>
    <w:basedOn w:val="BodyText"/>
    <w:rsid w:val="00CC5CA4"/>
    <w:rPr>
      <w:sz w:val="18"/>
    </w:rPr>
  </w:style>
  <w:style w:type="paragraph" w:customStyle="1" w:styleId="BodySmallRight">
    <w:name w:val="Body Small Right"/>
    <w:basedOn w:val="BodyTextRight"/>
    <w:rsid w:val="00CC5CA4"/>
    <w:rPr>
      <w:sz w:val="18"/>
      <w:szCs w:val="18"/>
    </w:rPr>
  </w:style>
  <w:style w:type="paragraph" w:customStyle="1" w:styleId="MarginEdition">
    <w:name w:val="Margin Edition"/>
    <w:basedOn w:val="MarginNote"/>
    <w:rsid w:val="00CC5CA4"/>
    <w:pPr>
      <w:spacing w:before="0" w:after="0"/>
    </w:pPr>
    <w:rPr>
      <w:rFonts w:ascii="Times New Roman" w:hAnsi="Times New Roman"/>
      <w:color w:val="999999"/>
    </w:rPr>
  </w:style>
  <w:style w:type="paragraph" w:customStyle="1" w:styleId="Spacer">
    <w:name w:val="Spacer"/>
    <w:basedOn w:val="Normal"/>
    <w:rsid w:val="00CC5CA4"/>
    <w:rPr>
      <w:sz w:val="2"/>
      <w:szCs w:val="2"/>
    </w:rPr>
  </w:style>
  <w:style w:type="character" w:customStyle="1" w:styleId="Small">
    <w:name w:val="Small"/>
    <w:basedOn w:val="DefaultParagraphFont"/>
    <w:rsid w:val="00CC5CA4"/>
    <w:rPr>
      <w:sz w:val="16"/>
    </w:rPr>
  </w:style>
  <w:style w:type="paragraph" w:customStyle="1" w:styleId="WideTable">
    <w:name w:val="Wide Table"/>
    <w:basedOn w:val="Normal"/>
    <w:rsid w:val="00CC5CA4"/>
    <w:pPr>
      <w:ind w:left="-1418"/>
    </w:pPr>
    <w:rPr>
      <w:sz w:val="2"/>
      <w:szCs w:val="2"/>
    </w:rPr>
  </w:style>
  <w:style w:type="character" w:styleId="PageNumber">
    <w:name w:val="page number"/>
    <w:basedOn w:val="DefaultParagraphFont"/>
    <w:rsid w:val="00CC5CA4"/>
  </w:style>
  <w:style w:type="paragraph" w:styleId="Quote">
    <w:name w:val="Quote"/>
    <w:basedOn w:val="Heading1"/>
    <w:link w:val="QuoteChar"/>
    <w:qFormat/>
    <w:rsid w:val="00CC5CA4"/>
    <w:rPr>
      <w:b w:val="0"/>
      <w:sz w:val="72"/>
      <w:szCs w:val="72"/>
      <w:lang w:val="en-NZ"/>
    </w:rPr>
  </w:style>
  <w:style w:type="character" w:customStyle="1" w:styleId="QuoteChar">
    <w:name w:val="Quote Char"/>
    <w:basedOn w:val="DefaultParagraphFont"/>
    <w:link w:val="Quote"/>
    <w:rsid w:val="00CC5C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CA4"/>
    <w:pPr>
      <w:pageBreakBefore/>
    </w:pPr>
  </w:style>
  <w:style w:type="paragraph" w:customStyle="1" w:styleId="Border">
    <w:name w:val="Border"/>
    <w:basedOn w:val="Normal"/>
    <w:qFormat/>
    <w:rsid w:val="00CC5C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CA4"/>
    <w:rPr>
      <w:b/>
      <w:bCs/>
      <w:i/>
      <w:iCs/>
      <w:color w:val="auto"/>
    </w:rPr>
  </w:style>
  <w:style w:type="paragraph" w:styleId="IntenseQuote">
    <w:name w:val="Intense Quote"/>
    <w:basedOn w:val="Normal"/>
    <w:next w:val="Normal"/>
    <w:link w:val="IntenseQuoteChar"/>
    <w:uiPriority w:val="30"/>
    <w:qFormat/>
    <w:rsid w:val="00CC5C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C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5CA4"/>
    <w:rPr>
      <w:smallCaps/>
      <w:color w:val="auto"/>
      <w:u w:val="single"/>
    </w:rPr>
  </w:style>
  <w:style w:type="character" w:styleId="IntenseReference">
    <w:name w:val="Intense Reference"/>
    <w:basedOn w:val="DefaultParagraphFont"/>
    <w:uiPriority w:val="32"/>
    <w:qFormat/>
    <w:rsid w:val="00CC5CA4"/>
    <w:rPr>
      <w:b/>
      <w:bCs/>
      <w:smallCaps/>
      <w:color w:val="auto"/>
      <w:spacing w:val="5"/>
      <w:u w:val="single"/>
    </w:rPr>
  </w:style>
  <w:style w:type="paragraph" w:customStyle="1" w:styleId="2ColumnHeading">
    <w:name w:val="2Column Heading"/>
    <w:basedOn w:val="BodyText"/>
    <w:qFormat/>
    <w:rsid w:val="00CC5CA4"/>
    <w:pPr>
      <w:spacing w:after="60"/>
      <w:ind w:left="-2268"/>
    </w:pPr>
    <w:rPr>
      <w:b/>
    </w:rPr>
  </w:style>
  <w:style w:type="paragraph" w:customStyle="1" w:styleId="Heading1TOC">
    <w:name w:val="Heading1 TOC"/>
    <w:basedOn w:val="Normal"/>
    <w:qFormat/>
    <w:rsid w:val="00CC5CA4"/>
    <w:pPr>
      <w:spacing w:before="240" w:after="120"/>
    </w:pPr>
    <w:rPr>
      <w:rFonts w:ascii="Times New Roman" w:hAnsi="Times New Roman"/>
      <w:b/>
      <w:sz w:val="32"/>
    </w:rPr>
  </w:style>
  <w:style w:type="paragraph" w:customStyle="1" w:styleId="Heading2TOC">
    <w:name w:val="Heading2 TOC"/>
    <w:basedOn w:val="Normal"/>
    <w:qFormat/>
    <w:rsid w:val="00CC5CA4"/>
    <w:pPr>
      <w:spacing w:before="240" w:after="60"/>
    </w:pPr>
    <w:rPr>
      <w:rFonts w:ascii="Times New Roman" w:hAnsi="Times New Roman"/>
      <w:b/>
      <w:sz w:val="28"/>
    </w:rPr>
  </w:style>
  <w:style w:type="character" w:customStyle="1" w:styleId="Underline">
    <w:name w:val="Underline"/>
    <w:basedOn w:val="DefaultParagraphFont"/>
    <w:qFormat/>
    <w:rsid w:val="00CC5CA4"/>
    <w:rPr>
      <w:u w:val="single"/>
    </w:rPr>
  </w:style>
  <w:style w:type="character" w:customStyle="1" w:styleId="BoldandItalics">
    <w:name w:val="Bold and Italics"/>
    <w:qFormat/>
    <w:rsid w:val="00CC5CA4"/>
    <w:rPr>
      <w:b/>
      <w:i/>
      <w:u w:val="none"/>
    </w:rPr>
  </w:style>
  <w:style w:type="paragraph" w:styleId="BalloonText">
    <w:name w:val="Balloon Text"/>
    <w:basedOn w:val="Normal"/>
    <w:link w:val="BalloonTextChar"/>
    <w:rsid w:val="00CC5CA4"/>
    <w:rPr>
      <w:rFonts w:ascii="Tahoma" w:hAnsi="Tahoma" w:cs="Tahoma"/>
      <w:sz w:val="16"/>
      <w:szCs w:val="16"/>
    </w:rPr>
  </w:style>
  <w:style w:type="character" w:customStyle="1" w:styleId="BalloonTextChar">
    <w:name w:val="Balloon Text Char"/>
    <w:basedOn w:val="DefaultParagraphFont"/>
    <w:link w:val="BalloonText"/>
    <w:rsid w:val="00CC5C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5C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5C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2313</Words>
  <Characters>14641</Characters>
  <Application>Microsoft Office Word</Application>
  <DocSecurity>0</DocSecurity>
  <Lines>630</Lines>
  <Paragraphs>245</Paragraphs>
  <ScaleCrop>false</ScaleCrop>
  <Company>Author-it Software Corporation Ltd.</Company>
  <LinksUpToDate>false</LinksUpToDate>
  <CharactersWithSpaces>16757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UETTDRTS14B Install and maintain power system communication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2012-05-26T12:25:00Z</dcterms:created>
  <dcterms:modified xsi:type="dcterms:W3CDTF">2012-05-26T12:25:00Z</dcterms:modified>
</cp:coreProperties>
</file>