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AB8" w:rsidP="00644AB8">
      <w:pPr>
        <w:pStyle w:val="Title"/>
      </w:pPr>
      <w:r>
        <w:fldChar w:fldCharType="begin"/>
      </w:r>
      <w:r>
        <w:instrText xml:space="preserve"> TITLE   \* MERGEFORMAT </w:instrText>
      </w:r>
      <w:r>
        <w:fldChar w:fldCharType="separate"/>
      </w:r>
      <w:r>
        <w:t>UETTDRTS10B Design secondary isolation instructional documents</w:t>
      </w:r>
      <w:r>
        <w:fldChar w:fldCharType="end"/>
      </w:r>
    </w:p>
    <w:p w:rsidR="00644AB8" w:rsidP="00644AB8">
      <w:pPr>
        <w:pStyle w:val="Version"/>
        <w:sectPr w:rsidSect="00B43D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D9A" w:rsidP="00B43D9A">
      <w:pPr>
        <w:pStyle w:val="SuperHeading"/>
      </w:pPr>
      <w:r w:rsidRPr="00B43D9A">
        <w:t>UETTDRTS10B Design secondary isolation instructional documents</w:t>
      </w:r>
    </w:p>
    <w:p w:rsidR="00000000" w:rsidRPr="00B43D9A" w:rsidP="00B43D9A">
      <w:pPr>
        <w:pStyle w:val="Heading1"/>
      </w:pPr>
      <w:bookmarkStart w:id="1" w:name="O_275580"/>
      <w:bookmarkEnd w:id="1"/>
      <w:r w:rsidRPr="00B43D9A">
        <w:t>Modification History</w:t>
      </w:r>
    </w:p>
    <w:p w:rsidR="00000000" w:rsidRPr="00B43D9A" w:rsidP="00B43D9A">
      <w:pPr>
        <w:pStyle w:val="BodyText"/>
      </w:pPr>
      <w:r w:rsidRPr="00B43D9A">
        <w:t>Not Applicable</w:t>
      </w:r>
    </w:p>
    <w:p w:rsidR="00000000" w:rsidRPr="00B43D9A" w:rsidP="00B43D9A">
      <w:pPr>
        <w:pStyle w:val="AllowPageBreak"/>
      </w:pPr>
    </w:p>
    <w:p w:rsidR="00000000" w:rsidRPr="00B43D9A" w:rsidP="00B43D9A">
      <w:pPr>
        <w:pStyle w:val="Heading1"/>
      </w:pPr>
      <w:bookmarkStart w:id="2" w:name="O_232208"/>
      <w:bookmarkEnd w:id="2"/>
      <w:r w:rsidRPr="00B43D9A">
        <w:t>Unit Descriptor</w:t>
      </w:r>
    </w:p>
    <w:tbl>
      <w:tblPr>
        <w:tblW w:w="0" w:type="auto"/>
        <w:tblLayout w:type="fixed"/>
        <w:tblCellMar>
          <w:left w:w="62" w:type="dxa"/>
          <w:right w:w="62" w:type="dxa"/>
        </w:tblCellMar>
        <w:tblLook w:val="0000"/>
      </w:tblPr>
      <w:tblGrid>
        <w:gridCol w:w="2758"/>
        <w:gridCol w:w="5882"/>
      </w:tblGrid>
      <w:tr w:rsidTr="00644AB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1</w:t>
            </w:r>
            <w:r w:rsidRPr="00B43D9A">
              <w:t xml:space="preserve">) </w:t>
            </w:r>
          </w:p>
          <w:p w:rsidR="00000000" w:rsidP="00B43D9A">
            <w:pPr>
              <w:pStyle w:val="BodyText"/>
              <w:rPr>
                <w:lang w:val="en-NZ"/>
              </w:rPr>
            </w:pPr>
            <w:r w:rsidRPr="00B43D9A">
              <w:rPr>
                <w:rStyle w:val="SpecialBold"/>
              </w:rPr>
              <w:t>1</w:t>
            </w:r>
            <w:r w:rsidRPr="00B43D9A">
              <w:t>.</w:t>
            </w:r>
            <w:r w:rsidRPr="00B43D9A">
              <w:rPr>
                <w:rStyle w:val="SpecialBold"/>
              </w:rPr>
              <w:t>1</w:t>
            </w:r>
            <w:r w:rsidRPr="00B43D9A">
              <w:t xml:space="preserve">) </w:t>
            </w:r>
            <w:r w:rsidRPr="00B43D9A">
              <w:rPr>
                <w:rStyle w:val="SpecialBold"/>
              </w:rPr>
              <w:t>Descriptor</w:t>
            </w:r>
          </w:p>
        </w:tc>
      </w:tr>
      <w:tr w:rsidTr="00644AB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This Competency Standard Unit covers the skills needed to design secondary isolations. This will involve analysis of tripping and a thorough understanding of secondary voltage and current, DC, alarm, metering and communication circuits. It also involves ac</w:t>
            </w:r>
            <w:r w:rsidRPr="00B43D9A">
              <w:t>curate communication of this information in a format acceptable to the Operating or Testing authority.</w:t>
            </w:r>
          </w:p>
        </w:tc>
      </w:tr>
    </w:tbl>
    <w:p w:rsidR="00644AB8" w:rsidP="00B43D9A">
      <w:pPr>
        <w:pStyle w:val="BodyText"/>
      </w:pPr>
    </w:p>
    <w:p w:rsidR="00644AB8" w:rsidP="00B43D9A">
      <w:pPr>
        <w:pStyle w:val="BodyText"/>
      </w:pPr>
    </w:p>
    <w:p w:rsidR="00000000" w:rsidRPr="00B43D9A" w:rsidP="00B43D9A">
      <w:pPr>
        <w:pStyle w:val="Heading1"/>
      </w:pPr>
      <w:bookmarkStart w:id="3" w:name="O_232213"/>
      <w:bookmarkEnd w:id="3"/>
      <w:r w:rsidRPr="00B43D9A">
        <w:t>Application of the Unit</w:t>
      </w:r>
    </w:p>
    <w:tbl>
      <w:tblPr>
        <w:tblW w:w="0" w:type="auto"/>
        <w:tblLayout w:type="fixed"/>
        <w:tblCellMar>
          <w:left w:w="62" w:type="dxa"/>
          <w:right w:w="62" w:type="dxa"/>
        </w:tblCellMar>
        <w:tblLook w:val="0000"/>
      </w:tblPr>
      <w:tblGrid>
        <w:gridCol w:w="2758"/>
        <w:gridCol w:w="5882"/>
      </w:tblGrid>
      <w:tr w:rsidTr="00644AB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4</w:t>
            </w:r>
            <w:r w:rsidRPr="00B43D9A">
              <w:t>)</w:t>
            </w:r>
          </w:p>
        </w:tc>
      </w:tr>
      <w:tr w:rsidTr="00644AB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This competency standards unit is intended to apply to any recognised d</w:t>
            </w:r>
            <w:r w:rsidRPr="00B43D9A">
              <w:t>evelopment program that leads to the acquisition of a formal award at AQF level 6 or higher.</w:t>
            </w:r>
          </w:p>
        </w:tc>
      </w:tr>
    </w:tbl>
    <w:p w:rsidR="00644AB8" w:rsidP="00B43D9A">
      <w:pPr>
        <w:pStyle w:val="BodyText"/>
      </w:pPr>
    </w:p>
    <w:p w:rsidR="00644AB8" w:rsidP="00B43D9A">
      <w:pPr>
        <w:pStyle w:val="BodyText"/>
      </w:pPr>
    </w:p>
    <w:p w:rsidR="00000000" w:rsidRPr="00B43D9A" w:rsidP="00B43D9A">
      <w:pPr>
        <w:pStyle w:val="Heading1"/>
      </w:pPr>
      <w:bookmarkStart w:id="4" w:name="O_232209"/>
      <w:bookmarkEnd w:id="4"/>
      <w:r w:rsidRPr="00B43D9A">
        <w:t>Licensing/Regulatory Information</w:t>
      </w:r>
    </w:p>
    <w:tbl>
      <w:tblPr>
        <w:tblW w:w="0" w:type="auto"/>
        <w:tblLayout w:type="fixed"/>
        <w:tblCellMar>
          <w:left w:w="62" w:type="dxa"/>
          <w:right w:w="62" w:type="dxa"/>
        </w:tblCellMar>
        <w:tblLook w:val="0000"/>
      </w:tblPr>
      <w:tblGrid>
        <w:gridCol w:w="8640"/>
      </w:tblGrid>
      <w:tr w:rsidTr="00644AB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1</w:t>
            </w:r>
            <w:r w:rsidRPr="00B43D9A">
              <w:t>.</w:t>
            </w:r>
            <w:r w:rsidRPr="00B43D9A">
              <w:rPr>
                <w:rStyle w:val="SpecialBold"/>
              </w:rPr>
              <w:t>2</w:t>
            </w:r>
            <w:r w:rsidRPr="00B43D9A">
              <w:t xml:space="preserve">) </w:t>
            </w:r>
            <w:r w:rsidRPr="00B43D9A">
              <w:rPr>
                <w:rStyle w:val="SpecialBold"/>
              </w:rPr>
              <w:t>License to practice</w:t>
            </w:r>
          </w:p>
        </w:tc>
      </w:tr>
      <w:tr w:rsidTr="00644AB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The skills and knowledge described in this unit may require a licence/reg</w:t>
            </w:r>
            <w:r w:rsidRPr="00B43D9A">
              <w:t>istration to practice in the work place subject to regulations for undertaking of electrical work. Practice in workplace and during training is also subject to regulations directly related to Occupational Health and Safety, electricity/telecommunications/g</w:t>
            </w:r>
            <w:r w:rsidRPr="00B43D9A">
              <w:t>as/water industry safety and compliance, industrial relations, environmental protection, anti discrimination and training. Commonwealth, State/Territory or Local Government legislation and regulations may exist that limits the age of operating certain equi</w:t>
            </w:r>
            <w:r w:rsidRPr="00B43D9A">
              <w:t>pment.</w:t>
            </w:r>
          </w:p>
        </w:tc>
      </w:tr>
    </w:tbl>
    <w:p w:rsidR="00644AB8" w:rsidP="00B43D9A">
      <w:pPr>
        <w:pStyle w:val="BodyText"/>
      </w:pPr>
    </w:p>
    <w:p w:rsidR="00644AB8" w:rsidP="00B43D9A">
      <w:pPr>
        <w:pStyle w:val="BodyText"/>
      </w:pPr>
    </w:p>
    <w:p w:rsidR="00000000" w:rsidRPr="00B43D9A" w:rsidP="00B43D9A">
      <w:pPr>
        <w:pStyle w:val="Heading1"/>
      </w:pPr>
      <w:bookmarkStart w:id="5" w:name="O_232210"/>
      <w:bookmarkEnd w:id="5"/>
      <w:r w:rsidRPr="00B43D9A">
        <w:t>Pre-Requisites</w:t>
      </w:r>
    </w:p>
    <w:tbl>
      <w:tblPr>
        <w:tblW w:w="0" w:type="auto"/>
        <w:tblLayout w:type="fixed"/>
        <w:tblCellMar>
          <w:left w:w="62" w:type="dxa"/>
          <w:right w:w="62" w:type="dxa"/>
        </w:tblCellMar>
        <w:tblLook w:val="0000"/>
      </w:tblPr>
      <w:tblGrid>
        <w:gridCol w:w="2700"/>
        <w:gridCol w:w="58"/>
        <w:gridCol w:w="735"/>
        <w:gridCol w:w="2022"/>
        <w:gridCol w:w="3125"/>
      </w:tblGrid>
      <w:tr w:rsidTr="00644AB8">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Prerequisite Unit</w:t>
            </w:r>
            <w:r w:rsidRPr="00B43D9A">
              <w:t>(</w:t>
            </w:r>
            <w:r w:rsidRPr="00B43D9A">
              <w:rPr>
                <w:rStyle w:val="SpecialBold"/>
              </w:rPr>
              <w:t>s</w:t>
            </w:r>
            <w:r w:rsidRPr="00B43D9A">
              <w:t>)</w:t>
            </w:r>
          </w:p>
        </w:tc>
        <w:tc>
          <w:tcPr>
            <w:tcW w:w="5882" w:type="dxa"/>
            <w:gridSpan w:val="3"/>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2</w:t>
            </w:r>
            <w:r w:rsidRPr="00B43D9A">
              <w:t xml:space="preserve">) </w:t>
            </w:r>
          </w:p>
        </w:tc>
      </w:tr>
      <w:tr w:rsidTr="00644AB8">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rsidRPr="00B43D9A">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2</w:t>
            </w:r>
            <w:r w:rsidRPr="00B43D9A">
              <w:t>.</w:t>
            </w:r>
            <w:r w:rsidRPr="00B43D9A">
              <w:rPr>
                <w:rStyle w:val="SpecialBold"/>
              </w:rPr>
              <w:t>1</w:t>
            </w:r>
            <w:r w:rsidRPr="00B43D9A">
              <w:t xml:space="preserve">) </w:t>
            </w:r>
            <w:r w:rsidRPr="00B43D9A">
              <w:rPr>
                <w:rStyle w:val="SpecialBold"/>
              </w:rPr>
              <w:t>Competencies</w:t>
            </w:r>
          </w:p>
        </w:tc>
      </w:tr>
      <w:tr w:rsidTr="00644AB8">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Granting of competency in this unit shall be made only after competency in the following unit(s) has/have been confirmed:.</w:t>
            </w:r>
          </w:p>
        </w:tc>
      </w:tr>
      <w:tr w:rsidTr="00644AB8">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UEENEED004B</w:t>
            </w:r>
          </w:p>
        </w:tc>
        <w:tc>
          <w:tcPr>
            <w:tcW w:w="3125"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Use engineering application software</w:t>
            </w:r>
          </w:p>
        </w:tc>
      </w:tr>
      <w:tr w:rsidTr="00644AB8">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UEENEEE007B</w:t>
            </w:r>
          </w:p>
        </w:tc>
        <w:tc>
          <w:tcPr>
            <w:tcW w:w="3125"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Use drawings, diagrams, schedules and manuals</w:t>
            </w:r>
          </w:p>
        </w:tc>
      </w:tr>
      <w:tr w:rsidTr="00644AB8">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UEENEEE024B</w:t>
            </w:r>
          </w:p>
        </w:tc>
        <w:tc>
          <w:tcPr>
            <w:tcW w:w="3125"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 xml:space="preserve"> Compile and produce an electrotechnology report</w:t>
            </w:r>
          </w:p>
        </w:tc>
      </w:tr>
      <w:tr w:rsidTr="00644AB8">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UEENEEG049B</w:t>
            </w:r>
          </w:p>
        </w:tc>
        <w:tc>
          <w:tcPr>
            <w:tcW w:w="3125"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Solve problems in complex polyphase power circuits</w:t>
            </w:r>
          </w:p>
        </w:tc>
      </w:tr>
      <w:tr w:rsidTr="00644AB8">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 xml:space="preserve">UETTDRIS22B </w:t>
            </w:r>
          </w:p>
        </w:tc>
        <w:tc>
          <w:tcPr>
            <w:tcW w:w="3125"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Implement and monitor organisation's OHS policies, procedures and programs</w:t>
            </w:r>
          </w:p>
        </w:tc>
      </w:tr>
      <w:tr w:rsidTr="00644AB8">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UETTDRIS23B</w:t>
            </w:r>
          </w:p>
        </w:tc>
        <w:tc>
          <w:tcPr>
            <w:tcW w:w="3125"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Implement and monitor environmental and sustainable energy management policies and procedures</w:t>
            </w:r>
          </w:p>
        </w:tc>
      </w:tr>
      <w:tr w:rsidTr="00644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4"/>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For the full prerequisite chain details for this unit please refer to Table 3 in Volume 1, Part 2</w:t>
            </w:r>
          </w:p>
        </w:tc>
      </w:tr>
    </w:tbl>
    <w:p w:rsidR="00644AB8" w:rsidP="00B43D9A">
      <w:pPr>
        <w:pStyle w:val="BodyText"/>
      </w:pPr>
    </w:p>
    <w:p w:rsidR="00644AB8" w:rsidP="00B43D9A">
      <w:pPr>
        <w:pStyle w:val="BodyText"/>
      </w:pPr>
    </w:p>
    <w:p w:rsidR="00000000" w:rsidRPr="00B43D9A" w:rsidP="00B43D9A">
      <w:pPr>
        <w:pStyle w:val="Heading1"/>
      </w:pPr>
      <w:bookmarkStart w:id="6" w:name="O_232212"/>
      <w:bookmarkEnd w:id="6"/>
      <w:r w:rsidRPr="00B43D9A">
        <w:t>Employability Skills Information</w:t>
      </w:r>
    </w:p>
    <w:tbl>
      <w:tblPr>
        <w:tblW w:w="0" w:type="auto"/>
        <w:tblLayout w:type="fixed"/>
        <w:tblCellMar>
          <w:left w:w="62" w:type="dxa"/>
          <w:right w:w="62" w:type="dxa"/>
        </w:tblCellMar>
        <w:tblLook w:val="0000"/>
      </w:tblPr>
      <w:tblGrid>
        <w:gridCol w:w="2758"/>
        <w:gridCol w:w="5882"/>
      </w:tblGrid>
      <w:tr w:rsidTr="00644AB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3</w:t>
            </w:r>
            <w:r w:rsidRPr="00B43D9A">
              <w:t>)</w:t>
            </w:r>
          </w:p>
          <w:p w:rsidR="00000000" w:rsidRPr="00B43D9A" w:rsidP="00B43D9A">
            <w:pPr>
              <w:pStyle w:val="BodyText"/>
            </w:pPr>
            <w:r w:rsidRPr="00B43D9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43D9A">
              <w:t>requirements.</w:t>
            </w:r>
          </w:p>
        </w:tc>
      </w:tr>
    </w:tbl>
    <w:p w:rsidR="00644AB8" w:rsidP="00B43D9A">
      <w:pPr>
        <w:pStyle w:val="BodyText"/>
      </w:pPr>
    </w:p>
    <w:p w:rsidR="00644AB8" w:rsidP="00B43D9A">
      <w:pPr>
        <w:pStyle w:val="BodyText"/>
      </w:pPr>
    </w:p>
    <w:p w:rsidR="00000000" w:rsidRPr="00B43D9A" w:rsidP="00B43D9A">
      <w:pPr>
        <w:pStyle w:val="Heading1"/>
      </w:pPr>
      <w:bookmarkStart w:id="7" w:name="O_293626"/>
      <w:bookmarkEnd w:id="7"/>
      <w:r w:rsidRPr="00B43D9A">
        <w:t>Elements and Performance Criteria Pre-Content</w:t>
      </w:r>
    </w:p>
    <w:tbl>
      <w:tblPr>
        <w:tblW w:w="0" w:type="auto"/>
        <w:tblLayout w:type="fixed"/>
        <w:tblCellMar>
          <w:left w:w="62" w:type="dxa"/>
          <w:right w:w="62" w:type="dxa"/>
        </w:tblCellMar>
        <w:tblLook w:val="0000"/>
      </w:tblPr>
      <w:tblGrid>
        <w:gridCol w:w="2758"/>
        <w:gridCol w:w="5882"/>
      </w:tblGrid>
      <w:tr w:rsidTr="00644AB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6</w:t>
            </w:r>
            <w:r w:rsidRPr="00B43D9A">
              <w:t xml:space="preserve">) </w:t>
            </w:r>
            <w:r w:rsidRPr="00B43D9A">
              <w:rPr>
                <w:rStyle w:val="SpecialBold"/>
              </w:rPr>
              <w:t>Elements</w:t>
            </w:r>
            <w:r w:rsidRPr="00B43D9A">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Performance Criteria describe the required performance needed to demonstrate achievement of the el</w:t>
            </w:r>
            <w:r w:rsidRPr="00B43D9A">
              <w:t>ement. Assessment of performance is to be consistent with the evidence guide.</w:t>
            </w:r>
          </w:p>
        </w:tc>
      </w:tr>
    </w:tbl>
    <w:p w:rsidR="00000000" w:rsidRPr="00B43D9A" w:rsidP="00B43D9A">
      <w:pPr>
        <w:pStyle w:val="BodyText"/>
      </w:pPr>
    </w:p>
    <w:p w:rsidR="00000000" w:rsidRPr="00B43D9A" w:rsidP="00B43D9A">
      <w:pPr>
        <w:pStyle w:val="AllowPageBreak"/>
      </w:pPr>
    </w:p>
    <w:p w:rsidR="00000000" w:rsidRPr="00B43D9A" w:rsidP="00B43D9A">
      <w:pPr>
        <w:pStyle w:val="Heading1"/>
      </w:pPr>
      <w:bookmarkStart w:id="8" w:name="O_240294"/>
      <w:bookmarkEnd w:id="8"/>
      <w:r w:rsidRPr="00B43D9A">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644AB8">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PERFORMANCE CRITERIA</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w:t>
            </w:r>
          </w:p>
        </w:tc>
        <w:tc>
          <w:tcPr>
            <w:tcW w:w="2344"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Plan for the design of secondary isolation instructional documents</w:t>
            </w: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1.1</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OHS practices/procedures and environmental and sustainable energy procedures, which may influence the design of secondary isolation instructional documents, are reviewed and determined.</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1.2</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Purpose of the design of secondary isolation instructional docu</w:t>
            </w:r>
            <w:r w:rsidRPr="00B43D9A">
              <w:t>ments is established after data is analysed and expected outcomes of the work are confirmed with the appropriate personnel.</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1.3</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Organisational established procedures on policies and specifications for the design of secondary isolation instructional documents are obtained or established with the appropriate personnel.</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1.4</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Testing procedures are discussed with/directed to the appr</w:t>
            </w:r>
            <w:r w:rsidRPr="00B43D9A">
              <w:t>opriate personnel in order to ascertain the project brief.</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1.5</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Testing parameters are established from organisational established procedures on policies and specifications.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1.6</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Equipment/tools and personal protective equipment are selected based on s</w:t>
            </w:r>
            <w:r w:rsidRPr="00B43D9A">
              <w:t>pecified Performance Criteria and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1.7</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Work roles and tasks are allocated according to requirements and individuals' competencies.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1.8</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Work is prioritised and sequenced for the most efficient/effective outcome, completed within an acceptable timeframe to a quality standard and in accordance with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1.9</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Liaison and communication issues with other/authorised personne</w:t>
            </w:r>
            <w:r w:rsidRPr="00B43D9A">
              <w:t>l, authorities, clients and land owners are resolved and activities coordinated to carry out work.</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1.10</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Risk control measures are identified, prioritised and evaluated against the work schedule.</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1.11</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Relevant work permits are secured to coordinate th</w:t>
            </w:r>
            <w:r w:rsidRPr="00B43D9A">
              <w:t>e performance of work according to requirements and/or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w:t>
            </w:r>
          </w:p>
        </w:tc>
        <w:tc>
          <w:tcPr>
            <w:tcW w:w="2344" w:type="dxa"/>
            <w:vMerge w:val="restart"/>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Carry out the design of secondary isolation instructional documents</w:t>
            </w: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2.1</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Circuit/systems modelling is used to evaluate alternative proposals as per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2.2</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OHS and sustainable energy principles, functionality and practices to reduce the incidents of accidents and minimise waste are incorporated into the project in accordance with requirements and/or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2.3</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Design of secondary isola</w:t>
            </w:r>
            <w:r w:rsidRPr="00B43D9A">
              <w:t>tion instructional documents decisions are made on the basis of safety and effective outcomes according to requirements and/or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2.4</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Mathematical and/or engineering models of the design of secondary isolation instructional documents are used to analyse the effectiveness of the finished project as per requirements and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2.5</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Technical advice is given regarding pot</w:t>
            </w:r>
            <w:r w:rsidRPr="00B43D9A">
              <w:t>ential hazards, safety risks and control measures so that monitoring and preventative action can be undertaken and/or appropriate authorities consulted, where necessary, in accordance with requirements and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2.6</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Essential knowledge</w:t>
            </w:r>
            <w:r w:rsidRPr="00B43D9A">
              <w:t xml:space="preserve"> and associated skills are applied to analyse specific data and compare it with compliance specifications to ensure completion of the project within an agreed timeframe according to requirements.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2.7</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Testing of the design of secondary isolation instruct</w:t>
            </w:r>
            <w:r w:rsidRPr="00B43D9A">
              <w:t>ional documents is undertaken according to requirements and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2.8</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Work teams/groups are arranged/coordinated/evaluated to ensure planned goals are met according to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2.9</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Solutions to non-routine problems are identified and actioned, using acquired essential knowledge and associated skills, according to requirements.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2.10</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Quality of work is monitored against personal performance agreement and/or established organisationa</w:t>
            </w:r>
            <w:r w:rsidRPr="00B43D9A">
              <w:t>l and professional standards.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2.11</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Strategic plans are developed incorporating organisation initiatives as per established procedures.</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3</w:t>
            </w:r>
          </w:p>
        </w:tc>
        <w:tc>
          <w:tcPr>
            <w:tcW w:w="2344"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Complete the design of secondary isolation instructional documents</w:t>
            </w: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3.1</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Final inspections of the design of secondary</w:t>
            </w:r>
            <w:r w:rsidRPr="00B43D9A">
              <w:t xml:space="preserve"> isolation instructional documents are undertaken to ensure they comply with all requirements and include all specifications and documentations needed to complete the project.</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3.2</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Appropriate personnel are notified of completion and reports and/or completion documents are finalised/commissioned.</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3.3</w:t>
            </w:r>
          </w:p>
        </w:tc>
        <w:tc>
          <w:tcPr>
            <w:tcW w:w="496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 xml:space="preserve">Reports and/or completion documents are submitted to relevant personnel/organisations for approval and, where applicable, statutory </w:t>
            </w:r>
            <w:r w:rsidRPr="00B43D9A">
              <w:t>or regulatory approval.</w:t>
            </w:r>
          </w:p>
        </w:tc>
      </w:tr>
      <w:tr w:rsidTr="00644AB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3.4</w:t>
            </w:r>
          </w:p>
        </w:tc>
        <w:tc>
          <w:tcPr>
            <w:tcW w:w="4963"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Approved copies of the design of secondary isolation instructional documents are issued and records are updated in accordance with established procedures.</w:t>
            </w:r>
          </w:p>
        </w:tc>
      </w:tr>
    </w:tbl>
    <w:p w:rsidR="00644AB8" w:rsidP="00B43D9A">
      <w:pPr>
        <w:pStyle w:val="BodyText"/>
      </w:pPr>
    </w:p>
    <w:p w:rsidR="00644AB8" w:rsidP="00B43D9A">
      <w:pPr>
        <w:pStyle w:val="BodyText"/>
      </w:pPr>
    </w:p>
    <w:p w:rsidR="00000000" w:rsidRPr="00B43D9A" w:rsidP="00B43D9A">
      <w:pPr>
        <w:pStyle w:val="Heading1"/>
      </w:pPr>
      <w:bookmarkStart w:id="9" w:name="O_264085"/>
      <w:bookmarkEnd w:id="9"/>
      <w:r w:rsidRPr="00B43D9A">
        <w:t>Required Skills and Knowledge</w:t>
      </w:r>
    </w:p>
    <w:tbl>
      <w:tblPr>
        <w:tblW w:w="0" w:type="auto"/>
        <w:tblLayout w:type="fixed"/>
        <w:tblCellMar>
          <w:left w:w="62" w:type="dxa"/>
          <w:right w:w="62" w:type="dxa"/>
        </w:tblCellMar>
        <w:tblLook w:val="0000"/>
      </w:tblPr>
      <w:tblGrid>
        <w:gridCol w:w="2758"/>
        <w:gridCol w:w="1103"/>
        <w:gridCol w:w="4779"/>
      </w:tblGrid>
      <w:tr w:rsidTr="00644AB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REQUIRED SKILLS AND KNOWLEDGE</w:t>
            </w:r>
          </w:p>
        </w:tc>
      </w:tr>
      <w:tr w:rsidTr="00644AB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7</w:t>
            </w:r>
            <w:r w:rsidRPr="00B43D9A">
              <w:t xml:space="preserve">) </w:t>
            </w:r>
            <w:r w:rsidRPr="00B43D9A">
              <w:rPr>
                <w:rStyle w:val="SpecialBold"/>
              </w:rPr>
              <w:t>Essential Knowledge and Associated Skills</w:t>
            </w:r>
            <w:r w:rsidRPr="00B43D9A">
              <w:t xml:space="preserve"> (</w:t>
            </w:r>
            <w:r w:rsidRPr="00B43D9A">
              <w:rPr>
                <w:rStyle w:val="SpecialBold"/>
              </w:rPr>
              <w:t>EKAS</w:t>
            </w:r>
            <w:r w:rsidRPr="00B43D9A">
              <w:t>): This describes the essential skills and knowledge and their level, required for this unit.</w:t>
            </w:r>
          </w:p>
        </w:tc>
      </w:tr>
      <w:tr w:rsidTr="00644AB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 xml:space="preserve">Evidence shall show that knowledge has been acquired of designing secondary </w:t>
            </w:r>
            <w:r w:rsidRPr="00B43D9A">
              <w:t xml:space="preserve">isolation instructional documents. </w:t>
            </w:r>
          </w:p>
          <w:p w:rsidR="00000000" w:rsidRPr="00B43D9A" w:rsidP="00B43D9A">
            <w:pPr>
              <w:pStyle w:val="BodyText"/>
            </w:pPr>
            <w:r w:rsidRPr="00B43D9A">
              <w:t>All knowledge and skills detailed in this unit should be contextualised to current industry practices and technologies.</w:t>
            </w:r>
          </w:p>
          <w:p w:rsidR="00000000" w:rsidP="00B43D9A">
            <w:pPr>
              <w:pStyle w:val="BodyText"/>
              <w:rPr>
                <w:lang w:val="en-NZ"/>
              </w:rPr>
            </w:pPr>
            <w:r w:rsidRPr="00B43D9A">
              <w:t>The extent of the essential knowledge and associated skills (EKAS) required is given in Volume 2 - P</w:t>
            </w:r>
            <w:r w:rsidRPr="00B43D9A">
              <w:t>art 2.2 EKAS. It forms an integral part of this unit.</w:t>
            </w:r>
          </w:p>
        </w:tc>
      </w:tr>
      <w:tr w:rsidTr="00644AB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 xml:space="preserve">E2.18.1 </w:t>
            </w:r>
          </w:p>
        </w:tc>
        <w:tc>
          <w:tcPr>
            <w:tcW w:w="477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Occupational Health and Safety principles</w:t>
            </w:r>
          </w:p>
        </w:tc>
      </w:tr>
      <w:tr w:rsidTr="00644AB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E2.18.2</w:t>
            </w:r>
          </w:p>
        </w:tc>
        <w:tc>
          <w:tcPr>
            <w:tcW w:w="477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Electrical safe working practices</w:t>
            </w:r>
          </w:p>
        </w:tc>
      </w:tr>
      <w:tr w:rsidTr="00644AB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E2.18.8.2</w:t>
            </w:r>
          </w:p>
        </w:tc>
        <w:tc>
          <w:tcPr>
            <w:tcW w:w="4779"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Occupational Health and Safety , enterprise responsibilities</w:t>
            </w:r>
          </w:p>
        </w:tc>
      </w:tr>
      <w:tr w:rsidTr="00644AB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T2.11.35</w:t>
            </w:r>
          </w:p>
        </w:tc>
        <w:tc>
          <w:tcPr>
            <w:tcW w:w="4779"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Secondary switching/isolation principles and sheet preparation</w:t>
            </w:r>
          </w:p>
        </w:tc>
      </w:tr>
    </w:tbl>
    <w:p w:rsidR="00644AB8" w:rsidP="00B43D9A">
      <w:pPr>
        <w:pStyle w:val="BodyText"/>
      </w:pPr>
    </w:p>
    <w:p w:rsidR="00644AB8" w:rsidP="00B43D9A">
      <w:pPr>
        <w:pStyle w:val="BodyText"/>
      </w:pPr>
    </w:p>
    <w:p w:rsidR="00000000" w:rsidRPr="00B43D9A" w:rsidP="00B43D9A">
      <w:pPr>
        <w:pStyle w:val="Heading1"/>
      </w:pPr>
      <w:bookmarkStart w:id="10" w:name="O_248277"/>
      <w:bookmarkEnd w:id="10"/>
      <w:r w:rsidRPr="00B43D9A">
        <w:t>Evidence Guide</w:t>
      </w:r>
    </w:p>
    <w:tbl>
      <w:tblPr>
        <w:tblW w:w="0" w:type="auto"/>
        <w:tblLayout w:type="fixed"/>
        <w:tblCellMar>
          <w:left w:w="62" w:type="dxa"/>
          <w:right w:w="62" w:type="dxa"/>
        </w:tblCellMar>
        <w:tblLook w:val="0000"/>
      </w:tblPr>
      <w:tblGrid>
        <w:gridCol w:w="2207"/>
        <w:gridCol w:w="735"/>
        <w:gridCol w:w="919"/>
        <w:gridCol w:w="1654"/>
        <w:gridCol w:w="3125"/>
      </w:tblGrid>
      <w:tr w:rsidTr="00644AB8">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EVIDENCE GUIDE</w:t>
            </w:r>
          </w:p>
        </w:tc>
      </w:tr>
      <w:tr w:rsidTr="00644AB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9</w:t>
            </w:r>
            <w:r w:rsidRPr="00B43D9A">
              <w:t xml:space="preserve">) This provides essential advice for assessment of the unit of competency and must be read in conjunction </w:t>
            </w:r>
            <w:r w:rsidRPr="00B43D9A">
              <w:t>with the Performance Criteria and the Range Statement of the unit of competency and the Training Package Assessment Guidelines.</w:t>
            </w:r>
          </w:p>
          <w:p w:rsidR="00000000" w:rsidP="00B43D9A">
            <w:pPr>
              <w:pStyle w:val="BodyText"/>
              <w:rPr>
                <w:lang w:val="en-NZ"/>
              </w:rPr>
            </w:pPr>
            <w:r w:rsidRPr="00B43D9A">
              <w:t>The Evidence Guide forms an integral part of this Competency Standard Unit and shall be used in conjunction with all component p</w:t>
            </w:r>
            <w:r w:rsidRPr="00B43D9A">
              <w:t>arts of this unit and, performed in accordance with the Assessment Guidelines of this Training Package.</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9</w:t>
            </w:r>
            <w:r w:rsidRPr="00B43D9A">
              <w:t>.</w:t>
            </w:r>
            <w:r w:rsidRPr="00B43D9A">
              <w:rPr>
                <w:rStyle w:val="SpecialBold"/>
              </w:rPr>
              <w:t>1</w:t>
            </w:r>
            <w:r w:rsidRPr="00B43D9A">
              <w:t xml:space="preserve">) </w:t>
            </w:r>
          </w:p>
          <w:p w:rsidR="00000000" w:rsidRPr="00B43D9A" w:rsidP="00B43D9A">
            <w:pPr>
              <w:pStyle w:val="BodyText"/>
            </w:pPr>
            <w:r w:rsidRPr="00B43D9A">
              <w:t>Longitudinal competency development approaches to ass</w:t>
            </w:r>
            <w:r w:rsidRPr="00B43D9A">
              <w:t>essment, such as Profiling, require data to be reliably gathered in a form that can be consistently interpreted over time. This approach is best utilised in Apprenticeship programs and reduces assessment intervention. It is the Industry's preferred model f</w:t>
            </w:r>
            <w:r w:rsidRPr="00B43D9A">
              <w:t xml:space="preserve">or apprenticeships. However, where summative (or final) assessment is used it is to include the application of the competency in the normal work environment or, at a minimum, the application of the competency in a realistically simulated work environment. </w:t>
            </w:r>
            <w:r w:rsidRPr="00B43D9A">
              <w:t>It is recognised that, in some circumstances, assessment in part or full can occur outside the workplace. However, it must be in accord with Industry and, Regulatory policy in this regard.</w:t>
            </w:r>
          </w:p>
          <w:p w:rsidR="00000000" w:rsidRPr="00B43D9A" w:rsidP="00B43D9A">
            <w:pPr>
              <w:pStyle w:val="BodyText"/>
            </w:pPr>
            <w:r w:rsidRPr="00B43D9A">
              <w:t>Methods chosen for a particular assessment will be influenced by va</w:t>
            </w:r>
            <w:r w:rsidRPr="00B43D9A">
              <w:t>rious factors. These include the extent of the assessment, the most effective locations for the assessment activities to take place, access to physical resources, additional safety measures that may be required and the critical nature of the competencies b</w:t>
            </w:r>
            <w:r w:rsidRPr="00B43D9A">
              <w:t>eing assessed.</w:t>
            </w:r>
          </w:p>
          <w:p w:rsidR="00000000" w:rsidRPr="00B43D9A" w:rsidP="00B43D9A">
            <w:pPr>
              <w:pStyle w:val="BodyText"/>
            </w:pPr>
            <w:r w:rsidRPr="00B43D9A">
              <w:t xml:space="preserve">The critical safety nature of working with electricity, electrical equipment, gas or any other hazardous substance/material carries risk in deeming a person competent. Hence, sources of evidence need to be 'rich' in nature so as to minimise </w:t>
            </w:r>
            <w:r w:rsidRPr="00B43D9A">
              <w:t>error in judgment.</w:t>
            </w:r>
          </w:p>
          <w:p w:rsidR="00000000" w:rsidP="00B43D9A">
            <w:pPr>
              <w:pStyle w:val="BodyText"/>
              <w:rPr>
                <w:lang w:val="en-NZ"/>
              </w:rPr>
            </w:pPr>
            <w:r w:rsidRPr="00B43D9A">
              <w:t>Activities associated with normal every day work have a bearing on the decision as to how much and how detailed the data gathered will contribute to its 'richness'. Some skills are more critical to safety and operational requirements whi</w:t>
            </w:r>
            <w:r w:rsidRPr="00B43D9A">
              <w:t>le the same skills may be more or less frequently practiced. These points are raised for the assessors to consider when choosing an assessment method and developing assessment instruments. Sample assessment instruments are included for Assessors in the Ass</w:t>
            </w:r>
            <w:r w:rsidRPr="00B43D9A">
              <w:t>essment Guidelines of this Training Package.</w:t>
            </w:r>
          </w:p>
        </w:tc>
      </w:tr>
      <w:tr w:rsidTr="00644AB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9</w:t>
            </w:r>
            <w:r w:rsidRPr="00B43D9A">
              <w:t>.</w:t>
            </w:r>
            <w:r w:rsidRPr="00B43D9A">
              <w:rPr>
                <w:rStyle w:val="SpecialBold"/>
              </w:rPr>
              <w:t>2</w:t>
            </w:r>
            <w:r w:rsidRPr="00B43D9A">
              <w:t xml:space="preserve">) </w:t>
            </w:r>
          </w:p>
          <w:p w:rsidR="00000000" w:rsidP="00B43D9A">
            <w:pPr>
              <w:pStyle w:val="BodyText"/>
              <w:rPr>
                <w:lang w:val="en-NZ"/>
              </w:rPr>
            </w:pPr>
            <w:r w:rsidRPr="00B43D9A">
              <w:t>Before the critical aspects of evidence are considered all prerequisites shall be met.</w:t>
            </w:r>
          </w:p>
        </w:tc>
      </w:tr>
      <w:tr w:rsidTr="00644AB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B43D9A">
            <w:pPr>
              <w:pStyle w:val="ListBullet"/>
              <w:rPr>
                <w:lang w:val="en-NZ"/>
              </w:rPr>
            </w:pPr>
            <w:r w:rsidRPr="00B43D9A">
              <w:t>A</w:t>
            </w:r>
            <w:r w:rsidRPr="00B43D9A">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Implement Occupational Health and Safety workplace procedures and practices including the use of risk control measures as specified in the Performance Criteria and range; and</w:t>
            </w:r>
          </w:p>
          <w:p w:rsidR="00000000" w:rsidRPr="00B43D9A" w:rsidP="00B43D9A">
            <w:pPr>
              <w:pStyle w:val="BodyText"/>
            </w:pPr>
            <w:r w:rsidRPr="00B43D9A">
              <w:t>Apply sustainable energy principles and practices as specified in the Performance</w:t>
            </w:r>
            <w:r w:rsidRPr="00B43D9A">
              <w:t xml:space="preserve"> Criteria and range; and</w:t>
            </w:r>
          </w:p>
          <w:p w:rsidR="00000000" w:rsidRPr="00B43D9A" w:rsidP="00B43D9A">
            <w:pPr>
              <w:pStyle w:val="BodyText"/>
            </w:pPr>
            <w:r w:rsidRPr="00B43D9A">
              <w:t>Demonstrate an understanding of the essential knowledge and associated skills as described in this unit to such an extent that the learner's performance outcome is reported in accordance with the preferred approach; namely a percen</w:t>
            </w:r>
            <w:r w:rsidRPr="00B43D9A">
              <w:t>tile graded result, where required by the regulated environment; and</w:t>
            </w:r>
          </w:p>
          <w:p w:rsidR="00000000" w:rsidRPr="00B43D9A" w:rsidP="00B43D9A">
            <w:pPr>
              <w:pStyle w:val="BodyText"/>
            </w:pPr>
            <w:r w:rsidRPr="00B43D9A">
              <w:t>Demonstrate an appropriate level of employability skills; and</w:t>
            </w:r>
          </w:p>
          <w:p w:rsidR="00000000" w:rsidP="00B43D9A">
            <w:pPr>
              <w:pStyle w:val="BodyText"/>
              <w:rPr>
                <w:lang w:val="en-NZ"/>
              </w:rPr>
            </w:pPr>
            <w:r w:rsidRPr="00B43D9A">
              <w:t>Conduct work observing the relevant Anti discrimination legislation, regulations, policies and workplace procedures; and</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43D9A">
            <w:pPr>
              <w:pStyle w:val="ListBullet"/>
              <w:rPr>
                <w:lang w:val="en-NZ"/>
              </w:rPr>
            </w:pPr>
            <w:r w:rsidRPr="00B43D9A">
              <w:t>Demonstrated performance across a representative range of contexts from the prescribed items below:</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43D9A">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D9A">
            <w:pPr>
              <w:pStyle w:val="BodyText"/>
              <w:rPr>
                <w:lang w:val="en-NZ"/>
              </w:rPr>
            </w:pPr>
            <w:r w:rsidRPr="00B43D9A">
              <w:rPr>
                <w:rStyle w:val="SpecialBold"/>
              </w:rPr>
              <w:t>Range of tools</w:t>
            </w:r>
            <w:r w:rsidRPr="00B43D9A">
              <w:t>/</w:t>
            </w:r>
            <w:r w:rsidRPr="00B43D9A">
              <w:rPr>
                <w:rStyle w:val="SpecialBold"/>
              </w:rPr>
              <w:t>equipment</w:t>
            </w:r>
            <w:r w:rsidRPr="00B43D9A">
              <w:t>/</w:t>
            </w:r>
            <w:r w:rsidRPr="00B43D9A">
              <w:rPr>
                <w:rStyle w:val="SpecialBold"/>
              </w:rPr>
              <w:t>materials</w:t>
            </w:r>
            <w:r w:rsidRPr="00B43D9A">
              <w:t>/</w:t>
            </w:r>
            <w:r w:rsidRPr="00B43D9A">
              <w:rPr>
                <w:rStyle w:val="SpecialBold"/>
              </w:rPr>
              <w:t>procedures</w:t>
            </w:r>
            <w:r w:rsidRPr="00B43D9A">
              <w:t>/</w:t>
            </w:r>
            <w:r w:rsidRPr="00B43D9A">
              <w:rPr>
                <w:rStyle w:val="SpecialBold"/>
              </w:rPr>
              <w:t>workplaces</w:t>
            </w:r>
            <w:r w:rsidRPr="00B43D9A">
              <w:t>/</w:t>
            </w:r>
            <w:r w:rsidRPr="00B43D9A">
              <w:rPr>
                <w:rStyle w:val="SpecialBold"/>
              </w:rPr>
              <w:t>other variables</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43D9A">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D9A" w:rsidP="00B43D9A">
            <w:pPr>
              <w:pStyle w:val="BodyText"/>
            </w:pPr>
            <w:r w:rsidRPr="00B43D9A">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D9A" w:rsidP="00B43D9A">
            <w:pPr>
              <w:pStyle w:val="BodyText"/>
            </w:pPr>
            <w:r w:rsidRPr="00B43D9A">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D9A">
            <w:pPr>
              <w:pStyle w:val="BodyText"/>
              <w:rPr>
                <w:lang w:val="en-NZ"/>
              </w:rPr>
            </w:pPr>
            <w:r w:rsidRPr="00B43D9A">
              <w:rPr>
                <w:rStyle w:val="SpecialBold"/>
              </w:rPr>
              <w:t>Item List</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D9A">
            <w:pPr>
              <w:pStyle w:val="BodyText"/>
              <w:rPr>
                <w:lang w:val="en-NZ"/>
              </w:rPr>
            </w:pPr>
            <w:r w:rsidRPr="00B43D9A">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D9A">
            <w:pPr>
              <w:pStyle w:val="BodyText"/>
              <w:rPr>
                <w:lang w:val="en-NZ"/>
              </w:rPr>
            </w:pPr>
            <w:r w:rsidRPr="00B43D9A">
              <w:t>Design secondary isolation instructional documents for four (4) of the following substation equipment:</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D9A" w:rsidP="00B43D9A">
            <w:pPr>
              <w:pStyle w:val="BodyText"/>
            </w:pPr>
            <w:r w:rsidRPr="00B43D9A">
              <w:t>Bus protection</w:t>
            </w:r>
          </w:p>
          <w:p w:rsidR="00000000" w:rsidRPr="00B43D9A" w:rsidP="00B43D9A">
            <w:pPr>
              <w:pStyle w:val="BodyText"/>
            </w:pPr>
            <w:r w:rsidRPr="00B43D9A">
              <w:t>High impedance bus protection</w:t>
            </w:r>
          </w:p>
          <w:p w:rsidR="00000000" w:rsidRPr="00B43D9A" w:rsidP="00B43D9A">
            <w:pPr>
              <w:pStyle w:val="BodyText"/>
            </w:pPr>
            <w:r w:rsidRPr="00B43D9A">
              <w:t>Feeder/line protection</w:t>
            </w:r>
          </w:p>
          <w:p w:rsidR="00000000" w:rsidRPr="00B43D9A" w:rsidP="00B43D9A">
            <w:pPr>
              <w:pStyle w:val="BodyText"/>
            </w:pPr>
            <w:r w:rsidRPr="00B43D9A">
              <w:t>Transformer protection</w:t>
            </w:r>
          </w:p>
          <w:p w:rsidR="00000000" w:rsidRPr="00B43D9A" w:rsidP="00B43D9A">
            <w:pPr>
              <w:pStyle w:val="BodyText"/>
            </w:pPr>
            <w:r w:rsidRPr="00B43D9A">
              <w:t>Earth fault protection</w:t>
            </w:r>
          </w:p>
          <w:p w:rsidR="00000000" w:rsidRPr="00B43D9A" w:rsidP="00B43D9A">
            <w:pPr>
              <w:pStyle w:val="BodyText"/>
            </w:pPr>
            <w:r w:rsidRPr="00B43D9A">
              <w:t>Backup protection</w:t>
            </w:r>
          </w:p>
          <w:p w:rsidR="00000000" w:rsidP="00B43D9A">
            <w:pPr>
              <w:pStyle w:val="BodyText"/>
              <w:rPr>
                <w:lang w:val="en-NZ"/>
              </w:rPr>
            </w:pPr>
            <w:r w:rsidRPr="00B43D9A">
              <w:t>Pilot wire protection</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D9A">
            <w:pPr>
              <w:pStyle w:val="BodyText"/>
              <w:rPr>
                <w:lang w:val="en-NZ"/>
              </w:rPr>
            </w:pPr>
            <w:r w:rsidRPr="00B43D9A">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D9A">
            <w:pPr>
              <w:pStyle w:val="BodyText"/>
              <w:rPr>
                <w:lang w:val="en-NZ"/>
              </w:rPr>
            </w:pPr>
            <w:r w:rsidRPr="00B43D9A">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D9A">
            <w:pPr>
              <w:pStyle w:val="BodyText"/>
              <w:rPr>
                <w:lang w:val="en-NZ"/>
              </w:rPr>
            </w:pPr>
            <w:r w:rsidRPr="00B43D9A">
              <w:t>Dealing with an unplanned event by drawing on essential knowledge and associated skills to provide appropriate solutions incorporated in the ho</w:t>
            </w:r>
            <w:r w:rsidRPr="00B43D9A">
              <w:t>listic assessment with the above listed items.</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9</w:t>
            </w:r>
            <w:r w:rsidRPr="00B43D9A">
              <w:t>.</w:t>
            </w:r>
            <w:r w:rsidRPr="00B43D9A">
              <w:rPr>
                <w:rStyle w:val="SpecialBold"/>
              </w:rPr>
              <w:t>3</w:t>
            </w:r>
            <w:r w:rsidRPr="00B43D9A">
              <w:t xml:space="preserve">) </w:t>
            </w:r>
          </w:p>
          <w:p w:rsidR="00000000" w:rsidRPr="00B43D9A" w:rsidP="00B43D9A">
            <w:pPr>
              <w:pStyle w:val="BodyText"/>
            </w:pPr>
            <w:r w:rsidRPr="00B43D9A">
              <w:t>This unit should be assessed as it relates to normal work practice using procedures, information and resources typical of a workplace. This should includ</w:t>
            </w:r>
            <w:r w:rsidRPr="00B43D9A">
              <w:t>e:</w:t>
            </w:r>
          </w:p>
          <w:p w:rsidR="00000000" w:rsidRPr="00B43D9A" w:rsidP="00B43D9A">
            <w:pPr>
              <w:pStyle w:val="ListBullet"/>
            </w:pPr>
            <w:r w:rsidRPr="00B43D9A">
              <w:t>OHS policy and work procedures and instructions.</w:t>
            </w:r>
          </w:p>
          <w:p w:rsidR="00000000" w:rsidRPr="00B43D9A" w:rsidP="00B43D9A">
            <w:pPr>
              <w:pStyle w:val="ListBullet"/>
            </w:pPr>
            <w:r w:rsidRPr="00B43D9A">
              <w:t>Suitable work environment, facilities, equipment and materials to undertake actual design of secondary isolation instructional documents</w:t>
            </w:r>
          </w:p>
          <w:p w:rsidR="00000000" w:rsidP="00B43D9A">
            <w:pPr>
              <w:pStyle w:val="ListBullet"/>
              <w:rPr>
                <w:lang w:val="en-NZ"/>
              </w:rPr>
            </w:pPr>
            <w:r w:rsidRPr="00B43D9A">
              <w:t>Operational access to relevant plant, protection or metering equipment, scheme drawings, manufacture's specifications/manuals and testing equipment.</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In addition to the resources listed above, in Context of and specific resources for assessment, eviden</w:t>
            </w:r>
            <w:r w:rsidRPr="00B43D9A">
              <w:t>ce should show demonstrated competency working in realistic environment and a variety of conditions.</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9</w:t>
            </w:r>
            <w:r w:rsidRPr="00B43D9A">
              <w:t>.</w:t>
            </w:r>
            <w:r w:rsidRPr="00B43D9A">
              <w:rPr>
                <w:rStyle w:val="SpecialBold"/>
              </w:rPr>
              <w:t>4</w:t>
            </w:r>
            <w:r w:rsidRPr="00B43D9A">
              <w:t xml:space="preserve">) </w:t>
            </w:r>
          </w:p>
          <w:p w:rsidR="00000000" w:rsidRPr="00B43D9A" w:rsidP="00B43D9A">
            <w:pPr>
              <w:pStyle w:val="BodyText"/>
            </w:pPr>
            <w:r w:rsidRPr="00B43D9A">
              <w:t>This Competency Standard Unit shall be assessed by methods given in Volume 1, Part 3 "Assessment Guidelines".</w:t>
            </w:r>
          </w:p>
          <w:p w:rsidR="00000000" w:rsidP="00B43D9A">
            <w:pPr>
              <w:pStyle w:val="BodyText"/>
              <w:rPr>
                <w:lang w:val="en-NZ"/>
              </w:rPr>
            </w:pPr>
            <w:r w:rsidRPr="00B43D9A">
              <w:t>Note:</w:t>
            </w:r>
            <w:r w:rsidRPr="00B43D9A">
              <w:br/>
            </w:r>
            <w:r w:rsidRPr="00B43D9A">
              <w:t>Competent performance with inherent safe working practices is expected in the Transmission, Distribution and Rail Traction Industry. This requires that the specified essential knowledge and associated skills are assessed in a structured environment which i</w:t>
            </w:r>
            <w:r w:rsidRPr="00B43D9A">
              <w:t>s primarily intended for learning/assessment and incorporates all necessary equipment and facilities for learners to develop and demonstrate the essential knowledge and associated skills described in this unit.</w:t>
            </w:r>
          </w:p>
        </w:tc>
      </w:tr>
      <w:tr w:rsidTr="00644AB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Concurrent assessment and relationship wi</w:t>
            </w:r>
            <w:r w:rsidRPr="00B43D9A">
              <w:rPr>
                <w:rStyle w:val="SpecialBold"/>
              </w:rPr>
              <w:t>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9</w:t>
            </w:r>
            <w:r w:rsidRPr="00B43D9A">
              <w:t>.</w:t>
            </w:r>
            <w:r w:rsidRPr="00B43D9A">
              <w:rPr>
                <w:rStyle w:val="SpecialBold"/>
              </w:rPr>
              <w:t>5</w:t>
            </w:r>
            <w:r w:rsidRPr="00B43D9A">
              <w:t>)</w:t>
            </w:r>
          </w:p>
        </w:tc>
      </w:tr>
      <w:tr w:rsidTr="00644AB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There are no concurrent assessment recommendations for this unit.</w:t>
            </w:r>
          </w:p>
        </w:tc>
      </w:tr>
    </w:tbl>
    <w:p w:rsidR="00644AB8" w:rsidP="00B43D9A">
      <w:pPr>
        <w:pStyle w:val="BodyText"/>
      </w:pPr>
    </w:p>
    <w:p w:rsidR="00644AB8" w:rsidP="00B43D9A">
      <w:pPr>
        <w:pStyle w:val="BodyText"/>
      </w:pPr>
    </w:p>
    <w:p w:rsidR="00000000" w:rsidRPr="00B43D9A" w:rsidP="00B43D9A">
      <w:pPr>
        <w:pStyle w:val="Heading1"/>
      </w:pPr>
      <w:bookmarkStart w:id="11" w:name="O_256261"/>
      <w:bookmarkEnd w:id="11"/>
      <w:r w:rsidRPr="00B43D9A">
        <w:t>Range Statement</w:t>
      </w:r>
    </w:p>
    <w:tbl>
      <w:tblPr>
        <w:tblW w:w="0" w:type="auto"/>
        <w:tblLayout w:type="fixed"/>
        <w:tblCellMar>
          <w:left w:w="62" w:type="dxa"/>
          <w:right w:w="62" w:type="dxa"/>
        </w:tblCellMar>
        <w:tblLook w:val="0000"/>
      </w:tblPr>
      <w:tblGrid>
        <w:gridCol w:w="2207"/>
        <w:gridCol w:w="6433"/>
      </w:tblGrid>
      <w:tr w:rsidTr="00644AB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RANGE STATEMENT</w:t>
            </w:r>
          </w:p>
        </w:tc>
      </w:tr>
      <w:tr w:rsidTr="00644AB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8</w:t>
            </w:r>
            <w:r w:rsidRPr="00B43D9A">
              <w:t xml:space="preserve">) This relates to the unit of competency as a whole providing the range of contexts and conditions </w:t>
            </w:r>
            <w:r w:rsidRPr="00B43D9A">
              <w:t>to which the Performance Criteria apply. It allows for different work environments and situations that will affect performance.</w:t>
            </w:r>
          </w:p>
        </w:tc>
      </w:tr>
      <w:tr w:rsidTr="00644AB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This Competency Standard Unit shall/may be demonstrated in relation to the design of secondary isolation instructional documen</w:t>
            </w:r>
            <w:r w:rsidRPr="00B43D9A">
              <w:t>ts.</w:t>
            </w:r>
          </w:p>
          <w:p w:rsidR="00000000" w:rsidRPr="00B43D9A" w:rsidP="00B43D9A">
            <w:pPr>
              <w:pStyle w:val="BodyText"/>
            </w:pPr>
            <w:r w:rsidRPr="00B43D9A">
              <w:t>Tests may include: DC/AC measurements, error, continuity, noise level, return loss, spectrum analysis, radio on receiver sensibility, surveys - mobile phones/pager, end to end, line levels both in and out, transmitter power, transmitter frequency, tran</w:t>
            </w:r>
            <w:r w:rsidRPr="00B43D9A">
              <w:t>smitter deviation, receiver frequency and sensitivity, level and quality of demodulated output - audio/bit error rate, antenna sweep measurements, power and environmental conditions including emergency power plant.</w:t>
            </w:r>
          </w:p>
          <w:p w:rsidR="00000000" w:rsidRPr="00B43D9A" w:rsidP="00B43D9A">
            <w:pPr>
              <w:pStyle w:val="BodyText"/>
            </w:pPr>
            <w:r w:rsidRPr="00B43D9A">
              <w:t>Diagnostic, testing and restoration may i</w:t>
            </w:r>
            <w:r w:rsidRPr="00B43D9A">
              <w:t>nvolve: Appropriate documentation relating to the protection device; Voltage, current and resistance measuring instruments; Microprocessor based diagnostic test equipment; Laptop computer and diagnostic software; Loop control test instruments.</w:t>
            </w:r>
          </w:p>
          <w:p w:rsidR="00000000" w:rsidRPr="00B43D9A" w:rsidP="00B43D9A">
            <w:pPr>
              <w:pStyle w:val="BodyText"/>
            </w:pPr>
            <w:r w:rsidRPr="00B43D9A">
              <w:t>Complex test</w:t>
            </w:r>
            <w:r w:rsidRPr="00B43D9A">
              <w:t>ing refers to dielectric dissipation factors tests, partial discharge, applied and induced HV tests, CT and VT accuracy tests (calibration), watts loss, ratio confirmation tests, tests on interconnected equipment, sf6 tests.</w:t>
            </w:r>
          </w:p>
          <w:p w:rsidR="00000000" w:rsidRPr="00B43D9A" w:rsidP="00B43D9A">
            <w:pPr>
              <w:pStyle w:val="BodyText"/>
            </w:pPr>
            <w:r w:rsidRPr="00B43D9A">
              <w:t>Testing and recording equipment</w:t>
            </w:r>
            <w:r w:rsidRPr="00B43D9A">
              <w:t xml:space="preserve"> could include: Digital bearer test equipment; Voice frequency analysers; RF mounting equipment; RF spectrum equipment; Multimeters; Communication testers; Transmission measuring sets; Directional couplers; Laptop computers.</w:t>
            </w:r>
          </w:p>
          <w:p w:rsidR="00000000" w:rsidRPr="00B43D9A" w:rsidP="00B43D9A">
            <w:pPr>
              <w:pStyle w:val="BodyText"/>
            </w:pPr>
            <w:r w:rsidRPr="00B43D9A">
              <w:t>Test and recording equipment ma</w:t>
            </w:r>
            <w:r w:rsidRPr="00B43D9A">
              <w:t>y include: Infrascan equipment; Phasing equipment; Recording meters; Trend monitoring equipment; Condition monitoring equipment; Diagnostic testing devices using computer hardware and software; Taplon sticks; Insulation and continuity test instruments; Vol</w:t>
            </w:r>
            <w:r w:rsidRPr="00B43D9A">
              <w:t>tage, resistance and current testers; Ductors; Ratio meters; Earth systems testing devices; Capacitor bridge meters; Doble Test sets devices; High voltage alternating current test sets; Scope meters; Clip on ammeters; Test plans for automatic relay testing</w:t>
            </w:r>
            <w:r w:rsidRPr="00B43D9A">
              <w:t xml:space="preserve"> SCADA systems used for developing and evaluating voltage regulation systems, circuit breaker reclosing systems, VAR's monitoring and similar computer controlled diagnostic testing and recording.</w:t>
            </w:r>
          </w:p>
          <w:p w:rsidR="00000000" w:rsidRPr="00B43D9A" w:rsidP="00B43D9A">
            <w:pPr>
              <w:pStyle w:val="BodyText"/>
            </w:pPr>
            <w:r w:rsidRPr="00B43D9A">
              <w:t>Test and recording equipment may include: AC/DC test sets; I</w:t>
            </w:r>
            <w:r w:rsidRPr="00B43D9A">
              <w:t>R testers; earth resistance meters; cable fault location equipment; circuit breaker timers; recording equipment; devices utilising computer hardware and software; oil dielectric strength equipment; trend monitoring equipment; infrared thermographic equipme</w:t>
            </w:r>
            <w:r w:rsidRPr="00B43D9A">
              <w:t>nt; schering bridge; partial discharge test equipment; double insulation test set; primary injection test sets; CT and VT calibration equipment and sf6 leakage testers.</w:t>
            </w:r>
          </w:p>
          <w:p w:rsidR="00000000" w:rsidRPr="00B43D9A" w:rsidP="00B43D9A">
            <w:pPr>
              <w:pStyle w:val="BodyText"/>
            </w:pPr>
            <w:r w:rsidRPr="00B43D9A">
              <w:t>Computerised test equipment work may include, for example: Secondary injection test set</w:t>
            </w:r>
            <w:r w:rsidRPr="00B43D9A">
              <w:t>s, primary test sets, insulation test sets, timing test sets, Circuit beaker test sets, magnetic test sets.</w:t>
            </w:r>
          </w:p>
          <w:p w:rsidR="00000000" w:rsidP="00B43D9A">
            <w:pPr>
              <w:pStyle w:val="BodyText"/>
              <w:rPr>
                <w:lang w:val="en-NZ"/>
              </w:rPr>
            </w:pPr>
            <w:r w:rsidRPr="00B43D9A">
              <w:t xml:space="preserve">The following constants and variables included in the element/Performance Criteria in this unit are fully described in the Definitions Section 1 of </w:t>
            </w:r>
            <w:r w:rsidRPr="00B43D9A">
              <w:t>this volume and form an integral part of the Range Statement of this unit:</w:t>
            </w:r>
          </w:p>
        </w:tc>
      </w:tr>
      <w:tr w:rsidTr="00644AB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B43D9A" w:rsidP="00B43D9A">
            <w:pPr>
              <w:pStyle w:val="ListBullet"/>
            </w:pPr>
            <w:r w:rsidRPr="00B43D9A">
              <w:t>Appropriate and relevant persons (see Personnel)</w:t>
            </w:r>
          </w:p>
          <w:p w:rsidR="00000000" w:rsidRPr="00B43D9A" w:rsidP="00B43D9A">
            <w:pPr>
              <w:pStyle w:val="ListBullet"/>
            </w:pPr>
            <w:r w:rsidRPr="00B43D9A">
              <w:t>Appropriate authorities</w:t>
            </w:r>
          </w:p>
          <w:p w:rsidR="00000000" w:rsidRPr="00B43D9A" w:rsidP="00B43D9A">
            <w:pPr>
              <w:pStyle w:val="ListBullet"/>
            </w:pPr>
            <w:r w:rsidRPr="00B43D9A">
              <w:t>Appropriate work platform</w:t>
            </w:r>
          </w:p>
          <w:p w:rsidR="00000000" w:rsidRPr="00B43D9A" w:rsidP="00B43D9A">
            <w:pPr>
              <w:pStyle w:val="ListBullet"/>
            </w:pPr>
            <w:r w:rsidRPr="00B43D9A">
              <w:t>Assessing risk</w:t>
            </w:r>
          </w:p>
          <w:p w:rsidR="00000000" w:rsidRPr="00B43D9A" w:rsidP="00B43D9A">
            <w:pPr>
              <w:pStyle w:val="ListBullet"/>
            </w:pPr>
            <w:r w:rsidRPr="00B43D9A">
              <w:t>Assessment</w:t>
            </w:r>
          </w:p>
          <w:p w:rsidR="00000000" w:rsidRPr="00B43D9A" w:rsidP="00B43D9A">
            <w:pPr>
              <w:pStyle w:val="ListBullet"/>
            </w:pPr>
            <w:r w:rsidRPr="00B43D9A">
              <w:t>Authorisation</w:t>
            </w:r>
          </w:p>
          <w:p w:rsidR="00000000" w:rsidRPr="00B43D9A" w:rsidP="00B43D9A">
            <w:pPr>
              <w:pStyle w:val="ListBullet"/>
            </w:pPr>
            <w:r w:rsidRPr="00B43D9A">
              <w:t>Confined space</w:t>
            </w:r>
          </w:p>
          <w:p w:rsidR="00000000" w:rsidRPr="00B43D9A" w:rsidP="00B43D9A">
            <w:pPr>
              <w:pStyle w:val="ListBullet"/>
            </w:pPr>
            <w:r w:rsidRPr="00B43D9A">
              <w:t>Diagnostic, testing and restoration</w:t>
            </w:r>
          </w:p>
          <w:p w:rsidR="00000000" w:rsidRPr="00B43D9A" w:rsidP="00B43D9A">
            <w:pPr>
              <w:pStyle w:val="ListBullet"/>
            </w:pPr>
            <w:r w:rsidRPr="00B43D9A">
              <w:t>Documenting detail work events, record keeping and or storage of information</w:t>
            </w:r>
          </w:p>
          <w:p w:rsidR="00000000" w:rsidRPr="00B43D9A" w:rsidP="00B43D9A">
            <w:pPr>
              <w:pStyle w:val="ListBullet"/>
            </w:pPr>
            <w:r w:rsidRPr="00B43D9A">
              <w:t>Drawings and specifications</w:t>
            </w:r>
          </w:p>
          <w:p w:rsidR="00000000" w:rsidRPr="00B43D9A" w:rsidP="00B43D9A">
            <w:pPr>
              <w:pStyle w:val="ListBullet"/>
            </w:pPr>
            <w:r w:rsidRPr="00B43D9A">
              <w:t>Emergency</w:t>
            </w:r>
          </w:p>
          <w:p w:rsidR="00000000" w:rsidRPr="00B43D9A" w:rsidP="00B43D9A">
            <w:pPr>
              <w:pStyle w:val="ListBullet"/>
            </w:pPr>
            <w:r w:rsidRPr="00B43D9A">
              <w:t>Environmental and sustainable energy procedures</w:t>
            </w:r>
          </w:p>
          <w:p w:rsidR="00000000" w:rsidRPr="00B43D9A" w:rsidP="00B43D9A">
            <w:pPr>
              <w:pStyle w:val="ListBullet"/>
            </w:pPr>
            <w:r w:rsidRPr="00B43D9A">
              <w:t>Environmental legislation</w:t>
            </w:r>
          </w:p>
          <w:p w:rsidR="00000000" w:rsidRPr="00B43D9A" w:rsidP="00B43D9A">
            <w:pPr>
              <w:pStyle w:val="ListBullet"/>
            </w:pPr>
            <w:r w:rsidRPr="00B43D9A">
              <w:t>Environmental management docume</w:t>
            </w:r>
            <w:r w:rsidRPr="00B43D9A">
              <w:t>ntation</w:t>
            </w:r>
          </w:p>
          <w:p w:rsidR="00000000" w:rsidRPr="00B43D9A" w:rsidP="00B43D9A">
            <w:pPr>
              <w:pStyle w:val="ListBullet"/>
            </w:pPr>
            <w:r w:rsidRPr="00B43D9A">
              <w:t>Established procedures</w:t>
            </w:r>
          </w:p>
          <w:p w:rsidR="00000000" w:rsidRPr="00B43D9A" w:rsidP="00B43D9A">
            <w:pPr>
              <w:pStyle w:val="ListBullet"/>
            </w:pPr>
            <w:r w:rsidRPr="00B43D9A">
              <w:t>Fall prevention</w:t>
            </w:r>
          </w:p>
          <w:p w:rsidR="00000000" w:rsidRPr="00B43D9A" w:rsidP="00B43D9A">
            <w:pPr>
              <w:pStyle w:val="ListBullet"/>
            </w:pPr>
            <w:r w:rsidRPr="00B43D9A">
              <w:t>Hazards</w:t>
            </w:r>
          </w:p>
          <w:p w:rsidR="00000000" w:rsidRPr="00B43D9A" w:rsidP="00B43D9A">
            <w:pPr>
              <w:pStyle w:val="ListBullet"/>
            </w:pPr>
            <w:r w:rsidRPr="00B43D9A">
              <w:t>Identifying hazards</w:t>
            </w:r>
          </w:p>
          <w:p w:rsidR="00000000" w:rsidRPr="00B43D9A" w:rsidP="00B43D9A">
            <w:pPr>
              <w:pStyle w:val="ListBullet"/>
            </w:pPr>
            <w:r w:rsidRPr="00B43D9A">
              <w:t>Inspect</w:t>
            </w:r>
          </w:p>
          <w:p w:rsidR="00000000" w:rsidRPr="00B43D9A" w:rsidP="00B43D9A">
            <w:pPr>
              <w:pStyle w:val="ListBullet"/>
            </w:pPr>
            <w:r w:rsidRPr="00B43D9A">
              <w:t>Legislation</w:t>
            </w:r>
          </w:p>
          <w:p w:rsidR="00000000" w:rsidRPr="00B43D9A" w:rsidP="00B43D9A">
            <w:pPr>
              <w:pStyle w:val="ListBullet"/>
            </w:pPr>
            <w:r w:rsidRPr="00B43D9A">
              <w:t>MSDS</w:t>
            </w:r>
          </w:p>
          <w:p w:rsidR="00000000" w:rsidRPr="00B43D9A" w:rsidP="00B43D9A">
            <w:pPr>
              <w:pStyle w:val="ListBullet"/>
            </w:pPr>
            <w:r w:rsidRPr="00B43D9A">
              <w:t>Notification</w:t>
            </w:r>
          </w:p>
          <w:p w:rsidR="00000000" w:rsidRPr="00B43D9A" w:rsidP="00B43D9A">
            <w:pPr>
              <w:pStyle w:val="ListBullet"/>
            </w:pPr>
            <w:r w:rsidRPr="00B43D9A">
              <w:t>OHS practices</w:t>
            </w:r>
          </w:p>
          <w:p w:rsidR="00000000" w:rsidRPr="00B43D9A" w:rsidP="00B43D9A">
            <w:pPr>
              <w:pStyle w:val="ListBullet"/>
            </w:pPr>
            <w:r w:rsidRPr="00B43D9A">
              <w:t>OHS issues</w:t>
            </w:r>
          </w:p>
          <w:p w:rsidR="00000000" w:rsidRPr="00B43D9A" w:rsidP="00B43D9A">
            <w:pPr>
              <w:pStyle w:val="ListBullet"/>
            </w:pPr>
            <w:r w:rsidRPr="00B43D9A">
              <w:t>Permits and/or permits to work</w:t>
            </w:r>
          </w:p>
          <w:p w:rsidR="00000000" w:rsidRPr="00B43D9A" w:rsidP="00B43D9A">
            <w:pPr>
              <w:pStyle w:val="ListBullet"/>
            </w:pPr>
            <w:r w:rsidRPr="00B43D9A">
              <w:t>Personnel</w:t>
            </w:r>
          </w:p>
          <w:p w:rsidR="00000000" w:rsidRPr="00B43D9A" w:rsidP="00B43D9A">
            <w:pPr>
              <w:pStyle w:val="ListBullet"/>
            </w:pPr>
            <w:r w:rsidRPr="00B43D9A">
              <w:t>Quality assurance systems</w:t>
            </w:r>
          </w:p>
          <w:p w:rsidR="00000000" w:rsidRPr="00B43D9A" w:rsidP="00B43D9A">
            <w:pPr>
              <w:pStyle w:val="ListBullet"/>
            </w:pPr>
            <w:r w:rsidRPr="00B43D9A">
              <w:t>Requirements</w:t>
            </w:r>
          </w:p>
          <w:p w:rsidR="00000000" w:rsidRPr="00B43D9A" w:rsidP="00B43D9A">
            <w:pPr>
              <w:pStyle w:val="ListBullet"/>
            </w:pPr>
            <w:r w:rsidRPr="00B43D9A">
              <w:t>Testing procedures</w:t>
            </w:r>
          </w:p>
          <w:p w:rsidR="00000000" w:rsidRPr="00B43D9A" w:rsidP="00B43D9A">
            <w:pPr>
              <w:pStyle w:val="ListBullet"/>
            </w:pPr>
            <w:r w:rsidRPr="00B43D9A">
              <w:t>Work clearance systems</w:t>
            </w:r>
          </w:p>
        </w:tc>
      </w:tr>
    </w:tbl>
    <w:p w:rsidR="00644AB8" w:rsidP="00B43D9A">
      <w:pPr>
        <w:pStyle w:val="BodyText"/>
      </w:pPr>
    </w:p>
    <w:p w:rsidR="00644AB8" w:rsidP="00B43D9A">
      <w:pPr>
        <w:pStyle w:val="BodyText"/>
      </w:pPr>
    </w:p>
    <w:p w:rsidR="00000000" w:rsidRPr="00B43D9A" w:rsidP="00B43D9A">
      <w:pPr>
        <w:pStyle w:val="Heading1"/>
      </w:pPr>
      <w:bookmarkStart w:id="12" w:name="O_297274"/>
      <w:bookmarkEnd w:id="12"/>
      <w:r w:rsidRPr="00B43D9A">
        <w:t>Unit Sector(s)</w:t>
      </w:r>
    </w:p>
    <w:p w:rsidR="00000000" w:rsidRPr="00B43D9A" w:rsidP="00B43D9A">
      <w:pPr>
        <w:pStyle w:val="BodyText"/>
      </w:pPr>
      <w:r w:rsidRPr="00B43D9A">
        <w:t>Not Applicable</w:t>
      </w:r>
    </w:p>
    <w:p w:rsidR="00000000" w:rsidRPr="00B43D9A" w:rsidP="00B43D9A">
      <w:pPr>
        <w:pStyle w:val="AllowPageBreak"/>
      </w:pPr>
    </w:p>
    <w:p w:rsidR="00000000" w:rsidRPr="00B43D9A" w:rsidP="00B43D9A">
      <w:pPr>
        <w:pStyle w:val="Heading1"/>
      </w:pPr>
      <w:bookmarkStart w:id="13" w:name="O_232211"/>
      <w:bookmarkEnd w:id="13"/>
      <w:r w:rsidRPr="00B43D9A">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644AB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2</w:t>
            </w:r>
            <w:r w:rsidRPr="00B43D9A">
              <w:t>.</w:t>
            </w:r>
            <w:r w:rsidRPr="00B43D9A">
              <w:rPr>
                <w:rStyle w:val="SpecialBold"/>
              </w:rPr>
              <w:t>2</w:t>
            </w:r>
            <w:r w:rsidRPr="00B43D9A">
              <w:t xml:space="preserve">) </w:t>
            </w:r>
            <w:r w:rsidRPr="00B43D9A">
              <w:rPr>
                <w:rStyle w:val="SpecialBold"/>
              </w:rPr>
              <w:t>Literacy and numeracy skills</w:t>
            </w:r>
          </w:p>
          <w:p w:rsidR="00000000" w:rsidP="00B43D9A">
            <w:pPr>
              <w:pStyle w:val="BodyText"/>
              <w:rPr>
                <w:lang w:val="en-NZ"/>
              </w:rPr>
            </w:pPr>
            <w:r w:rsidRPr="00B43D9A">
              <w:t>Participants are best equipped to achieve this unit if they have reading, writing and numeracy skills indicated by the following scales. Description of each scale is given in Volume 2, Part 3 "Literacy and Numeracy"</w:t>
            </w:r>
          </w:p>
        </w:tc>
      </w:tr>
      <w:tr w:rsidTr="00644AB8">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Reading</w:t>
            </w:r>
          </w:p>
        </w:tc>
        <w:tc>
          <w:tcPr>
            <w:tcW w:w="1207"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5</w:t>
            </w:r>
          </w:p>
        </w:tc>
        <w:tc>
          <w:tcPr>
            <w:tcW w:w="1776"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Writing</w:t>
            </w:r>
          </w:p>
        </w:tc>
        <w:tc>
          <w:tcPr>
            <w:tcW w:w="1207"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5</w:t>
            </w:r>
          </w:p>
        </w:tc>
        <w:tc>
          <w:tcPr>
            <w:tcW w:w="1758"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t>Numeracy</w:t>
            </w:r>
          </w:p>
        </w:tc>
        <w:tc>
          <w:tcPr>
            <w:tcW w:w="1207"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5</w:t>
            </w:r>
          </w:p>
        </w:tc>
      </w:tr>
    </w:tbl>
    <w:p w:rsidR="00644AB8" w:rsidP="00B43D9A">
      <w:pPr>
        <w:pStyle w:val="BodyText"/>
      </w:pPr>
    </w:p>
    <w:p w:rsidR="00644AB8" w:rsidP="00B43D9A">
      <w:pPr>
        <w:pStyle w:val="BodyText"/>
      </w:pPr>
    </w:p>
    <w:p w:rsidR="00000000" w:rsidRPr="00B43D9A" w:rsidP="00B43D9A">
      <w:pPr>
        <w:pStyle w:val="Heading1"/>
      </w:pPr>
      <w:bookmarkStart w:id="14" w:name="O_232214"/>
      <w:bookmarkEnd w:id="14"/>
      <w:r w:rsidRPr="00B43D9A">
        <w:t>Competency Field</w:t>
      </w:r>
    </w:p>
    <w:tbl>
      <w:tblPr>
        <w:tblW w:w="0" w:type="auto"/>
        <w:tblLayout w:type="fixed"/>
        <w:tblCellMar>
          <w:left w:w="62" w:type="dxa"/>
          <w:right w:w="62" w:type="dxa"/>
        </w:tblCellMar>
        <w:tblLook w:val="0000"/>
      </w:tblPr>
      <w:tblGrid>
        <w:gridCol w:w="2758"/>
        <w:gridCol w:w="5882"/>
      </w:tblGrid>
      <w:tr w:rsidTr="00644AB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B43D9A">
            <w:pPr>
              <w:pStyle w:val="BodyText"/>
              <w:rPr>
                <w:lang w:val="en-NZ"/>
              </w:rPr>
            </w:pPr>
            <w:r w:rsidRPr="00B43D9A">
              <w:rPr>
                <w:rStyle w:val="SpecialBold"/>
              </w:rPr>
              <w:t>5</w:t>
            </w:r>
            <w:r w:rsidRPr="00B43D9A">
              <w:t>)</w:t>
            </w:r>
          </w:p>
        </w:tc>
      </w:tr>
      <w:tr w:rsidTr="00644AB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43D9A" w:rsidP="00B43D9A">
            <w:pPr>
              <w:pStyle w:val="BodyText"/>
            </w:pPr>
            <w:r w:rsidRPr="00B43D9A">
              <w:t>Testing Units</w:t>
            </w:r>
          </w:p>
        </w:tc>
      </w:tr>
    </w:tbl>
    <w:p w:rsidR="00644AB8" w:rsidP="00B43D9A">
      <w:pPr>
        <w:pStyle w:val="BodyText"/>
      </w:pPr>
    </w:p>
    <w:p w:rsidR="00644AB8" w:rsidP="00B43D9A">
      <w:pPr>
        <w:pStyle w:val="BodyText"/>
      </w:pPr>
    </w:p>
    <w:p w:rsidR="00000000" w:rsidRPr="00B43D9A" w:rsidP="00B43D9A"/>
    <w:sectPr w:rsidSect="00B43D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AB8" w:rsidP="00644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B8" w:rsidP="00B43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44AB8" w:rsidP="00B43D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44AB8" w:rsidP="00B43D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AB8" w:rsidP="00644A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B8" w:rsidP="00B43D9A">
    <w:pPr>
      <w:pStyle w:val="Header"/>
      <w:framePr w:wrap="around"/>
    </w:pPr>
    <w:r>
      <w:fldChar w:fldCharType="begin"/>
    </w:r>
    <w:r>
      <w:instrText xml:space="preserve"> TITLE   \* MERGEFORMAT </w:instrText>
    </w:r>
    <w:r>
      <w:fldChar w:fldCharType="separate"/>
    </w:r>
    <w:r>
      <w:t>UETTDRTS10B Design secondary isolation instructional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4AB8" w:rsidP="00B43D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F05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89D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D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D9A"/>
    <w:pPr>
      <w:spacing w:before="360" w:after="60"/>
      <w:outlineLvl w:val="0"/>
    </w:pPr>
    <w:rPr>
      <w:sz w:val="32"/>
    </w:rPr>
  </w:style>
  <w:style w:type="paragraph" w:styleId="Heading2">
    <w:name w:val="heading 2"/>
    <w:basedOn w:val="HeadingBase"/>
    <w:next w:val="BodyText"/>
    <w:link w:val="Heading2Char"/>
    <w:qFormat/>
    <w:rsid w:val="00B43D9A"/>
    <w:pPr>
      <w:keepLines/>
      <w:spacing w:before="240" w:after="120"/>
      <w:outlineLvl w:val="1"/>
    </w:pPr>
    <w:rPr>
      <w:sz w:val="28"/>
      <w:szCs w:val="40"/>
    </w:rPr>
  </w:style>
  <w:style w:type="paragraph" w:styleId="Heading3">
    <w:name w:val="heading 3"/>
    <w:basedOn w:val="HeadingBase"/>
    <w:next w:val="BodyText"/>
    <w:link w:val="Heading3Char"/>
    <w:qFormat/>
    <w:rsid w:val="00B43D9A"/>
    <w:pPr>
      <w:spacing w:before="180" w:after="120"/>
      <w:outlineLvl w:val="2"/>
    </w:pPr>
    <w:rPr>
      <w:spacing w:val="-10"/>
      <w:kern w:val="32"/>
    </w:rPr>
  </w:style>
  <w:style w:type="paragraph" w:styleId="Heading4">
    <w:name w:val="heading 4"/>
    <w:basedOn w:val="HeadingBase"/>
    <w:next w:val="BodyText"/>
    <w:link w:val="Heading4Char"/>
    <w:qFormat/>
    <w:rsid w:val="00B43D9A"/>
    <w:pPr>
      <w:spacing w:before="160" w:after="120"/>
      <w:outlineLvl w:val="3"/>
    </w:pPr>
    <w:rPr>
      <w:sz w:val="22"/>
    </w:rPr>
  </w:style>
  <w:style w:type="paragraph" w:styleId="Heading5">
    <w:name w:val="heading 5"/>
    <w:basedOn w:val="HeadingBase"/>
    <w:next w:val="Normal"/>
    <w:link w:val="Heading5Char"/>
    <w:qFormat/>
    <w:rsid w:val="00B43D9A"/>
    <w:pPr>
      <w:spacing w:before="80"/>
      <w:outlineLvl w:val="4"/>
    </w:pPr>
    <w:rPr>
      <w:color w:val="918585"/>
      <w:sz w:val="20"/>
    </w:rPr>
  </w:style>
  <w:style w:type="paragraph" w:styleId="Heading6">
    <w:name w:val="heading 6"/>
    <w:basedOn w:val="HeadingBase"/>
    <w:next w:val="Normal"/>
    <w:link w:val="Heading6Char"/>
    <w:qFormat/>
    <w:rsid w:val="00B43D9A"/>
    <w:pPr>
      <w:spacing w:before="60"/>
      <w:outlineLvl w:val="5"/>
    </w:pPr>
    <w:rPr>
      <w:color w:val="918585"/>
      <w:sz w:val="20"/>
    </w:rPr>
  </w:style>
  <w:style w:type="paragraph" w:styleId="Heading7">
    <w:name w:val="heading 7"/>
    <w:basedOn w:val="Normal"/>
    <w:next w:val="Normal"/>
    <w:link w:val="Heading7Char"/>
    <w:qFormat/>
    <w:rsid w:val="00B43D9A"/>
    <w:pPr>
      <w:ind w:left="720"/>
      <w:outlineLvl w:val="6"/>
    </w:pPr>
    <w:rPr>
      <w:i/>
    </w:rPr>
  </w:style>
  <w:style w:type="paragraph" w:styleId="Heading8">
    <w:name w:val="heading 8"/>
    <w:basedOn w:val="Normal"/>
    <w:next w:val="Normal"/>
    <w:link w:val="Heading8Char"/>
    <w:qFormat/>
    <w:rsid w:val="00B43D9A"/>
    <w:pPr>
      <w:ind w:left="720"/>
      <w:outlineLvl w:val="7"/>
    </w:pPr>
    <w:rPr>
      <w:i/>
    </w:rPr>
  </w:style>
  <w:style w:type="paragraph" w:styleId="Heading9">
    <w:name w:val="heading 9"/>
    <w:basedOn w:val="Normal"/>
    <w:next w:val="Normal"/>
    <w:link w:val="Heading9Char"/>
    <w:qFormat/>
    <w:rsid w:val="00B43D9A"/>
    <w:pPr>
      <w:ind w:left="720"/>
      <w:outlineLvl w:val="8"/>
    </w:pPr>
    <w:rPr>
      <w:i/>
    </w:rPr>
  </w:style>
  <w:style w:type="character" w:default="1" w:styleId="DefaultParagraphFont">
    <w:name w:val="Default Paragraph Font"/>
    <w:uiPriority w:val="1"/>
    <w:unhideWhenUsed/>
    <w:rsid w:val="00B43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D9A"/>
  </w:style>
  <w:style w:type="character" w:customStyle="1" w:styleId="Heading1Char">
    <w:name w:val="Heading 1 Char"/>
    <w:basedOn w:val="DefaultParagraphFont"/>
    <w:link w:val="Heading1"/>
    <w:rsid w:val="00B43D9A"/>
    <w:rPr>
      <w:rFonts w:ascii="Times New Roman" w:eastAsia="Times New Roman" w:hAnsi="Times New Roman" w:cs="Times New Roman"/>
      <w:b/>
      <w:sz w:val="32"/>
      <w:szCs w:val="20"/>
      <w:lang w:eastAsia="en-US"/>
    </w:rPr>
  </w:style>
  <w:style w:type="paragraph" w:styleId="BodyText">
    <w:name w:val="Body Text"/>
    <w:basedOn w:val="Normal"/>
    <w:link w:val="BodyTextChar"/>
    <w:rsid w:val="00B43D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D9A"/>
    <w:rPr>
      <w:rFonts w:ascii="Times New Roman" w:eastAsia="Times New Roman" w:hAnsi="Times New Roman" w:cs="Times New Roman"/>
      <w:sz w:val="24"/>
      <w:lang w:val="en-US" w:eastAsia="en-US"/>
    </w:rPr>
  </w:style>
  <w:style w:type="paragraph" w:styleId="Footer">
    <w:name w:val="footer"/>
    <w:basedOn w:val="Normal"/>
    <w:link w:val="FooterChar"/>
    <w:rsid w:val="00B43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D9A"/>
    <w:rPr>
      <w:rFonts w:ascii="Times New Roman" w:eastAsia="Times New Roman" w:hAnsi="Times New Roman" w:cs="Times New Roman"/>
      <w:sz w:val="16"/>
      <w:lang w:val="en-US" w:eastAsia="en-US"/>
    </w:rPr>
  </w:style>
  <w:style w:type="paragraph" w:styleId="ListBullet">
    <w:name w:val="List Bullet"/>
    <w:basedOn w:val="List"/>
    <w:rsid w:val="00B43D9A"/>
    <w:pPr>
      <w:numPr>
        <w:numId w:val="12"/>
      </w:numPr>
      <w:tabs>
        <w:tab w:val="clear" w:pos="340"/>
      </w:tabs>
      <w:spacing w:before="40" w:after="40"/>
    </w:pPr>
  </w:style>
  <w:style w:type="character" w:customStyle="1" w:styleId="SpecialBold">
    <w:name w:val="Special Bold"/>
    <w:basedOn w:val="DefaultParagraphFont"/>
    <w:rsid w:val="00B43D9A"/>
    <w:rPr>
      <w:b/>
      <w:spacing w:val="0"/>
    </w:rPr>
  </w:style>
  <w:style w:type="paragraph" w:styleId="Header">
    <w:name w:val="header"/>
    <w:basedOn w:val="Normal"/>
    <w:link w:val="HeaderChar"/>
    <w:rsid w:val="00B43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D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3D9A"/>
    <w:pPr>
      <w:spacing w:before="240" w:after="120"/>
      <w:outlineLvl w:val="0"/>
    </w:pPr>
    <w:rPr>
      <w:rFonts w:ascii="Times New Roman" w:hAnsi="Times New Roman"/>
      <w:b/>
      <w:sz w:val="28"/>
    </w:rPr>
  </w:style>
  <w:style w:type="paragraph" w:customStyle="1" w:styleId="AllowPageBreak">
    <w:name w:val="AllowPageBreak"/>
    <w:rsid w:val="00B43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D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D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D9A"/>
    <w:rPr>
      <w:rFonts w:ascii="Courier New" w:eastAsia="Times New Roman" w:hAnsi="Courier New" w:cs="Times New Roman"/>
      <w:i/>
      <w:szCs w:val="20"/>
      <w:lang w:val="en-US" w:eastAsia="en-US"/>
    </w:rPr>
  </w:style>
  <w:style w:type="paragraph" w:customStyle="1" w:styleId="HeadingBase">
    <w:name w:val="Heading Base"/>
    <w:rsid w:val="00B43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D9A"/>
    <w:pPr>
      <w:tabs>
        <w:tab w:val="right" w:leader="dot" w:pos="9072"/>
      </w:tabs>
      <w:ind w:left="567"/>
    </w:pPr>
    <w:rPr>
      <w:szCs w:val="22"/>
    </w:rPr>
  </w:style>
  <w:style w:type="paragraph" w:customStyle="1" w:styleId="TOCBase">
    <w:name w:val="TOC Base"/>
    <w:rsid w:val="00B43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D9A"/>
    <w:pPr>
      <w:tabs>
        <w:tab w:val="right" w:leader="dot" w:pos="9072"/>
      </w:tabs>
      <w:spacing w:before="40" w:after="40"/>
      <w:ind w:left="284"/>
    </w:pPr>
    <w:rPr>
      <w:rFonts w:ascii="Times New Roman" w:hAnsi="Times New Roman"/>
    </w:rPr>
  </w:style>
  <w:style w:type="paragraph" w:styleId="TOC1">
    <w:name w:val="toc 1"/>
    <w:basedOn w:val="TOCBase"/>
    <w:next w:val="Normal"/>
    <w:rsid w:val="00B43D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D9A"/>
    <w:pPr>
      <w:spacing w:before="5040"/>
      <w:jc w:val="center"/>
    </w:pPr>
    <w:rPr>
      <w:sz w:val="48"/>
      <w:szCs w:val="72"/>
      <w:lang w:val="en-US"/>
    </w:rPr>
  </w:style>
  <w:style w:type="character" w:customStyle="1" w:styleId="TitleChar">
    <w:name w:val="Title Char"/>
    <w:basedOn w:val="DefaultParagraphFont"/>
    <w:link w:val="Title"/>
    <w:rsid w:val="00B43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D9A"/>
    <w:pPr>
      <w:tabs>
        <w:tab w:val="left" w:pos="3600"/>
        <w:tab w:val="left" w:pos="3958"/>
      </w:tabs>
    </w:pPr>
  </w:style>
  <w:style w:type="paragraph" w:styleId="List">
    <w:name w:val="List"/>
    <w:basedOn w:val="BodyText"/>
    <w:next w:val="BodyText"/>
    <w:rsid w:val="00B43D9A"/>
    <w:pPr>
      <w:tabs>
        <w:tab w:val="left" w:pos="340"/>
      </w:tabs>
      <w:spacing w:before="60" w:after="60"/>
      <w:ind w:left="340" w:hanging="340"/>
    </w:pPr>
  </w:style>
  <w:style w:type="paragraph" w:customStyle="1" w:styleId="Note">
    <w:name w:val="Note"/>
    <w:basedOn w:val="BodyText"/>
    <w:rsid w:val="00B43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D9A"/>
    <w:pPr>
      <w:framePr w:wrap="auto" w:hAnchor="text" w:y="6049"/>
    </w:pPr>
    <w:rPr>
      <w:color w:val="000000"/>
      <w:sz w:val="40"/>
    </w:rPr>
  </w:style>
  <w:style w:type="paragraph" w:customStyle="1" w:styleId="TOCTitle">
    <w:name w:val="TOCTitle"/>
    <w:basedOn w:val="Heading1"/>
    <w:rsid w:val="00B43D9A"/>
    <w:pPr>
      <w:spacing w:after="240"/>
      <w:jc w:val="center"/>
      <w:outlineLvl w:val="9"/>
    </w:pPr>
    <w:rPr>
      <w:caps/>
    </w:rPr>
  </w:style>
  <w:style w:type="paragraph" w:customStyle="1" w:styleId="Version">
    <w:name w:val="Version"/>
    <w:rsid w:val="00B43D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D9A"/>
    <w:pPr>
      <w:numPr>
        <w:numId w:val="13"/>
      </w:numPr>
      <w:tabs>
        <w:tab w:val="clear" w:pos="680"/>
      </w:tabs>
    </w:pPr>
  </w:style>
  <w:style w:type="paragraph" w:styleId="Index1">
    <w:name w:val="index 1"/>
    <w:basedOn w:val="Normal"/>
    <w:next w:val="Normal"/>
    <w:semiHidden/>
    <w:rsid w:val="00B43D9A"/>
    <w:pPr>
      <w:keepNext w:val="0"/>
      <w:tabs>
        <w:tab w:val="right" w:pos="4176"/>
      </w:tabs>
      <w:ind w:left="198" w:hanging="198"/>
    </w:pPr>
    <w:rPr>
      <w:rFonts w:ascii="Garamond" w:hAnsi="Garamond"/>
    </w:rPr>
  </w:style>
  <w:style w:type="paragraph" w:styleId="IndexHeading">
    <w:name w:val="index heading"/>
    <w:basedOn w:val="Normal"/>
    <w:next w:val="Index1"/>
    <w:semiHidden/>
    <w:rsid w:val="00B43D9A"/>
    <w:pPr>
      <w:spacing w:before="120" w:after="120"/>
    </w:pPr>
    <w:rPr>
      <w:rFonts w:ascii="Arial" w:hAnsi="Arial"/>
      <w:b/>
      <w:color w:val="918585"/>
      <w:sz w:val="24"/>
    </w:rPr>
  </w:style>
  <w:style w:type="paragraph" w:customStyle="1" w:styleId="Chapter">
    <w:name w:val="Chapter"/>
    <w:basedOn w:val="Normal"/>
    <w:rsid w:val="00B43D9A"/>
    <w:pPr>
      <w:spacing w:before="240"/>
    </w:pPr>
    <w:rPr>
      <w:rFonts w:ascii="Times New Roman" w:hAnsi="Times New Roman"/>
      <w:smallCaps/>
      <w:spacing w:val="80"/>
      <w:sz w:val="28"/>
    </w:rPr>
  </w:style>
  <w:style w:type="paragraph" w:customStyle="1" w:styleId="InChapter">
    <w:name w:val="InChapter"/>
    <w:basedOn w:val="Heading3"/>
    <w:rsid w:val="00B43D9A"/>
    <w:pPr>
      <w:spacing w:after="240"/>
      <w:outlineLvl w:val="9"/>
    </w:pPr>
    <w:rPr>
      <w:noProof/>
    </w:rPr>
  </w:style>
  <w:style w:type="paragraph" w:styleId="Index2">
    <w:name w:val="index 2"/>
    <w:basedOn w:val="Normal"/>
    <w:next w:val="Normal"/>
    <w:semiHidden/>
    <w:rsid w:val="00B43D9A"/>
    <w:pPr>
      <w:tabs>
        <w:tab w:val="right" w:pos="4176"/>
      </w:tabs>
      <w:ind w:left="568" w:hanging="284"/>
    </w:pPr>
    <w:rPr>
      <w:rFonts w:ascii="Garamond" w:hAnsi="Garamond"/>
    </w:rPr>
  </w:style>
  <w:style w:type="paragraph" w:customStyle="1" w:styleId="Byline">
    <w:name w:val="Byline"/>
    <w:rsid w:val="00B43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D9A"/>
    <w:pPr>
      <w:tabs>
        <w:tab w:val="clear" w:pos="3600"/>
        <w:tab w:val="clear" w:pos="3958"/>
      </w:tabs>
      <w:jc w:val="right"/>
    </w:pPr>
  </w:style>
  <w:style w:type="character" w:styleId="Emphasis">
    <w:name w:val="Emphasis"/>
    <w:basedOn w:val="DefaultParagraphFont"/>
    <w:qFormat/>
    <w:rsid w:val="00B43D9A"/>
    <w:rPr>
      <w:i/>
    </w:rPr>
  </w:style>
  <w:style w:type="paragraph" w:styleId="Caption">
    <w:name w:val="caption"/>
    <w:basedOn w:val="BodyText"/>
    <w:next w:val="Normal"/>
    <w:qFormat/>
    <w:rsid w:val="00B43D9A"/>
    <w:pPr>
      <w:framePr w:w="2268" w:hSpace="181" w:vSpace="181" w:wrap="around" w:vAnchor="text" w:hAnchor="page" w:x="1135" w:y="285" w:anchorLock="1"/>
    </w:pPr>
    <w:rPr>
      <w:i/>
    </w:rPr>
  </w:style>
  <w:style w:type="paragraph" w:customStyle="1" w:styleId="MiniTOCTitle">
    <w:name w:val="MiniTOCTitle"/>
    <w:basedOn w:val="Heading4"/>
    <w:rsid w:val="00B43D9A"/>
    <w:pPr>
      <w:spacing w:before="240"/>
      <w:outlineLvl w:val="9"/>
    </w:pPr>
    <w:rPr>
      <w:noProof/>
      <w:sz w:val="24"/>
    </w:rPr>
  </w:style>
  <w:style w:type="paragraph" w:customStyle="1" w:styleId="MiniTOCItem">
    <w:name w:val="MiniTOCItem"/>
    <w:basedOn w:val="ListBullet"/>
    <w:rsid w:val="00B43D9A"/>
    <w:pPr>
      <w:numPr>
        <w:numId w:val="0"/>
      </w:numPr>
      <w:tabs>
        <w:tab w:val="right" w:leader="dot" w:pos="6521"/>
      </w:tabs>
      <w:spacing w:before="0" w:after="0"/>
    </w:pPr>
  </w:style>
  <w:style w:type="paragraph" w:customStyle="1" w:styleId="TOFTitle">
    <w:name w:val="TOFTitle"/>
    <w:basedOn w:val="TOCTitle"/>
    <w:rsid w:val="00B43D9A"/>
  </w:style>
  <w:style w:type="paragraph" w:styleId="TableofFigures">
    <w:name w:val="table of figures"/>
    <w:basedOn w:val="Normal"/>
    <w:next w:val="Normal"/>
    <w:semiHidden/>
    <w:rsid w:val="00B43D9A"/>
    <w:pPr>
      <w:tabs>
        <w:tab w:val="right" w:leader="dot" w:pos="9072"/>
      </w:tabs>
      <w:ind w:left="970" w:hanging="403"/>
    </w:pPr>
    <w:rPr>
      <w:rFonts w:ascii="Times New Roman" w:hAnsi="Times New Roman"/>
      <w:b/>
    </w:rPr>
  </w:style>
  <w:style w:type="paragraph" w:styleId="ListNumber">
    <w:name w:val="List Number"/>
    <w:basedOn w:val="List"/>
    <w:rsid w:val="00B43D9A"/>
    <w:pPr>
      <w:numPr>
        <w:numId w:val="10"/>
      </w:numPr>
    </w:pPr>
  </w:style>
  <w:style w:type="character" w:customStyle="1" w:styleId="WingdingSymbols">
    <w:name w:val="Wingding Symbols"/>
    <w:rsid w:val="00B43D9A"/>
    <w:rPr>
      <w:rFonts w:ascii="Wingdings" w:hAnsi="Wingdings"/>
    </w:rPr>
  </w:style>
  <w:style w:type="paragraph" w:customStyle="1" w:styleId="TableHeading">
    <w:name w:val="Table Heading"/>
    <w:basedOn w:val="HeadingBase"/>
    <w:rsid w:val="00B43D9A"/>
    <w:pPr>
      <w:keepLines/>
      <w:pBdr>
        <w:bottom w:val="single" w:sz="6" w:space="1" w:color="918585"/>
      </w:pBdr>
      <w:spacing w:before="240"/>
    </w:pPr>
  </w:style>
  <w:style w:type="character" w:customStyle="1" w:styleId="HotSpot">
    <w:name w:val="HotSpot"/>
    <w:rsid w:val="00B43D9A"/>
    <w:rPr>
      <w:color w:val="0033CC"/>
      <w:u w:val="none"/>
    </w:rPr>
  </w:style>
  <w:style w:type="paragraph" w:customStyle="1" w:styleId="BodyTextRight">
    <w:name w:val="Body Text Right"/>
    <w:basedOn w:val="BodyText"/>
    <w:rsid w:val="00B43D9A"/>
    <w:pPr>
      <w:spacing w:before="0" w:after="0"/>
      <w:jc w:val="right"/>
    </w:pPr>
  </w:style>
  <w:style w:type="paragraph" w:styleId="Index3">
    <w:name w:val="index 3"/>
    <w:basedOn w:val="ListNumber2"/>
    <w:next w:val="Normal"/>
    <w:semiHidden/>
    <w:rsid w:val="00B43D9A"/>
    <w:pPr>
      <w:numPr>
        <w:numId w:val="0"/>
      </w:numPr>
      <w:tabs>
        <w:tab w:val="right" w:leader="dot" w:pos="4176"/>
      </w:tabs>
    </w:pPr>
  </w:style>
  <w:style w:type="paragraph" w:styleId="ListNumber2">
    <w:name w:val="List Number 2"/>
    <w:basedOn w:val="List2"/>
    <w:rsid w:val="00B43D9A"/>
    <w:pPr>
      <w:numPr>
        <w:numId w:val="9"/>
      </w:numPr>
      <w:tabs>
        <w:tab w:val="clear" w:pos="1060"/>
      </w:tabs>
    </w:pPr>
  </w:style>
  <w:style w:type="paragraph" w:customStyle="1" w:styleId="MarginNote">
    <w:name w:val="Margin Note"/>
    <w:basedOn w:val="BodyText"/>
    <w:rsid w:val="00B43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D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D9A"/>
    <w:rPr>
      <w:sz w:val="32"/>
    </w:rPr>
  </w:style>
  <w:style w:type="paragraph" w:customStyle="1" w:styleId="HeadingProcedure">
    <w:name w:val="Heading Procedure"/>
    <w:basedOn w:val="HeadingBase"/>
    <w:next w:val="Normal"/>
    <w:rsid w:val="00B43D9A"/>
    <w:pPr>
      <w:tabs>
        <w:tab w:val="left" w:pos="0"/>
      </w:tabs>
      <w:spacing w:before="120" w:after="60"/>
    </w:pPr>
    <w:rPr>
      <w:i/>
      <w:color w:val="918585"/>
      <w:sz w:val="22"/>
    </w:rPr>
  </w:style>
  <w:style w:type="paragraph" w:customStyle="1" w:styleId="TableBodyText">
    <w:name w:val="Table Body Text"/>
    <w:basedOn w:val="BodyText"/>
    <w:rsid w:val="00B43D9A"/>
    <w:pPr>
      <w:spacing w:before="60" w:after="60"/>
    </w:pPr>
  </w:style>
  <w:style w:type="paragraph" w:styleId="ListContinue">
    <w:name w:val="List Continue"/>
    <w:basedOn w:val="List"/>
    <w:rsid w:val="00B43D9A"/>
    <w:pPr>
      <w:ind w:firstLine="0"/>
    </w:pPr>
  </w:style>
  <w:style w:type="paragraph" w:customStyle="1" w:styleId="ListNote">
    <w:name w:val="List Note"/>
    <w:basedOn w:val="List"/>
    <w:rsid w:val="00B43D9A"/>
    <w:pPr>
      <w:pBdr>
        <w:top w:val="single" w:sz="6" w:space="2" w:color="918585"/>
        <w:bottom w:val="single" w:sz="6" w:space="2" w:color="918585"/>
      </w:pBdr>
      <w:tabs>
        <w:tab w:val="left" w:pos="1021"/>
      </w:tabs>
      <w:ind w:firstLine="0"/>
    </w:pPr>
  </w:style>
  <w:style w:type="paragraph" w:customStyle="1" w:styleId="Warning">
    <w:name w:val="Warning"/>
    <w:basedOn w:val="BodyText"/>
    <w:rsid w:val="00B43D9A"/>
    <w:pPr>
      <w:shd w:val="clear" w:color="auto" w:fill="D9D9D9"/>
      <w:tabs>
        <w:tab w:val="left" w:pos="992"/>
      </w:tabs>
      <w:ind w:left="119" w:right="119"/>
    </w:pPr>
    <w:rPr>
      <w:sz w:val="20"/>
    </w:rPr>
  </w:style>
  <w:style w:type="paragraph" w:customStyle="1" w:styleId="MarginIcons">
    <w:name w:val="Margin Icons"/>
    <w:basedOn w:val="BodyText"/>
    <w:rsid w:val="00B43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D9A"/>
    <w:rPr>
      <w:rFonts w:ascii="Courier New" w:hAnsi="Courier New"/>
    </w:rPr>
  </w:style>
  <w:style w:type="paragraph" w:customStyle="1" w:styleId="NoteBullet">
    <w:name w:val="Note Bullet"/>
    <w:basedOn w:val="Note"/>
    <w:rsid w:val="00B43D9A"/>
    <w:pPr>
      <w:tabs>
        <w:tab w:val="clear" w:pos="680"/>
      </w:tabs>
      <w:spacing w:before="60" w:after="60"/>
    </w:pPr>
  </w:style>
  <w:style w:type="paragraph" w:customStyle="1" w:styleId="SubHeading2">
    <w:name w:val="SubHeading2"/>
    <w:basedOn w:val="HeadingBase"/>
    <w:rsid w:val="00B43D9A"/>
    <w:pPr>
      <w:spacing w:before="240" w:after="60"/>
    </w:pPr>
    <w:rPr>
      <w:sz w:val="20"/>
    </w:rPr>
  </w:style>
  <w:style w:type="paragraph" w:customStyle="1" w:styleId="SubHeading1">
    <w:name w:val="SubHeading1"/>
    <w:basedOn w:val="HeadingBase"/>
    <w:rsid w:val="00B43D9A"/>
    <w:pPr>
      <w:spacing w:before="240" w:after="60"/>
    </w:pPr>
    <w:rPr>
      <w:color w:val="918585"/>
      <w:sz w:val="22"/>
    </w:rPr>
  </w:style>
  <w:style w:type="paragraph" w:customStyle="1" w:styleId="SideHeading">
    <w:name w:val="Side Heading"/>
    <w:basedOn w:val="HeadingBase"/>
    <w:rsid w:val="00B43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D9A"/>
    <w:pPr>
      <w:tabs>
        <w:tab w:val="num" w:pos="360"/>
      </w:tabs>
    </w:pPr>
  </w:style>
  <w:style w:type="paragraph" w:styleId="PlainText">
    <w:name w:val="Plain Text"/>
    <w:basedOn w:val="Normal"/>
    <w:link w:val="PlainTextChar"/>
    <w:rsid w:val="00B43D9A"/>
    <w:rPr>
      <w:sz w:val="20"/>
    </w:rPr>
  </w:style>
  <w:style w:type="character" w:customStyle="1" w:styleId="PlainTextChar">
    <w:name w:val="Plain Text Char"/>
    <w:basedOn w:val="DefaultParagraphFont"/>
    <w:link w:val="PlainText"/>
    <w:rsid w:val="00B43D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3D9A"/>
    <w:rPr>
      <w:b/>
      <w:smallCaps/>
    </w:rPr>
  </w:style>
  <w:style w:type="paragraph" w:customStyle="1" w:styleId="TableListNumber">
    <w:name w:val="Table List Number"/>
    <w:basedOn w:val="ListNumber"/>
    <w:rsid w:val="00B43D9A"/>
    <w:pPr>
      <w:numPr>
        <w:numId w:val="0"/>
      </w:numPr>
    </w:pPr>
  </w:style>
  <w:style w:type="paragraph" w:styleId="TOC4">
    <w:name w:val="toc 4"/>
    <w:basedOn w:val="TOCBase"/>
    <w:next w:val="Normal"/>
    <w:semiHidden/>
    <w:rsid w:val="00B43D9A"/>
    <w:pPr>
      <w:tabs>
        <w:tab w:val="right" w:leader="dot" w:pos="9071"/>
      </w:tabs>
      <w:ind w:left="1701"/>
    </w:pPr>
  </w:style>
  <w:style w:type="paragraph" w:customStyle="1" w:styleId="ListAlpha">
    <w:name w:val="List Alpha"/>
    <w:basedOn w:val="List"/>
    <w:rsid w:val="00B43D9A"/>
    <w:pPr>
      <w:numPr>
        <w:numId w:val="8"/>
      </w:numPr>
    </w:pPr>
  </w:style>
  <w:style w:type="paragraph" w:customStyle="1" w:styleId="ListAlpha2">
    <w:name w:val="List Alpha 2"/>
    <w:basedOn w:val="List2"/>
    <w:rsid w:val="00B43D9A"/>
    <w:pPr>
      <w:numPr>
        <w:numId w:val="7"/>
      </w:numPr>
    </w:pPr>
  </w:style>
  <w:style w:type="paragraph" w:styleId="List2">
    <w:name w:val="List 2"/>
    <w:basedOn w:val="BodyText"/>
    <w:rsid w:val="00B43D9A"/>
    <w:pPr>
      <w:tabs>
        <w:tab w:val="left" w:pos="680"/>
      </w:tabs>
      <w:spacing w:before="60" w:after="60"/>
      <w:ind w:left="680" w:hanging="340"/>
    </w:pPr>
  </w:style>
  <w:style w:type="paragraph" w:styleId="List3">
    <w:name w:val="List 3"/>
    <w:basedOn w:val="BodyText"/>
    <w:rsid w:val="00B43D9A"/>
    <w:pPr>
      <w:tabs>
        <w:tab w:val="left" w:pos="1021"/>
      </w:tabs>
      <w:spacing w:before="60" w:after="60"/>
      <w:ind w:left="1020" w:hanging="340"/>
    </w:pPr>
  </w:style>
  <w:style w:type="paragraph" w:styleId="List4">
    <w:name w:val="List 4"/>
    <w:basedOn w:val="BodyText"/>
    <w:rsid w:val="00B43D9A"/>
    <w:pPr>
      <w:tabs>
        <w:tab w:val="left" w:pos="1361"/>
      </w:tabs>
      <w:spacing w:before="60" w:after="60"/>
      <w:ind w:left="1361" w:hanging="340"/>
    </w:pPr>
  </w:style>
  <w:style w:type="paragraph" w:styleId="List5">
    <w:name w:val="List 5"/>
    <w:basedOn w:val="BodyText"/>
    <w:rsid w:val="00B43D9A"/>
    <w:pPr>
      <w:tabs>
        <w:tab w:val="left" w:pos="1701"/>
      </w:tabs>
      <w:spacing w:before="60" w:after="60"/>
      <w:ind w:left="1701" w:hanging="340"/>
    </w:pPr>
  </w:style>
  <w:style w:type="paragraph" w:styleId="ListBullet3">
    <w:name w:val="List Bullet 3"/>
    <w:basedOn w:val="List3"/>
    <w:rsid w:val="00B43D9A"/>
    <w:pPr>
      <w:numPr>
        <w:numId w:val="14"/>
      </w:numPr>
      <w:tabs>
        <w:tab w:val="clear" w:pos="1021"/>
      </w:tabs>
      <w:ind w:left="1037" w:hanging="357"/>
    </w:pPr>
  </w:style>
  <w:style w:type="paragraph" w:styleId="ListBullet4">
    <w:name w:val="List Bullet 4"/>
    <w:basedOn w:val="List4"/>
    <w:rsid w:val="00B43D9A"/>
    <w:pPr>
      <w:numPr>
        <w:numId w:val="2"/>
      </w:numPr>
    </w:pPr>
  </w:style>
  <w:style w:type="paragraph" w:styleId="ListBullet5">
    <w:name w:val="List Bullet 5"/>
    <w:basedOn w:val="List5"/>
    <w:rsid w:val="00B43D9A"/>
    <w:pPr>
      <w:numPr>
        <w:numId w:val="3"/>
      </w:numPr>
    </w:pPr>
  </w:style>
  <w:style w:type="paragraph" w:styleId="ListContinue2">
    <w:name w:val="List Continue 2"/>
    <w:basedOn w:val="List2"/>
    <w:rsid w:val="00B43D9A"/>
    <w:pPr>
      <w:ind w:firstLine="0"/>
    </w:pPr>
  </w:style>
  <w:style w:type="paragraph" w:styleId="ListContinue3">
    <w:name w:val="List Continue 3"/>
    <w:basedOn w:val="List3"/>
    <w:rsid w:val="00B43D9A"/>
    <w:pPr>
      <w:ind w:left="1021" w:firstLine="0"/>
    </w:pPr>
  </w:style>
  <w:style w:type="paragraph" w:styleId="ListContinue4">
    <w:name w:val="List Continue 4"/>
    <w:basedOn w:val="List4"/>
    <w:rsid w:val="00B43D9A"/>
    <w:pPr>
      <w:ind w:firstLine="0"/>
    </w:pPr>
  </w:style>
  <w:style w:type="paragraph" w:styleId="ListContinue5">
    <w:name w:val="List Continue 5"/>
    <w:basedOn w:val="List5"/>
    <w:rsid w:val="00B43D9A"/>
    <w:pPr>
      <w:ind w:firstLine="0"/>
    </w:pPr>
  </w:style>
  <w:style w:type="paragraph" w:styleId="ListNumber3">
    <w:name w:val="List Number 3"/>
    <w:basedOn w:val="List3"/>
    <w:rsid w:val="00B43D9A"/>
    <w:pPr>
      <w:numPr>
        <w:numId w:val="4"/>
      </w:numPr>
    </w:pPr>
  </w:style>
  <w:style w:type="paragraph" w:styleId="ListNumber4">
    <w:name w:val="List Number 4"/>
    <w:basedOn w:val="List4"/>
    <w:rsid w:val="00B43D9A"/>
    <w:pPr>
      <w:numPr>
        <w:numId w:val="5"/>
      </w:numPr>
    </w:pPr>
  </w:style>
  <w:style w:type="paragraph" w:styleId="ListNumber5">
    <w:name w:val="List Number 5"/>
    <w:basedOn w:val="List5"/>
    <w:rsid w:val="00B43D9A"/>
    <w:pPr>
      <w:numPr>
        <w:numId w:val="6"/>
      </w:numPr>
    </w:pPr>
  </w:style>
  <w:style w:type="paragraph" w:styleId="BlockText">
    <w:name w:val="Block Text"/>
    <w:basedOn w:val="Normal"/>
    <w:rsid w:val="00B43D9A"/>
    <w:pPr>
      <w:spacing w:after="120"/>
      <w:ind w:left="1440" w:right="1440"/>
    </w:pPr>
  </w:style>
  <w:style w:type="character" w:customStyle="1" w:styleId="Subscript">
    <w:name w:val="Subscript"/>
    <w:basedOn w:val="DefaultParagraphFont"/>
    <w:rsid w:val="00B43D9A"/>
    <w:rPr>
      <w:sz w:val="16"/>
      <w:vertAlign w:val="subscript"/>
    </w:rPr>
  </w:style>
  <w:style w:type="character" w:customStyle="1" w:styleId="Superscript">
    <w:name w:val="Superscript"/>
    <w:basedOn w:val="DefaultParagraphFont"/>
    <w:rsid w:val="00B43D9A"/>
    <w:rPr>
      <w:sz w:val="16"/>
      <w:vertAlign w:val="superscript"/>
    </w:rPr>
  </w:style>
  <w:style w:type="character" w:customStyle="1" w:styleId="Symbols">
    <w:name w:val="Symbols"/>
    <w:basedOn w:val="DefaultParagraphFont"/>
    <w:rsid w:val="00B43D9A"/>
    <w:rPr>
      <w:rFonts w:ascii="Symbol" w:hAnsi="Symbol"/>
    </w:rPr>
  </w:style>
  <w:style w:type="character" w:customStyle="1" w:styleId="MenuOptions">
    <w:name w:val="Menu Options"/>
    <w:basedOn w:val="DefaultParagraphFont"/>
    <w:rsid w:val="00B43D9A"/>
    <w:rPr>
      <w:rFonts w:ascii="Arial Narrow" w:hAnsi="Arial Narrow"/>
      <w:smallCaps/>
    </w:rPr>
  </w:style>
  <w:style w:type="character" w:customStyle="1" w:styleId="Buttons">
    <w:name w:val="Buttons"/>
    <w:basedOn w:val="DefaultParagraphFont"/>
    <w:rsid w:val="00B43D9A"/>
    <w:rPr>
      <w:b/>
    </w:rPr>
  </w:style>
  <w:style w:type="character" w:customStyle="1" w:styleId="Underlined">
    <w:name w:val="Underlined"/>
    <w:basedOn w:val="DefaultParagraphFont"/>
    <w:rsid w:val="00B43D9A"/>
    <w:rPr>
      <w:u w:val="single"/>
    </w:rPr>
  </w:style>
  <w:style w:type="paragraph" w:customStyle="1" w:styleId="TableBodyTextRight">
    <w:name w:val="Table Body Text Right"/>
    <w:basedOn w:val="TableBodyText"/>
    <w:rsid w:val="00B43D9A"/>
    <w:pPr>
      <w:widowControl w:val="0"/>
      <w:autoSpaceDE w:val="0"/>
      <w:autoSpaceDN w:val="0"/>
      <w:adjustRightInd w:val="0"/>
      <w:jc w:val="right"/>
    </w:pPr>
    <w:rPr>
      <w:rFonts w:cs="Arial"/>
      <w:szCs w:val="18"/>
    </w:rPr>
  </w:style>
  <w:style w:type="paragraph" w:customStyle="1" w:styleId="CopyrightText">
    <w:name w:val="Copyright Text"/>
    <w:basedOn w:val="BodyText"/>
    <w:rsid w:val="00B43D9A"/>
    <w:rPr>
      <w:sz w:val="18"/>
    </w:rPr>
  </w:style>
  <w:style w:type="paragraph" w:customStyle="1" w:styleId="BodySmallRight">
    <w:name w:val="Body Small Right"/>
    <w:basedOn w:val="BodyTextRight"/>
    <w:rsid w:val="00B43D9A"/>
    <w:rPr>
      <w:sz w:val="18"/>
      <w:szCs w:val="18"/>
    </w:rPr>
  </w:style>
  <w:style w:type="paragraph" w:customStyle="1" w:styleId="MarginEdition">
    <w:name w:val="Margin Edition"/>
    <w:basedOn w:val="MarginNote"/>
    <w:rsid w:val="00B43D9A"/>
    <w:pPr>
      <w:spacing w:before="0" w:after="0"/>
    </w:pPr>
    <w:rPr>
      <w:rFonts w:ascii="Times New Roman" w:hAnsi="Times New Roman"/>
      <w:color w:val="999999"/>
    </w:rPr>
  </w:style>
  <w:style w:type="paragraph" w:customStyle="1" w:styleId="Spacer">
    <w:name w:val="Spacer"/>
    <w:basedOn w:val="Normal"/>
    <w:rsid w:val="00B43D9A"/>
    <w:rPr>
      <w:sz w:val="2"/>
      <w:szCs w:val="2"/>
    </w:rPr>
  </w:style>
  <w:style w:type="character" w:customStyle="1" w:styleId="Small">
    <w:name w:val="Small"/>
    <w:basedOn w:val="DefaultParagraphFont"/>
    <w:rsid w:val="00B43D9A"/>
    <w:rPr>
      <w:sz w:val="16"/>
    </w:rPr>
  </w:style>
  <w:style w:type="paragraph" w:customStyle="1" w:styleId="WideTable">
    <w:name w:val="Wide Table"/>
    <w:basedOn w:val="Normal"/>
    <w:rsid w:val="00B43D9A"/>
    <w:pPr>
      <w:ind w:left="-1418"/>
    </w:pPr>
    <w:rPr>
      <w:sz w:val="2"/>
      <w:szCs w:val="2"/>
    </w:rPr>
  </w:style>
  <w:style w:type="character" w:styleId="PageNumber">
    <w:name w:val="page number"/>
    <w:basedOn w:val="DefaultParagraphFont"/>
    <w:rsid w:val="00B43D9A"/>
  </w:style>
  <w:style w:type="paragraph" w:styleId="Quote">
    <w:name w:val="Quote"/>
    <w:basedOn w:val="Heading1"/>
    <w:link w:val="QuoteChar"/>
    <w:qFormat/>
    <w:rsid w:val="00B43D9A"/>
    <w:rPr>
      <w:b w:val="0"/>
      <w:sz w:val="72"/>
      <w:szCs w:val="72"/>
      <w:lang w:val="en-NZ"/>
    </w:rPr>
  </w:style>
  <w:style w:type="character" w:customStyle="1" w:styleId="QuoteChar">
    <w:name w:val="Quote Char"/>
    <w:basedOn w:val="DefaultParagraphFont"/>
    <w:link w:val="Quote"/>
    <w:rsid w:val="00B43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D9A"/>
    <w:pPr>
      <w:pageBreakBefore/>
    </w:pPr>
  </w:style>
  <w:style w:type="paragraph" w:customStyle="1" w:styleId="Border">
    <w:name w:val="Border"/>
    <w:basedOn w:val="Normal"/>
    <w:qFormat/>
    <w:rsid w:val="00B43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D9A"/>
    <w:rPr>
      <w:b/>
      <w:bCs/>
      <w:i/>
      <w:iCs/>
      <w:color w:val="auto"/>
    </w:rPr>
  </w:style>
  <w:style w:type="paragraph" w:styleId="IntenseQuote">
    <w:name w:val="Intense Quote"/>
    <w:basedOn w:val="Normal"/>
    <w:next w:val="Normal"/>
    <w:link w:val="IntenseQuoteChar"/>
    <w:uiPriority w:val="30"/>
    <w:qFormat/>
    <w:rsid w:val="00B43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D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3D9A"/>
    <w:rPr>
      <w:smallCaps/>
      <w:color w:val="auto"/>
      <w:u w:val="single"/>
    </w:rPr>
  </w:style>
  <w:style w:type="character" w:styleId="IntenseReference">
    <w:name w:val="Intense Reference"/>
    <w:basedOn w:val="DefaultParagraphFont"/>
    <w:uiPriority w:val="32"/>
    <w:qFormat/>
    <w:rsid w:val="00B43D9A"/>
    <w:rPr>
      <w:b/>
      <w:bCs/>
      <w:smallCaps/>
      <w:color w:val="auto"/>
      <w:spacing w:val="5"/>
      <w:u w:val="single"/>
    </w:rPr>
  </w:style>
  <w:style w:type="paragraph" w:customStyle="1" w:styleId="2ColumnHeading">
    <w:name w:val="2Column Heading"/>
    <w:basedOn w:val="BodyText"/>
    <w:qFormat/>
    <w:rsid w:val="00B43D9A"/>
    <w:pPr>
      <w:spacing w:after="60"/>
      <w:ind w:left="-2268"/>
    </w:pPr>
    <w:rPr>
      <w:b/>
    </w:rPr>
  </w:style>
  <w:style w:type="paragraph" w:customStyle="1" w:styleId="Heading1TOC">
    <w:name w:val="Heading1 TOC"/>
    <w:basedOn w:val="Normal"/>
    <w:qFormat/>
    <w:rsid w:val="00B43D9A"/>
    <w:pPr>
      <w:spacing w:before="240" w:after="120"/>
    </w:pPr>
    <w:rPr>
      <w:rFonts w:ascii="Times New Roman" w:hAnsi="Times New Roman"/>
      <w:b/>
      <w:sz w:val="32"/>
    </w:rPr>
  </w:style>
  <w:style w:type="paragraph" w:customStyle="1" w:styleId="Heading2TOC">
    <w:name w:val="Heading2 TOC"/>
    <w:basedOn w:val="Normal"/>
    <w:qFormat/>
    <w:rsid w:val="00B43D9A"/>
    <w:pPr>
      <w:spacing w:before="240" w:after="60"/>
    </w:pPr>
    <w:rPr>
      <w:rFonts w:ascii="Times New Roman" w:hAnsi="Times New Roman"/>
      <w:b/>
      <w:sz w:val="28"/>
    </w:rPr>
  </w:style>
  <w:style w:type="character" w:customStyle="1" w:styleId="Underline">
    <w:name w:val="Underline"/>
    <w:basedOn w:val="DefaultParagraphFont"/>
    <w:qFormat/>
    <w:rsid w:val="00B43D9A"/>
    <w:rPr>
      <w:u w:val="single"/>
    </w:rPr>
  </w:style>
  <w:style w:type="character" w:customStyle="1" w:styleId="BoldandItalics">
    <w:name w:val="Bold and Italics"/>
    <w:qFormat/>
    <w:rsid w:val="00B43D9A"/>
    <w:rPr>
      <w:b/>
      <w:i/>
      <w:u w:val="none"/>
    </w:rPr>
  </w:style>
  <w:style w:type="paragraph" w:styleId="BalloonText">
    <w:name w:val="Balloon Text"/>
    <w:basedOn w:val="Normal"/>
    <w:link w:val="BalloonTextChar"/>
    <w:rsid w:val="00B43D9A"/>
    <w:rPr>
      <w:rFonts w:ascii="Tahoma" w:hAnsi="Tahoma" w:cs="Tahoma"/>
      <w:sz w:val="16"/>
      <w:szCs w:val="16"/>
    </w:rPr>
  </w:style>
  <w:style w:type="character" w:customStyle="1" w:styleId="BalloonTextChar">
    <w:name w:val="Balloon Text Char"/>
    <w:basedOn w:val="DefaultParagraphFont"/>
    <w:link w:val="BalloonText"/>
    <w:rsid w:val="00B43D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D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D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2496</Words>
  <Characters>15975</Characters>
  <Application>Microsoft Office Word</Application>
  <DocSecurity>0</DocSecurity>
  <Lines>595</Lines>
  <Paragraphs>225</Paragraphs>
  <ScaleCrop>false</ScaleCrop>
  <Company>Author-it Software Corporation Ltd.</Company>
  <LinksUpToDate>false</LinksUpToDate>
  <CharactersWithSpaces>18290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UETTDRTS10B Design secondary isolation instructional documents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2012-05-26T12:25:00Z</dcterms:created>
  <dcterms:modified xsi:type="dcterms:W3CDTF">2012-05-26T12:25:00Z</dcterms:modified>
</cp:coreProperties>
</file>