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F72" w:rsidP="00582F72">
      <w:pPr>
        <w:pStyle w:val="Title"/>
      </w:pPr>
      <w:r>
        <w:fldChar w:fldCharType="begin"/>
      </w:r>
      <w:r>
        <w:instrText xml:space="preserve"> TITLE   \* MERGEFORMAT </w:instrText>
      </w:r>
      <w:r>
        <w:fldChar w:fldCharType="separate"/>
      </w:r>
      <w:r>
        <w:t>UETTDRTS06B Commission metering schemes</w:t>
      </w:r>
      <w:r>
        <w:fldChar w:fldCharType="end"/>
      </w:r>
    </w:p>
    <w:p w:rsidR="00582F72" w:rsidP="00582F72">
      <w:pPr>
        <w:pStyle w:val="Version"/>
        <w:sectPr w:rsidSect="00B76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410" w:rsidP="00B76410">
      <w:pPr>
        <w:pStyle w:val="SuperHeading"/>
      </w:pPr>
      <w:r w:rsidRPr="00B76410">
        <w:t>UETTDRTS06B Commission metering schemes</w:t>
      </w:r>
    </w:p>
    <w:p w:rsidR="00000000" w:rsidRPr="00B76410" w:rsidP="00B76410">
      <w:pPr>
        <w:pStyle w:val="Heading1"/>
      </w:pPr>
      <w:bookmarkStart w:id="1" w:name="O_275576"/>
      <w:bookmarkEnd w:id="1"/>
      <w:r w:rsidRPr="00B76410">
        <w:t>Modification History</w:t>
      </w:r>
    </w:p>
    <w:p w:rsidR="00000000" w:rsidRPr="00B76410" w:rsidP="00B76410">
      <w:pPr>
        <w:pStyle w:val="BodyText"/>
      </w:pPr>
      <w:r w:rsidRPr="00B76410">
        <w:t>Not Applicable</w:t>
      </w:r>
    </w:p>
    <w:p w:rsidR="00000000" w:rsidRPr="00B76410" w:rsidP="00B76410">
      <w:pPr>
        <w:pStyle w:val="AllowPageBreak"/>
      </w:pPr>
    </w:p>
    <w:p w:rsidR="00000000" w:rsidRPr="00B76410" w:rsidP="00B76410">
      <w:pPr>
        <w:pStyle w:val="Heading1"/>
      </w:pPr>
      <w:bookmarkStart w:id="2" w:name="O_232180"/>
      <w:bookmarkEnd w:id="2"/>
      <w:r w:rsidRPr="00B76410">
        <w:t>Unit Descriptor</w:t>
      </w:r>
    </w:p>
    <w:tbl>
      <w:tblPr>
        <w:tblW w:w="0" w:type="auto"/>
        <w:tblLayout w:type="fixed"/>
        <w:tblCellMar>
          <w:left w:w="62" w:type="dxa"/>
          <w:right w:w="62" w:type="dxa"/>
        </w:tblCellMar>
        <w:tblLook w:val="0000"/>
      </w:tblPr>
      <w:tblGrid>
        <w:gridCol w:w="2682"/>
        <w:gridCol w:w="5958"/>
      </w:tblGrid>
      <w:tr w:rsidTr="00582F72">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Unit Descriptor</w:t>
            </w: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1</w:t>
            </w:r>
            <w:r w:rsidRPr="00B76410">
              <w:t xml:space="preserve">) </w:t>
            </w:r>
          </w:p>
          <w:p w:rsidR="00000000" w:rsidP="00B76410">
            <w:pPr>
              <w:pStyle w:val="BodyText"/>
              <w:rPr>
                <w:lang w:val="en-NZ"/>
              </w:rPr>
            </w:pPr>
            <w:r w:rsidRPr="00B76410">
              <w:rPr>
                <w:rStyle w:val="SpecialBold"/>
              </w:rPr>
              <w:t>1</w:t>
            </w:r>
            <w:r w:rsidRPr="00B76410">
              <w:t>.</w:t>
            </w:r>
            <w:r w:rsidRPr="00B76410">
              <w:rPr>
                <w:rStyle w:val="SpecialBold"/>
              </w:rPr>
              <w:t>1</w:t>
            </w:r>
            <w:r w:rsidRPr="00B76410">
              <w:t xml:space="preserve">) </w:t>
            </w:r>
            <w:r w:rsidRPr="00B76410">
              <w:rPr>
                <w:rStyle w:val="SpecialBold"/>
              </w:rPr>
              <w:t>Descriptor</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This Competency Standard Unit covers the commissioning of metering schemes and includes, isolation, inspection, monitoring, testing, adjustment, and repair, refurbishment and or overhaul and function checks on schemes including ammeters, voltmeters, wattme</w:t>
            </w:r>
            <w:r w:rsidRPr="00B76410">
              <w:t>ters, VAR meters and energy metering. It also includes an emphasis on ensuring that the metering is connected into the power system safely and correctly and that it returns valid information.</w:t>
            </w:r>
          </w:p>
        </w:tc>
      </w:tr>
    </w:tbl>
    <w:p w:rsidR="00582F72" w:rsidP="00B76410">
      <w:pPr>
        <w:pStyle w:val="BodyText"/>
      </w:pPr>
    </w:p>
    <w:p w:rsidR="00582F72" w:rsidP="00B76410">
      <w:pPr>
        <w:pStyle w:val="BodyText"/>
      </w:pPr>
    </w:p>
    <w:p w:rsidR="00000000" w:rsidRPr="00B76410" w:rsidP="00B76410">
      <w:pPr>
        <w:pStyle w:val="Heading1"/>
      </w:pPr>
      <w:bookmarkStart w:id="3" w:name="O_232185"/>
      <w:bookmarkEnd w:id="3"/>
      <w:r w:rsidRPr="00B76410">
        <w:t>Application of the Unit</w:t>
      </w:r>
    </w:p>
    <w:tbl>
      <w:tblPr>
        <w:tblW w:w="0" w:type="auto"/>
        <w:tblLayout w:type="fixed"/>
        <w:tblCellMar>
          <w:left w:w="62" w:type="dxa"/>
          <w:right w:w="62" w:type="dxa"/>
        </w:tblCellMar>
        <w:tblLook w:val="0000"/>
      </w:tblPr>
      <w:tblGrid>
        <w:gridCol w:w="2682"/>
        <w:gridCol w:w="5958"/>
      </w:tblGrid>
      <w:tr w:rsidTr="00582F72">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Application of the Unit</w:t>
            </w:r>
          </w:p>
        </w:tc>
        <w:tc>
          <w:tcPr>
            <w:tcW w:w="5958"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4</w:t>
            </w:r>
            <w:r w:rsidRPr="00B76410">
              <w:t>)</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This competency standards unit is intended to apply to any recognised development program that leads to the acquisition of a formal award at AQF level 5 or higher.</w:t>
            </w:r>
          </w:p>
        </w:tc>
      </w:tr>
    </w:tbl>
    <w:p w:rsidR="00582F72" w:rsidP="00B76410">
      <w:pPr>
        <w:pStyle w:val="BodyText"/>
      </w:pPr>
    </w:p>
    <w:p w:rsidR="00582F72" w:rsidP="00B76410">
      <w:pPr>
        <w:pStyle w:val="BodyText"/>
      </w:pPr>
    </w:p>
    <w:p w:rsidR="00000000" w:rsidRPr="00B76410" w:rsidP="00B76410">
      <w:pPr>
        <w:pStyle w:val="Heading1"/>
      </w:pPr>
      <w:bookmarkStart w:id="4" w:name="O_232181"/>
      <w:bookmarkEnd w:id="4"/>
      <w:r w:rsidRPr="00B76410">
        <w:t>Licensing/Regulatory Information</w:t>
      </w:r>
    </w:p>
    <w:tbl>
      <w:tblPr>
        <w:tblW w:w="0" w:type="auto"/>
        <w:tblLayout w:type="fixed"/>
        <w:tblCellMar>
          <w:left w:w="62" w:type="dxa"/>
          <w:right w:w="62" w:type="dxa"/>
        </w:tblCellMar>
        <w:tblLook w:val="0000"/>
      </w:tblPr>
      <w:tblGrid>
        <w:gridCol w:w="8640"/>
      </w:tblGrid>
      <w:tr w:rsidTr="00582F7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1</w:t>
            </w:r>
            <w:r w:rsidRPr="00B76410">
              <w:t>.</w:t>
            </w:r>
            <w:r w:rsidRPr="00B76410">
              <w:rPr>
                <w:rStyle w:val="SpecialBold"/>
              </w:rPr>
              <w:t>2</w:t>
            </w:r>
            <w:r w:rsidRPr="00B76410">
              <w:t xml:space="preserve">) </w:t>
            </w:r>
            <w:r w:rsidRPr="00B76410">
              <w:rPr>
                <w:rStyle w:val="SpecialBold"/>
              </w:rPr>
              <w:t>License to practice</w:t>
            </w:r>
          </w:p>
        </w:tc>
      </w:tr>
      <w:tr w:rsidTr="00582F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The skills and knowledge described in this unit may require a licence/registration to practice in the work place subject to regulations for undertaking of electrical work. Practice in workplace and during training is also subject to re</w:t>
            </w:r>
            <w:r w:rsidRPr="00B76410">
              <w:t xml:space="preserve">gulations directly related to Occupational Health and Safety, electricity/telecommunications/gas/water industry safety and compliance, industrial relations, environmental protection, anti discrimination and training. Commonwealth, State/Territory or Local </w:t>
            </w:r>
            <w:r w:rsidRPr="00B76410">
              <w:t>Government legislation and regulations may exist that limits the age of operating certain equipment.</w:t>
            </w:r>
          </w:p>
        </w:tc>
      </w:tr>
    </w:tbl>
    <w:p w:rsidR="00582F72" w:rsidP="00B76410">
      <w:pPr>
        <w:pStyle w:val="BodyText"/>
      </w:pPr>
    </w:p>
    <w:p w:rsidR="00582F72" w:rsidP="00B76410">
      <w:pPr>
        <w:pStyle w:val="BodyText"/>
      </w:pPr>
    </w:p>
    <w:p w:rsidR="00000000" w:rsidRPr="00B76410" w:rsidP="00B76410">
      <w:pPr>
        <w:pStyle w:val="Heading1"/>
      </w:pPr>
      <w:bookmarkStart w:id="5" w:name="O_232182"/>
      <w:bookmarkEnd w:id="5"/>
      <w:r w:rsidRPr="00B76410">
        <w:t>Pre-Requisites</w:t>
      </w:r>
    </w:p>
    <w:tbl>
      <w:tblPr>
        <w:tblW w:w="0" w:type="auto"/>
        <w:tblLayout w:type="fixed"/>
        <w:tblCellMar>
          <w:left w:w="62" w:type="dxa"/>
          <w:right w:w="62" w:type="dxa"/>
        </w:tblCellMar>
        <w:tblLook w:val="0000"/>
      </w:tblPr>
      <w:tblGrid>
        <w:gridCol w:w="2682"/>
        <w:gridCol w:w="950"/>
        <w:gridCol w:w="1967"/>
        <w:gridCol w:w="3041"/>
      </w:tblGrid>
      <w:tr w:rsidTr="00582F72">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Prerequisite Unit</w:t>
            </w:r>
            <w:r w:rsidRPr="00B76410">
              <w:t>(</w:t>
            </w:r>
            <w:r w:rsidRPr="00B76410">
              <w:rPr>
                <w:rStyle w:val="SpecialBold"/>
              </w:rPr>
              <w:t>s</w:t>
            </w:r>
            <w:r w:rsidRPr="00B76410">
              <w:t>)</w:t>
            </w:r>
          </w:p>
        </w:tc>
        <w:tc>
          <w:tcPr>
            <w:tcW w:w="5958" w:type="dxa"/>
            <w:gridSpan w:val="3"/>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2</w:t>
            </w:r>
            <w:r w:rsidRPr="00B76410">
              <w:t xml:space="preserve">) </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RPr="00B76410">
            <w:pPr>
              <w:pStyle w:val="BodyText"/>
              <w:keepNext w:val="0"/>
              <w:keepLines w:val="0"/>
              <w:contextualSpacing w:val="0"/>
            </w:pPr>
          </w:p>
        </w:tc>
        <w:tc>
          <w:tcPr>
            <w:tcW w:w="5958" w:type="dxa"/>
            <w:gridSpan w:val="3"/>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2</w:t>
            </w:r>
            <w:r w:rsidRPr="00B76410">
              <w:t>.</w:t>
            </w:r>
            <w:r w:rsidRPr="00B76410">
              <w:rPr>
                <w:rStyle w:val="SpecialBold"/>
              </w:rPr>
              <w:t>1</w:t>
            </w:r>
            <w:r w:rsidRPr="00B76410">
              <w:t xml:space="preserve">) </w:t>
            </w:r>
            <w:r w:rsidRPr="00B76410">
              <w:rPr>
                <w:rStyle w:val="SpecialBold"/>
              </w:rPr>
              <w:t>Competencies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gridSpan w:val="3"/>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Granting of competency in this unit shall be made only after competency in the following unit(s) has/have been confirmed:.</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UETTDRTS05B</w:t>
            </w:r>
          </w:p>
        </w:tc>
        <w:tc>
          <w:tcPr>
            <w:tcW w:w="304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Test and maintain metering schemes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gridSpan w:val="3"/>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For th</w:t>
            </w:r>
            <w:r w:rsidRPr="00B76410">
              <w:t>e full prerequisite chain details for this unit please refer to Table 3 in Volume 1, Part 2</w:t>
            </w:r>
          </w:p>
        </w:tc>
      </w:tr>
    </w:tbl>
    <w:p w:rsidR="00582F72" w:rsidP="00B76410">
      <w:pPr>
        <w:pStyle w:val="BodyText"/>
      </w:pPr>
    </w:p>
    <w:p w:rsidR="00582F72" w:rsidP="00B76410">
      <w:pPr>
        <w:pStyle w:val="BodyText"/>
      </w:pPr>
    </w:p>
    <w:p w:rsidR="00000000" w:rsidRPr="00B76410" w:rsidP="00B76410">
      <w:pPr>
        <w:pStyle w:val="Heading1"/>
      </w:pPr>
      <w:bookmarkStart w:id="6" w:name="O_232184"/>
      <w:bookmarkEnd w:id="6"/>
      <w:r w:rsidRPr="00B76410">
        <w:t>Employability Skills Information</w:t>
      </w:r>
    </w:p>
    <w:tbl>
      <w:tblPr>
        <w:tblW w:w="0" w:type="auto"/>
        <w:tblLayout w:type="fixed"/>
        <w:tblCellMar>
          <w:left w:w="62" w:type="dxa"/>
          <w:right w:w="62" w:type="dxa"/>
        </w:tblCellMar>
        <w:tblLook w:val="0000"/>
      </w:tblPr>
      <w:tblGrid>
        <w:gridCol w:w="2682"/>
        <w:gridCol w:w="5958"/>
      </w:tblGrid>
      <w:tr w:rsidTr="00582F72">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Employability Skills</w:t>
            </w: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3</w:t>
            </w:r>
            <w:r w:rsidRPr="00B76410">
              <w:t>)</w:t>
            </w:r>
          </w:p>
          <w:p w:rsidR="00000000" w:rsidRPr="00B76410" w:rsidP="00B76410">
            <w:pPr>
              <w:pStyle w:val="BodyText"/>
            </w:pPr>
            <w:r w:rsidRPr="00B76410">
              <w:t xml:space="preserve">The required outcomes described in this unit of competency contain applicable facets </w:t>
            </w:r>
            <w:r w:rsidRPr="00B76410">
              <w:t>of Employability Skills. The Employability Skills Summary of the qualification in which this unit of competency is packaged will assist in identifying Employability Skill requirements.</w:t>
            </w:r>
          </w:p>
        </w:tc>
      </w:tr>
    </w:tbl>
    <w:p w:rsidR="00582F72" w:rsidP="00B76410">
      <w:pPr>
        <w:pStyle w:val="BodyText"/>
      </w:pPr>
    </w:p>
    <w:p w:rsidR="00582F72" w:rsidP="00B76410">
      <w:pPr>
        <w:pStyle w:val="BodyText"/>
      </w:pPr>
    </w:p>
    <w:p w:rsidR="00000000" w:rsidRPr="00B76410" w:rsidP="00B76410">
      <w:pPr>
        <w:pStyle w:val="Heading1"/>
      </w:pPr>
      <w:bookmarkStart w:id="7" w:name="O_293622"/>
      <w:bookmarkEnd w:id="7"/>
      <w:r w:rsidRPr="00B76410">
        <w:t>Elements and Performance Criteria Pre-Content</w:t>
      </w:r>
    </w:p>
    <w:tbl>
      <w:tblPr>
        <w:tblW w:w="0" w:type="auto"/>
        <w:tblLayout w:type="fixed"/>
        <w:tblCellMar>
          <w:left w:w="62" w:type="dxa"/>
          <w:right w:w="62" w:type="dxa"/>
        </w:tblCellMar>
        <w:tblLook w:val="0000"/>
      </w:tblPr>
      <w:tblGrid>
        <w:gridCol w:w="2682"/>
        <w:gridCol w:w="5958"/>
      </w:tblGrid>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6</w:t>
            </w:r>
            <w:r w:rsidRPr="00B76410">
              <w:t xml:space="preserve">) </w:t>
            </w:r>
            <w:r w:rsidRPr="00B76410">
              <w:rPr>
                <w:rStyle w:val="SpecialBold"/>
              </w:rPr>
              <w:t>Elements</w:t>
            </w:r>
            <w:r w:rsidRPr="00B76410">
              <w:t>: 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Performance Criteria describe the required performance needed to demonstrate achievement of the element. Assessment of performance is to be consistent with the evidence guide.</w:t>
            </w:r>
          </w:p>
        </w:tc>
      </w:tr>
    </w:tbl>
    <w:p w:rsidR="00000000" w:rsidRPr="00B76410" w:rsidP="00B76410">
      <w:pPr>
        <w:pStyle w:val="BodyText"/>
      </w:pPr>
    </w:p>
    <w:p w:rsidR="00000000" w:rsidRPr="00B76410" w:rsidP="00B76410">
      <w:pPr>
        <w:pStyle w:val="AllowPageBreak"/>
      </w:pPr>
    </w:p>
    <w:p w:rsidR="00000000" w:rsidRPr="00B76410" w:rsidP="00B76410">
      <w:pPr>
        <w:pStyle w:val="Heading1"/>
      </w:pPr>
      <w:bookmarkStart w:id="8" w:name="O_240290"/>
      <w:bookmarkEnd w:id="8"/>
      <w:r w:rsidRPr="00B76410">
        <w:t>Elements and Performance Criteria</w:t>
      </w:r>
    </w:p>
    <w:tbl>
      <w:tblPr>
        <w:tblW w:w="0" w:type="auto"/>
        <w:tblLayout w:type="fixed"/>
        <w:tblCellMar>
          <w:left w:w="62" w:type="dxa"/>
          <w:right w:w="62" w:type="dxa"/>
        </w:tblCellMar>
        <w:tblLook w:val="0000"/>
      </w:tblPr>
      <w:tblGrid>
        <w:gridCol w:w="402"/>
        <w:gridCol w:w="2280"/>
        <w:gridCol w:w="1129"/>
        <w:gridCol w:w="4829"/>
      </w:tblGrid>
      <w:tr w:rsidTr="00582F72">
        <w:tblPrEx>
          <w:tblW w:w="0" w:type="auto"/>
          <w:tblLayout w:type="fixed"/>
          <w:tblCellMar>
            <w:left w:w="62" w:type="dxa"/>
            <w:right w:w="62" w:type="dxa"/>
          </w:tblCellMar>
          <w:tblLook w:val="0000"/>
        </w:tblPrEx>
        <w:trPr>
          <w:tblHeader/>
        </w:trPr>
        <w:tc>
          <w:tcPr>
            <w:tcW w:w="2682" w:type="dxa"/>
            <w:gridSpan w:val="2"/>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ELEMENT</w:t>
            </w:r>
          </w:p>
        </w:tc>
        <w:tc>
          <w:tcPr>
            <w:tcW w:w="5958" w:type="dxa"/>
            <w:gridSpan w:val="2"/>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PERFORMANCE CRITERIA</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w:t>
            </w:r>
          </w:p>
        </w:tc>
        <w:tc>
          <w:tcPr>
            <w:tcW w:w="2280"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Plan for the commissioning of metering schemes</w:t>
            </w: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1.1</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OHS practices/procedures and environmental and sustainable energy procedures, which may influence the commissioning of metering schemes, are reviewed and determined.</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1.2</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Purpose of the commissioning of metering schemes is established after data is analy</w:t>
            </w:r>
            <w:r w:rsidRPr="00B76410">
              <w:t>sed and expected outcomes of the work are confirmed with the appropriate personnel.</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1.3</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Organisational established procedures on policies and specifications for the commissioning of metering schemes are obtained or established with the appropriate perso</w:t>
            </w:r>
            <w:r w:rsidRPr="00B76410">
              <w:t>nnel.</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1.4</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Testing procedures are discussed with/directed to the appropriate personnel in order to ascertain the project brief.</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1.5</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Testing parameters are established from organisational established procedures on policies and specifications.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1.6</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Equipment/tools and personal protective equipment are selected based on specified Performance Criteria and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1.7</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Work roles and tasks are allocated according to requirements and individuals' competencies.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1.8</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Work is prioritised and sequenced for the most efficient/effective outcome, completed within an acceptable timeframe to a quality standard and in accordance with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1.9</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Liaison and communication issues with other/authorised personne</w:t>
            </w:r>
            <w:r w:rsidRPr="00B76410">
              <w:t>l, authorities, clients and land owners are resolved and activities coordinated to carry out work.</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1.10</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Risk control measures are identified, prioritised and evaluated against the work schedule.</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1.11</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Relevant work permits are secured to coordinate th</w:t>
            </w:r>
            <w:r w:rsidRPr="00B76410">
              <w:t>e performance of work according to requirements and/or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w:t>
            </w:r>
          </w:p>
        </w:tc>
        <w:tc>
          <w:tcPr>
            <w:tcW w:w="2280"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Carry out the commissioning of metering schemes</w:t>
            </w: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2.1</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Circuit/systems modelling is used to evaluate alternative proposals as per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2.2</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OHS and sustainable energy principles, functionality and practices to reduce the incidents of accidents and minimise waste are incorporated into the project in accordance with requirements and/or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2.3</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Commissioning of metering sch</w:t>
            </w:r>
            <w:r w:rsidRPr="00B76410">
              <w:t>emes decisions are made on the basis of safety and effective outcomes according to requirements and/or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2.4</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Mathematical/engineering models of the commissioning of metering schemes are used to analyse the effectiveness of the fini</w:t>
            </w:r>
            <w:r w:rsidRPr="00B76410">
              <w:t xml:space="preserve">shed project </w:t>
            </w:r>
            <w:r w:rsidRPr="00B76410">
              <w:t>as per requirements and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2.5</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Technical advice is given regarding potential hazards, safety risks and control measures so that monitoring and preventative action can be undertaken and/or appropriate authorities consult</w:t>
            </w:r>
            <w:r w:rsidRPr="00B76410">
              <w:t>ed, where necessary, in accordance with requirements and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2.6</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 xml:space="preserve">Essential knowledge and associated skills are applied to analyse specific data and compare it with compliance specifications to ensure completion </w:t>
            </w:r>
            <w:r w:rsidRPr="00B76410">
              <w:t>of the project within an agreed timeframe according to requirements.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2.7</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Testing of the commissioning of metering schemes is undertaken according to requirements and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2.8</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 xml:space="preserve">Work teams/groups are arranged/coordinated/evaluated to </w:t>
            </w:r>
            <w:r w:rsidRPr="00B76410">
              <w:t>ensure planned goals are met according to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2.9</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Solutions to non-routine problems are identified and actioned, using acquired essential knowledge and associated skills, according to requirements.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2.10</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Quality of work is monitored against personal performance agreement and/or established organisational and professional standards.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2.11</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Strategic plans are developed incorporating organisation initiatives as per established procedures.</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3</w:t>
            </w:r>
          </w:p>
        </w:tc>
        <w:tc>
          <w:tcPr>
            <w:tcW w:w="2280"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Complete the co</w:t>
            </w:r>
            <w:r w:rsidRPr="00B76410">
              <w:t>mmissioning of metering schemes</w:t>
            </w: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3.1</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Final inspections of the commissioning of metering schemes are undertaken to ensure they comply with all requirements and include all specifications and documentations needed to complete the project.</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3.2</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Appropriate p</w:t>
            </w:r>
            <w:r w:rsidRPr="00B76410">
              <w:t>ersonnel are notified of completion and reports and/or completion documents are finalised/commissioned.</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3.3</w:t>
            </w:r>
          </w:p>
        </w:tc>
        <w:tc>
          <w:tcPr>
            <w:tcW w:w="48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Reports and/or completion documents are submitted to relevant personnel/organisations for approval and, where applicable, statutory or regulatory</w:t>
            </w:r>
            <w:r w:rsidRPr="00B76410">
              <w:t xml:space="preserve"> approval.</w:t>
            </w:r>
          </w:p>
        </w:tc>
      </w:tr>
      <w:tr w:rsidTr="00582F7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3.4</w:t>
            </w:r>
          </w:p>
        </w:tc>
        <w:tc>
          <w:tcPr>
            <w:tcW w:w="4829"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Approved copies of the commissioning of metering schemes documents are issues and records are updated in accordance with established procedures.</w:t>
            </w:r>
          </w:p>
        </w:tc>
      </w:tr>
    </w:tbl>
    <w:p w:rsidR="00582F72" w:rsidP="00B76410">
      <w:pPr>
        <w:pStyle w:val="BodyText"/>
      </w:pPr>
    </w:p>
    <w:p w:rsidR="00582F72" w:rsidP="00B76410">
      <w:pPr>
        <w:pStyle w:val="BodyText"/>
      </w:pPr>
    </w:p>
    <w:p w:rsidR="00000000" w:rsidRPr="00B76410" w:rsidP="00B76410">
      <w:pPr>
        <w:pStyle w:val="Heading1"/>
      </w:pPr>
      <w:bookmarkStart w:id="9" w:name="O_264081"/>
      <w:bookmarkEnd w:id="9"/>
      <w:r w:rsidRPr="00B76410">
        <w:t>Required Skills and Knowledge</w:t>
      </w:r>
    </w:p>
    <w:tbl>
      <w:tblPr>
        <w:tblW w:w="0" w:type="auto"/>
        <w:tblLayout w:type="fixed"/>
        <w:tblCellMar>
          <w:left w:w="62" w:type="dxa"/>
          <w:right w:w="62" w:type="dxa"/>
        </w:tblCellMar>
        <w:tblLook w:val="0000"/>
      </w:tblPr>
      <w:tblGrid>
        <w:gridCol w:w="2682"/>
        <w:gridCol w:w="1307"/>
        <w:gridCol w:w="4651"/>
      </w:tblGrid>
      <w:tr w:rsidTr="00582F7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REQUIRED SKILLS AND KNOWLEDGE</w:t>
            </w:r>
          </w:p>
        </w:tc>
      </w:tr>
      <w:tr w:rsidTr="00582F7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7</w:t>
            </w:r>
            <w:r w:rsidRPr="00B76410">
              <w:t xml:space="preserve">) </w:t>
            </w:r>
            <w:r w:rsidRPr="00B76410">
              <w:rPr>
                <w:rStyle w:val="SpecialBold"/>
              </w:rPr>
              <w:t>Essential Knowledge and Associated Skills</w:t>
            </w:r>
            <w:r w:rsidRPr="00B76410">
              <w:t xml:space="preserve"> (</w:t>
            </w:r>
            <w:r w:rsidRPr="00B76410">
              <w:rPr>
                <w:rStyle w:val="SpecialBold"/>
              </w:rPr>
              <w:t>EKAS</w:t>
            </w:r>
            <w:r w:rsidRPr="00B76410">
              <w:t>): This describes the essential skills and knowledge and their level, required for this unit.</w:t>
            </w:r>
          </w:p>
        </w:tc>
      </w:tr>
      <w:tr w:rsidTr="00582F7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 xml:space="preserve">Evidence shall show that knowledge has been acquired of commissioning metering schemes. </w:t>
            </w:r>
          </w:p>
          <w:p w:rsidR="00000000" w:rsidRPr="00B76410" w:rsidP="00B76410">
            <w:pPr>
              <w:pStyle w:val="BodyText"/>
            </w:pPr>
            <w:r w:rsidRPr="00B76410">
              <w:t>All knowledge and skill</w:t>
            </w:r>
            <w:r w:rsidRPr="00B76410">
              <w:t>s detailed in this unit should be contextualised to current industry practices and technologies.</w:t>
            </w:r>
          </w:p>
          <w:p w:rsidR="00000000" w:rsidP="00B76410">
            <w:pPr>
              <w:pStyle w:val="BodyText"/>
              <w:rPr>
                <w:lang w:val="en-NZ"/>
              </w:rPr>
            </w:pPr>
            <w:r w:rsidRPr="00B76410">
              <w:t>The extent of the essential knowledge and associated skills (EKAS) required is given in Volume 2 - Part 2.2 EKAS. It forms an integral part of this unit.</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E</w:t>
            </w:r>
            <w:r w:rsidRPr="00B76410">
              <w:t xml:space="preserve">2.18.1 </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Occupational Health and Safety principles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E2.18.2</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Electrical safe working practices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E2.18.8.2</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Occupational Health and Safety , enterprise responsibilities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T2.2.15</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Metering installations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T2.3.3</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 xml:space="preserve">Statutory and safety considerations </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T2.11.15</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Visual inspection procedures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T2.11.16</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 xml:space="preserve">Commissioning procedures </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T2.11.24</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Metering devices and principles</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T2.11.28</w:t>
            </w:r>
          </w:p>
        </w:tc>
        <w:tc>
          <w:tcPr>
            <w:tcW w:w="4651"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Test equipment C - metering</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T2.11.41</w:t>
            </w:r>
          </w:p>
        </w:tc>
        <w:tc>
          <w:tcPr>
            <w:tcW w:w="4651"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 xml:space="preserve">Fault finding and diagnostic techniques </w:t>
            </w:r>
          </w:p>
        </w:tc>
      </w:tr>
    </w:tbl>
    <w:p w:rsidR="00582F72" w:rsidP="00B76410">
      <w:pPr>
        <w:pStyle w:val="BodyText"/>
      </w:pPr>
    </w:p>
    <w:p w:rsidR="00582F72" w:rsidP="00B76410">
      <w:pPr>
        <w:pStyle w:val="BodyText"/>
      </w:pPr>
    </w:p>
    <w:p w:rsidR="00000000" w:rsidRPr="00B76410" w:rsidP="00B76410">
      <w:pPr>
        <w:pStyle w:val="Heading1"/>
      </w:pPr>
      <w:bookmarkStart w:id="10" w:name="O_248273"/>
      <w:bookmarkEnd w:id="10"/>
      <w:r w:rsidRPr="00B76410">
        <w:t>Evidence Guide</w:t>
      </w:r>
    </w:p>
    <w:tbl>
      <w:tblPr>
        <w:tblW w:w="0" w:type="auto"/>
        <w:tblLayout w:type="fixed"/>
        <w:tblCellMar>
          <w:left w:w="62" w:type="dxa"/>
          <w:right w:w="62" w:type="dxa"/>
        </w:tblCellMar>
        <w:tblLook w:val="0000"/>
      </w:tblPr>
      <w:tblGrid>
        <w:gridCol w:w="2145"/>
        <w:gridCol w:w="716"/>
        <w:gridCol w:w="894"/>
        <w:gridCol w:w="2202"/>
        <w:gridCol w:w="2683"/>
      </w:tblGrid>
      <w:tr w:rsidTr="00582F72">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EVIDENCE GUIDE</w:t>
            </w:r>
          </w:p>
        </w:tc>
      </w:tr>
      <w:tr w:rsidTr="00582F7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9</w:t>
            </w:r>
            <w:r w:rsidRPr="00B76410">
              <w:t>) This provides essential advice for assessment of the unit of competency and must be read in conjunction with the Performance Criteria and the Range Statement of the unit of competency and the Training Package Assessment Guidelines.</w:t>
            </w:r>
          </w:p>
          <w:p w:rsidR="00000000" w:rsidP="00B76410">
            <w:pPr>
              <w:pStyle w:val="BodyText"/>
              <w:rPr>
                <w:lang w:val="en-NZ"/>
              </w:rPr>
            </w:pPr>
            <w:r w:rsidRPr="00B76410">
              <w:t>The Evidence Guide fo</w:t>
            </w:r>
            <w:r w:rsidRPr="00B76410">
              <w:t>rms an integral part of this Competency Standard Unit and shall be used in conjunction with all component parts of this unit and, performed in accordance with the Assessment Guidelines of this Training Package.</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Overview of Assessment</w:t>
            </w: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9</w:t>
            </w:r>
            <w:r w:rsidRPr="00B76410">
              <w:t>.</w:t>
            </w:r>
            <w:r w:rsidRPr="00B76410">
              <w:rPr>
                <w:rStyle w:val="SpecialBold"/>
              </w:rPr>
              <w:t>1</w:t>
            </w:r>
            <w:r w:rsidRPr="00B76410">
              <w:t xml:space="preserve">) </w:t>
            </w:r>
          </w:p>
          <w:p w:rsidR="00000000" w:rsidRPr="00B76410" w:rsidP="00B76410">
            <w:pPr>
              <w:pStyle w:val="BodyText"/>
            </w:pPr>
            <w:r w:rsidRPr="00B76410">
              <w:t>Longitudinal competency development approaches to assessment, such as Profiling, require data to be reliably gathered in a form that can be consistently interpreted over time. This approach is best utilised in Apprenticeship programs and reduces assessment</w:t>
            </w:r>
            <w:r w:rsidRPr="00B7641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76410">
              <w:t>tency in a realistically simulated work environment. It is recognised that, in some circumstances, assessment in part or full can occur outside the workplace. However, it must be in accord with Industry and, Regulatory policy in this regard.</w:t>
            </w:r>
          </w:p>
          <w:p w:rsidR="00000000" w:rsidRPr="00B76410" w:rsidP="00B76410">
            <w:pPr>
              <w:pStyle w:val="BodyText"/>
            </w:pPr>
            <w:r w:rsidRPr="00B76410">
              <w:t>Methods chosen</w:t>
            </w:r>
            <w:r w:rsidRPr="00B7641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76410">
              <w:t>equired and the critical nature of the competencies being assessed.</w:t>
            </w:r>
          </w:p>
          <w:p w:rsidR="00000000" w:rsidRPr="00B76410" w:rsidP="00B76410">
            <w:pPr>
              <w:pStyle w:val="BodyText"/>
            </w:pPr>
            <w:r w:rsidRPr="00B76410">
              <w:t>The critical safety nature of working with electricity, electrical equipment, gas or any other hazardous substance/material carries risk in deeming a person competent. Hence, sources of ev</w:t>
            </w:r>
            <w:r w:rsidRPr="00B76410">
              <w:t>idence need to be 'rich' in nature so as to minimise error in judgment.</w:t>
            </w:r>
          </w:p>
          <w:p w:rsidR="00000000" w:rsidP="00B76410">
            <w:pPr>
              <w:pStyle w:val="BodyText"/>
              <w:rPr>
                <w:lang w:val="en-NZ"/>
              </w:rPr>
            </w:pPr>
            <w:r w:rsidRPr="00B76410">
              <w:t>Activities associated with normal every day work have a bearing on the decision as to how much and how detailed the data gathered will contribute to its 'richness'. Some skills are mor</w:t>
            </w:r>
            <w:r w:rsidRPr="00B76410">
              <w:t>e critical to safety and operational requirements while the same skills may be more or less frequently practiced. These points are raised for the assessors to consider when choosing an assessment method and developing assessment instruments. Sample assessm</w:t>
            </w:r>
            <w:r w:rsidRPr="00B76410">
              <w:t>ent instruments are included for Assessors in the Assessment Guidelines of this Training Package.</w:t>
            </w:r>
          </w:p>
        </w:tc>
      </w:tr>
      <w:tr w:rsidTr="00582F72">
        <w:tblPrEx>
          <w:tblW w:w="0" w:type="auto"/>
          <w:tblLayout w:type="fixed"/>
          <w:tblCellMar>
            <w:left w:w="62" w:type="dxa"/>
            <w:right w:w="62" w:type="dxa"/>
          </w:tblCellMar>
          <w:tblLook w:val="0000"/>
        </w:tblPrEx>
        <w:tc>
          <w:tcPr>
            <w:tcW w:w="2145" w:type="dxa"/>
            <w:vMerge w:val="restart"/>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 xml:space="preserve">Critical aspects of evidence required to demonstrate </w:t>
            </w:r>
            <w:r w:rsidRPr="00B76410">
              <w:rPr>
                <w:rStyle w:val="SpecialBold"/>
              </w:rPr>
              <w:t>competency in this unit</w:t>
            </w: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9</w:t>
            </w:r>
            <w:r w:rsidRPr="00B76410">
              <w:t>.</w:t>
            </w:r>
            <w:r w:rsidRPr="00B76410">
              <w:rPr>
                <w:rStyle w:val="SpecialBold"/>
              </w:rPr>
              <w:t>2</w:t>
            </w:r>
            <w:r w:rsidRPr="00B76410">
              <w:t xml:space="preserve">) </w:t>
            </w:r>
          </w:p>
          <w:p w:rsidR="00000000" w:rsidP="00B76410">
            <w:pPr>
              <w:pStyle w:val="BodyText"/>
              <w:rPr>
                <w:lang w:val="en-NZ"/>
              </w:rPr>
            </w:pPr>
            <w:r w:rsidRPr="00B76410">
              <w:t>Before the critical aspects of evidence are considered all prerequisites shall be met.</w:t>
            </w:r>
          </w:p>
        </w:tc>
      </w:tr>
      <w:tr w:rsidTr="00582F72">
        <w:tblPrEx>
          <w:tblW w:w="0" w:type="auto"/>
          <w:tblLayout w:type="fixed"/>
          <w:tblCellMar>
            <w:left w:w="62" w:type="dxa"/>
            <w:right w:w="62" w:type="dxa"/>
          </w:tblCellMar>
          <w:tblLook w:val="0000"/>
        </w:tblPrEx>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Evidence for competence in this unit shall be considered holistically. Each element and associated Performance Criteria shall be demonstrated on at least two occasi</w:t>
            </w:r>
            <w:r w:rsidRPr="00B76410">
              <w:t>ons in accordance with the "Assessment Guidelines - UET09". Evidence shall also comprise:</w:t>
            </w:r>
          </w:p>
          <w:p w:rsidR="00000000" w:rsidP="00B76410">
            <w:pPr>
              <w:pStyle w:val="ListBullet"/>
              <w:rPr>
                <w:lang w:val="en-NZ"/>
              </w:rPr>
            </w:pPr>
            <w:r w:rsidRPr="00B76410">
              <w:t>A representative body of Performance Criteria demonstrated within the timeframes typically expected of the discipline, work function and industrial environment. In p</w:t>
            </w:r>
            <w:r w:rsidRPr="00B76410">
              <w:t>articular this shall incorporate evidence that shows a candidate is able to:</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Implement Occupational Health and Safety workplace procedures and practices including the use of risk control measures as specified in the Performance Criteria and range; and</w:t>
            </w:r>
          </w:p>
          <w:p w:rsidR="00000000" w:rsidRPr="00B76410" w:rsidP="00B76410">
            <w:pPr>
              <w:pStyle w:val="BodyText"/>
            </w:pPr>
            <w:r w:rsidRPr="00B76410">
              <w:t>Apply sustainable energy principles and practices as specified in the Performance Criteria and range; and</w:t>
            </w:r>
          </w:p>
          <w:p w:rsidR="00000000" w:rsidRPr="00B76410" w:rsidP="00B76410">
            <w:pPr>
              <w:pStyle w:val="BodyText"/>
            </w:pPr>
            <w:r w:rsidRPr="00B76410">
              <w:t>Demonstrate an understanding of the essential knowledge and associated skills as described in this unit to such an extent that the learner's performa</w:t>
            </w:r>
            <w:r w:rsidRPr="00B76410">
              <w:t>nce outcome is reported in accordance with the preferred approach; namely a percentile graded result, where required by the regulated environment; and</w:t>
            </w:r>
          </w:p>
          <w:p w:rsidR="00000000" w:rsidRPr="00B76410" w:rsidP="00B76410">
            <w:pPr>
              <w:pStyle w:val="BodyText"/>
            </w:pPr>
            <w:r w:rsidRPr="00B76410">
              <w:t>Demonstrate an appropriate level of employability skills; and</w:t>
            </w:r>
          </w:p>
          <w:p w:rsidR="00000000" w:rsidP="00B76410">
            <w:pPr>
              <w:pStyle w:val="BodyText"/>
              <w:rPr>
                <w:lang w:val="en-NZ"/>
              </w:rPr>
            </w:pPr>
            <w:r w:rsidRPr="00B76410">
              <w:t>Conduct work observing the relevant Anti di</w:t>
            </w:r>
            <w:r w:rsidRPr="00B76410">
              <w:t>scrimination legislation, regulations, policies and workplace procedures; and</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p>
        </w:tc>
        <w:tc>
          <w:tcPr>
            <w:tcW w:w="6495" w:type="dxa"/>
            <w:gridSpan w:val="4"/>
            <w:tcBorders>
              <w:top w:val="nil"/>
              <w:left w:val="nil"/>
              <w:bottom w:val="nil"/>
              <w:right w:val="nil"/>
            </w:tcBorders>
            <w:tcMar>
              <w:top w:w="0" w:type="dxa"/>
              <w:left w:w="62" w:type="dxa"/>
              <w:bottom w:w="0" w:type="dxa"/>
              <w:right w:w="62" w:type="dxa"/>
            </w:tcMar>
          </w:tcPr>
          <w:p w:rsidR="00000000" w:rsidP="00B76410">
            <w:pPr>
              <w:pStyle w:val="ListBullet"/>
              <w:rPr>
                <w:lang w:val="en-NZ"/>
              </w:rPr>
            </w:pPr>
            <w:r w:rsidRPr="00B76410">
              <w:t>Demonstrated performance across a representative range of contexts from the prescribed items below:</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B76410">
            <w:pPr>
              <w:pStyle w:val="BodyText"/>
              <w:keepNext w:val="0"/>
              <w:keepLines w:val="0"/>
              <w:contextualSpacing w:val="0"/>
            </w:pPr>
          </w:p>
        </w:tc>
        <w:tc>
          <w:tcPr>
            <w:tcW w:w="577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rPr>
                <w:rStyle w:val="SpecialBold"/>
              </w:rPr>
              <w:t>Range of tools</w:t>
            </w:r>
            <w:r w:rsidRPr="00B76410">
              <w:t>/</w:t>
            </w:r>
            <w:r w:rsidRPr="00B76410">
              <w:rPr>
                <w:rStyle w:val="SpecialBold"/>
              </w:rPr>
              <w:t>equipment</w:t>
            </w:r>
            <w:r w:rsidRPr="00B76410">
              <w:t>/</w:t>
            </w:r>
            <w:r w:rsidRPr="00B76410">
              <w:rPr>
                <w:rStyle w:val="SpecialBold"/>
              </w:rPr>
              <w:t>materials</w:t>
            </w:r>
            <w:r w:rsidRPr="00B76410">
              <w:t>/</w:t>
            </w:r>
            <w:r w:rsidRPr="00B76410">
              <w:rPr>
                <w:rStyle w:val="SpecialBold"/>
              </w:rPr>
              <w:t>procedures</w:t>
            </w:r>
            <w:r w:rsidRPr="00B76410">
              <w:t>/</w:t>
            </w:r>
            <w:r w:rsidRPr="00B76410">
              <w:rPr>
                <w:rStyle w:val="SpecialBold"/>
              </w:rPr>
              <w:t>workplaces</w:t>
            </w:r>
            <w:r w:rsidRPr="00B76410">
              <w:t>/</w:t>
            </w:r>
            <w:r w:rsidRPr="00B76410">
              <w:rPr>
                <w:rStyle w:val="SpecialBold"/>
              </w:rPr>
              <w:t>other variables</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B76410">
            <w:pPr>
              <w:pStyle w:val="BodyText"/>
              <w:keepNext w:val="0"/>
              <w:keepLines w:val="0"/>
              <w:contextualSpacing w:val="0"/>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410" w:rsidP="00B76410">
            <w:pPr>
              <w:pStyle w:val="BodyText"/>
            </w:pPr>
            <w:r w:rsidRPr="00B76410">
              <w:rPr>
                <w:rStyle w:val="SpecialBold"/>
              </w:rPr>
              <w:t>Group No</w:t>
            </w:r>
          </w:p>
        </w:tc>
        <w:tc>
          <w:tcPr>
            <w:tcW w:w="22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410" w:rsidP="00B76410">
            <w:pPr>
              <w:pStyle w:val="BodyText"/>
            </w:pPr>
            <w:r w:rsidRPr="00B76410">
              <w:rPr>
                <w:rStyle w:val="SpecialBold"/>
              </w:rPr>
              <w:t>The minimum number of items on which skill is to be demonstrated</w:t>
            </w:r>
          </w:p>
        </w:tc>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rPr>
                <w:rStyle w:val="SpecialBold"/>
              </w:rPr>
              <w:t>Item List</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t>A</w:t>
            </w:r>
          </w:p>
        </w:tc>
        <w:tc>
          <w:tcPr>
            <w:tcW w:w="22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t xml:space="preserve">Demonstrate commissioning metering schemes on at least three (3) occasions, testing accuracy to established plans of at least three (3) schemes </w:t>
            </w:r>
            <w:r w:rsidRPr="00B76410">
              <w:t>using the following equipment.</w:t>
            </w:r>
          </w:p>
        </w:tc>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410" w:rsidP="00B76410">
            <w:pPr>
              <w:pStyle w:val="BodyText"/>
            </w:pPr>
            <w:r w:rsidRPr="00B76410">
              <w:t>Ammeter</w:t>
            </w:r>
          </w:p>
          <w:p w:rsidR="00000000" w:rsidRPr="00B76410" w:rsidP="00B76410">
            <w:pPr>
              <w:pStyle w:val="BodyText"/>
            </w:pPr>
            <w:r w:rsidRPr="00B76410">
              <w:t>Voltmeter</w:t>
            </w:r>
          </w:p>
          <w:p w:rsidR="00000000" w:rsidRPr="00B76410" w:rsidP="00B76410">
            <w:pPr>
              <w:pStyle w:val="BodyText"/>
            </w:pPr>
            <w:r w:rsidRPr="00B76410">
              <w:t>Wattmeter</w:t>
            </w:r>
          </w:p>
          <w:p w:rsidR="00000000" w:rsidRPr="00B76410" w:rsidP="00B76410">
            <w:pPr>
              <w:pStyle w:val="BodyText"/>
            </w:pPr>
            <w:r w:rsidRPr="00B76410">
              <w:t>VAR meter</w:t>
            </w:r>
          </w:p>
          <w:p w:rsidR="00000000" w:rsidRPr="00B76410" w:rsidP="00B76410">
            <w:pPr>
              <w:pStyle w:val="BodyText"/>
            </w:pPr>
            <w:r w:rsidRPr="00B76410">
              <w:t>Energy meter*</w:t>
            </w:r>
          </w:p>
          <w:p w:rsidR="00000000" w:rsidP="00B76410">
            <w:pPr>
              <w:pStyle w:val="BodyText"/>
              <w:rPr>
                <w:lang w:val="en-NZ"/>
              </w:rPr>
            </w:pPr>
            <w:r w:rsidRPr="00B76410">
              <w:t>(*Must do)</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t>B</w:t>
            </w:r>
          </w:p>
        </w:tc>
        <w:tc>
          <w:tcPr>
            <w:tcW w:w="22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t>At least one occasion</w:t>
            </w:r>
          </w:p>
        </w:tc>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410">
            <w:pPr>
              <w:pStyle w:val="BodyText"/>
              <w:rPr>
                <w:lang w:val="en-NZ"/>
              </w:rPr>
            </w:pPr>
            <w:r w:rsidRPr="00B76410">
              <w:t>Dealing with an unplanned event by drawing on essential knowledge and assoc</w:t>
            </w:r>
            <w:r w:rsidRPr="00B76410">
              <w:t>iated skills to provide appropriate solutions incorporated in the holistic assessment with the above listed items.</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Context of and specific resources for assessment</w:t>
            </w: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9</w:t>
            </w:r>
            <w:r w:rsidRPr="00B76410">
              <w:t>.</w:t>
            </w:r>
            <w:r w:rsidRPr="00B76410">
              <w:rPr>
                <w:rStyle w:val="SpecialBold"/>
              </w:rPr>
              <w:t>3</w:t>
            </w:r>
            <w:r w:rsidRPr="00B76410">
              <w:t xml:space="preserve">) </w:t>
            </w:r>
          </w:p>
          <w:p w:rsidR="00000000" w:rsidRPr="00B76410" w:rsidP="00B76410">
            <w:pPr>
              <w:pStyle w:val="BodyText"/>
            </w:pPr>
            <w:r w:rsidRPr="00B76410">
              <w:t xml:space="preserve">This unit should be assessed as it relates to normal work practice using procedures, </w:t>
            </w:r>
            <w:r w:rsidRPr="00B76410">
              <w:t>information and resources typical of a workplace. This should include:</w:t>
            </w:r>
          </w:p>
          <w:p w:rsidR="00000000" w:rsidRPr="00B76410" w:rsidP="00B76410">
            <w:pPr>
              <w:pStyle w:val="ListBullet"/>
            </w:pPr>
            <w:r w:rsidRPr="00B76410">
              <w:t>OHS policy and work procedures and instructions.</w:t>
            </w:r>
          </w:p>
          <w:p w:rsidR="00000000" w:rsidRPr="00B76410" w:rsidP="00B76410">
            <w:pPr>
              <w:pStyle w:val="ListBullet"/>
            </w:pPr>
            <w:r w:rsidRPr="00B76410">
              <w:t>Suitable work environment, facilities, equipment and materials to undertake actual commissioning of metering schemes.</w:t>
            </w:r>
          </w:p>
          <w:p w:rsidR="00000000" w:rsidP="00B76410">
            <w:pPr>
              <w:pStyle w:val="ListBullet"/>
              <w:rPr>
                <w:lang w:val="en-NZ"/>
              </w:rPr>
            </w:pPr>
            <w:r w:rsidRPr="00B76410">
              <w:t>Operational access to relevant plant, protection or metering equipment, scheme drawings, manufacture's specifications/manuals and testing equipment.</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4"/>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In addition to the resources listed above, in Context of and specific resources for assessment, eviden</w:t>
            </w:r>
            <w:r w:rsidRPr="00B76410">
              <w:t>ce should show demonstrated competency working in realistic environment and a variety of conditions.</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Method of assessment</w:t>
            </w: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9</w:t>
            </w:r>
            <w:r w:rsidRPr="00B76410">
              <w:t>.</w:t>
            </w:r>
            <w:r w:rsidRPr="00B76410">
              <w:rPr>
                <w:rStyle w:val="SpecialBold"/>
              </w:rPr>
              <w:t>4</w:t>
            </w:r>
            <w:r w:rsidRPr="00B76410">
              <w:t xml:space="preserve">) </w:t>
            </w:r>
          </w:p>
          <w:p w:rsidR="00000000" w:rsidRPr="00B76410" w:rsidP="00B76410">
            <w:pPr>
              <w:pStyle w:val="BodyText"/>
            </w:pPr>
            <w:r w:rsidRPr="00B76410">
              <w:t>This Competency Standard Unit shall be assessed by methods given in Volume 1, Part 3 "Assessment Guidelines".</w:t>
            </w:r>
          </w:p>
          <w:p w:rsidR="00000000" w:rsidP="00B76410">
            <w:pPr>
              <w:pStyle w:val="BodyText"/>
              <w:rPr>
                <w:lang w:val="en-NZ"/>
              </w:rPr>
            </w:pPr>
            <w:r w:rsidRPr="00B76410">
              <w:t>Note:</w:t>
            </w:r>
            <w:r w:rsidRPr="00B76410">
              <w:br/>
            </w:r>
            <w:r w:rsidRPr="00B76410">
              <w:t>Competent performance with inherent safe working practices is expected in the Transmission, Distribution and Rail Traction Industry. This requires that the specified essential knowledge and associated skills are assessed in a structured environment which i</w:t>
            </w:r>
            <w:r w:rsidRPr="00B76410">
              <w:t>s primarily intended for learning/assessment and incorporates all necessary equipment and facilities for learners to develop and demonstrate the essential knowledge and associated skills described in this unit.</w:t>
            </w:r>
          </w:p>
        </w:tc>
      </w:tr>
      <w:tr w:rsidTr="00582F72">
        <w:tblPrEx>
          <w:tblW w:w="0" w:type="auto"/>
          <w:tblLayout w:type="fixed"/>
          <w:tblCellMar>
            <w:left w:w="62" w:type="dxa"/>
            <w:right w:w="62" w:type="dxa"/>
          </w:tblCellMar>
          <w:tblLook w:val="0000"/>
        </w:tblPrEx>
        <w:tc>
          <w:tcPr>
            <w:tcW w:w="2145" w:type="dxa"/>
            <w:vMerge w:val="restart"/>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Concurrent assessment and relationship wi</w:t>
            </w:r>
            <w:r w:rsidRPr="00B76410">
              <w:rPr>
                <w:rStyle w:val="SpecialBold"/>
              </w:rPr>
              <w:t>th other units</w:t>
            </w:r>
          </w:p>
        </w:tc>
        <w:tc>
          <w:tcPr>
            <w:tcW w:w="6495" w:type="dxa"/>
            <w:gridSpan w:val="4"/>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9</w:t>
            </w:r>
            <w:r w:rsidRPr="00B76410">
              <w:t>.</w:t>
            </w:r>
            <w:r w:rsidRPr="00B76410">
              <w:rPr>
                <w:rStyle w:val="SpecialBold"/>
              </w:rPr>
              <w:t>5</w:t>
            </w:r>
            <w:r w:rsidRPr="00B76410">
              <w:t>)</w:t>
            </w:r>
          </w:p>
        </w:tc>
      </w:tr>
      <w:tr w:rsidTr="00582F72">
        <w:tblPrEx>
          <w:tblW w:w="0" w:type="auto"/>
          <w:tblLayout w:type="fixed"/>
          <w:tblCellMar>
            <w:left w:w="62" w:type="dxa"/>
            <w:right w:w="62" w:type="dxa"/>
          </w:tblCellMar>
          <w:tblLook w:val="0000"/>
        </w:tblPrEx>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4"/>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There are no concurrent assessment recommendations for this unit.</w:t>
            </w:r>
          </w:p>
        </w:tc>
      </w:tr>
    </w:tbl>
    <w:p w:rsidR="00582F72" w:rsidP="00B76410">
      <w:pPr>
        <w:pStyle w:val="BodyText"/>
      </w:pPr>
    </w:p>
    <w:p w:rsidR="00582F72" w:rsidP="00B76410">
      <w:pPr>
        <w:pStyle w:val="BodyText"/>
      </w:pPr>
    </w:p>
    <w:p w:rsidR="00000000" w:rsidRPr="00B76410" w:rsidP="00B76410">
      <w:pPr>
        <w:pStyle w:val="Heading1"/>
      </w:pPr>
      <w:bookmarkStart w:id="11" w:name="O_256257"/>
      <w:bookmarkEnd w:id="11"/>
      <w:r w:rsidRPr="00B76410">
        <w:t>Range Statement</w:t>
      </w:r>
    </w:p>
    <w:tbl>
      <w:tblPr>
        <w:tblW w:w="0" w:type="auto"/>
        <w:tblLayout w:type="fixed"/>
        <w:tblCellMar>
          <w:left w:w="62" w:type="dxa"/>
          <w:right w:w="62" w:type="dxa"/>
        </w:tblCellMar>
        <w:tblLook w:val="0000"/>
      </w:tblPr>
      <w:tblGrid>
        <w:gridCol w:w="2145"/>
        <w:gridCol w:w="6495"/>
      </w:tblGrid>
      <w:tr w:rsidTr="00582F7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RANGE STATEMENT</w:t>
            </w:r>
          </w:p>
        </w:tc>
      </w:tr>
      <w:tr w:rsidTr="00582F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8</w:t>
            </w:r>
            <w:r w:rsidRPr="00B76410">
              <w:t xml:space="preserve">) This relates to the unit of competency as a whole providing the range of contexts and conditions </w:t>
            </w:r>
            <w:r w:rsidRPr="00B76410">
              <w:t>to which the Performance Criteria apply. It allows for different work environments and situations that will affect performance.</w:t>
            </w:r>
          </w:p>
        </w:tc>
      </w:tr>
      <w:tr w:rsidTr="00582F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This Competency Standard Unit shall/may be demonstrated in relation to the commissioning of metering schemes and may include the following: isolation, inspection, monitoring, testing, adjustment, and repair, refurbishment and or overhaul and function check</w:t>
            </w:r>
            <w:r w:rsidRPr="00B76410">
              <w:t>s on schemes including ammeters, voltmeters, wattmeters, VAR meters and energy metering.</w:t>
            </w:r>
          </w:p>
          <w:p w:rsidR="00000000" w:rsidP="00B76410">
            <w:pPr>
              <w:pStyle w:val="BodyText"/>
              <w:rPr>
                <w:lang w:val="en-NZ"/>
              </w:rPr>
            </w:pPr>
            <w:r w:rsidRPr="00B76410">
              <w:t>The following constants and variables included in the element/Performance Criteria in this unit are fully described in the Definitions Section 1 of this volume and for</w:t>
            </w:r>
            <w:r w:rsidRPr="00B76410">
              <w:t>m an integral part of the Range Statement of this unit:</w:t>
            </w:r>
          </w:p>
        </w:tc>
      </w:tr>
      <w:tr w:rsidTr="00582F72">
        <w:tblPrEx>
          <w:tblW w:w="0" w:type="auto"/>
          <w:tblLayout w:type="fixed"/>
          <w:tblCellMar>
            <w:left w:w="62" w:type="dxa"/>
            <w:right w:w="62" w:type="dxa"/>
          </w:tblCellMar>
          <w:tblLook w:val="0000"/>
        </w:tblPrEx>
        <w:tc>
          <w:tcPr>
            <w:tcW w:w="2145"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p>
        </w:tc>
        <w:tc>
          <w:tcPr>
            <w:tcW w:w="6495" w:type="dxa"/>
            <w:tcBorders>
              <w:top w:val="nil"/>
              <w:left w:val="nil"/>
              <w:bottom w:val="nil"/>
              <w:right w:val="nil"/>
            </w:tcBorders>
            <w:tcMar>
              <w:top w:w="0" w:type="dxa"/>
              <w:left w:w="62" w:type="dxa"/>
              <w:bottom w:w="0" w:type="dxa"/>
              <w:right w:w="62" w:type="dxa"/>
            </w:tcMar>
          </w:tcPr>
          <w:p w:rsidR="00000000" w:rsidRPr="00B76410" w:rsidP="00B76410">
            <w:pPr>
              <w:pStyle w:val="ListBullet"/>
            </w:pPr>
            <w:r w:rsidRPr="00B76410">
              <w:t>Appropriate and relevant persons (see Personnel)</w:t>
            </w:r>
          </w:p>
          <w:p w:rsidR="00000000" w:rsidRPr="00B76410" w:rsidP="00B76410">
            <w:pPr>
              <w:pStyle w:val="ListBullet"/>
            </w:pPr>
            <w:r w:rsidRPr="00B76410">
              <w:t>Appropriate authorities</w:t>
            </w:r>
          </w:p>
          <w:p w:rsidR="00000000" w:rsidRPr="00B76410" w:rsidP="00B76410">
            <w:pPr>
              <w:pStyle w:val="ListBullet"/>
            </w:pPr>
            <w:r w:rsidRPr="00B76410">
              <w:t>Appropriate work platform</w:t>
            </w:r>
          </w:p>
          <w:p w:rsidR="00000000" w:rsidRPr="00B76410" w:rsidP="00B76410">
            <w:pPr>
              <w:pStyle w:val="ListBullet"/>
            </w:pPr>
            <w:r w:rsidRPr="00B76410">
              <w:t>Assessing risk</w:t>
            </w:r>
          </w:p>
          <w:p w:rsidR="00000000" w:rsidRPr="00B76410" w:rsidP="00B76410">
            <w:pPr>
              <w:pStyle w:val="ListBullet"/>
            </w:pPr>
            <w:r w:rsidRPr="00B76410">
              <w:t>Assessment</w:t>
            </w:r>
          </w:p>
          <w:p w:rsidR="00000000" w:rsidRPr="00B76410" w:rsidP="00B76410">
            <w:pPr>
              <w:pStyle w:val="ListBullet"/>
            </w:pPr>
            <w:r w:rsidRPr="00B76410">
              <w:t>Authorisation</w:t>
            </w:r>
          </w:p>
          <w:p w:rsidR="00000000" w:rsidRPr="00B76410" w:rsidP="00B76410">
            <w:pPr>
              <w:pStyle w:val="ListBullet"/>
            </w:pPr>
            <w:r w:rsidRPr="00B76410">
              <w:t>Confined space</w:t>
            </w:r>
          </w:p>
          <w:p w:rsidR="00000000" w:rsidRPr="00B76410" w:rsidP="00B76410">
            <w:pPr>
              <w:pStyle w:val="ListBullet"/>
            </w:pPr>
            <w:r w:rsidRPr="00B76410">
              <w:t>Diagnostic, testing and restoration</w:t>
            </w:r>
          </w:p>
          <w:p w:rsidR="00000000" w:rsidRPr="00B76410" w:rsidP="00B76410">
            <w:pPr>
              <w:pStyle w:val="ListBullet"/>
            </w:pPr>
            <w:r w:rsidRPr="00B76410">
              <w:t>Documenting detail work events, record keeping and or storage of information</w:t>
            </w:r>
          </w:p>
          <w:p w:rsidR="00000000" w:rsidRPr="00B76410" w:rsidP="00B76410">
            <w:pPr>
              <w:pStyle w:val="ListBullet"/>
            </w:pPr>
            <w:r w:rsidRPr="00B76410">
              <w:t>Drawings and specifications</w:t>
            </w:r>
          </w:p>
          <w:p w:rsidR="00000000" w:rsidRPr="00B76410" w:rsidP="00B76410">
            <w:pPr>
              <w:pStyle w:val="ListBullet"/>
            </w:pPr>
            <w:r w:rsidRPr="00B76410">
              <w:t>Emergency</w:t>
            </w:r>
          </w:p>
          <w:p w:rsidR="00000000" w:rsidRPr="00B76410" w:rsidP="00B76410">
            <w:pPr>
              <w:pStyle w:val="ListBullet"/>
            </w:pPr>
            <w:r w:rsidRPr="00B76410">
              <w:t>Environmental and sustainable energy procedures</w:t>
            </w:r>
          </w:p>
          <w:p w:rsidR="00000000" w:rsidRPr="00B76410" w:rsidP="00B76410">
            <w:pPr>
              <w:pStyle w:val="ListBullet"/>
            </w:pPr>
            <w:r w:rsidRPr="00B76410">
              <w:t>Environmental legislation</w:t>
            </w:r>
          </w:p>
          <w:p w:rsidR="00000000" w:rsidRPr="00B76410" w:rsidP="00B76410">
            <w:pPr>
              <w:pStyle w:val="ListBullet"/>
            </w:pPr>
            <w:r w:rsidRPr="00B76410">
              <w:t>Environmental management documentation</w:t>
            </w:r>
          </w:p>
          <w:p w:rsidR="00000000" w:rsidRPr="00B76410" w:rsidP="00B76410">
            <w:pPr>
              <w:pStyle w:val="ListBullet"/>
            </w:pPr>
            <w:r w:rsidRPr="00B76410">
              <w:t>Established procedures</w:t>
            </w:r>
          </w:p>
          <w:p w:rsidR="00000000" w:rsidRPr="00B76410" w:rsidP="00B76410">
            <w:pPr>
              <w:pStyle w:val="ListBullet"/>
            </w:pPr>
            <w:r w:rsidRPr="00B76410">
              <w:t xml:space="preserve">Fall </w:t>
            </w:r>
            <w:r w:rsidRPr="00B76410">
              <w:t>prevention</w:t>
            </w:r>
          </w:p>
          <w:p w:rsidR="00000000" w:rsidRPr="00B76410" w:rsidP="00B76410">
            <w:pPr>
              <w:pStyle w:val="ListBullet"/>
            </w:pPr>
            <w:r w:rsidRPr="00B76410">
              <w:t>Hazards</w:t>
            </w:r>
          </w:p>
          <w:p w:rsidR="00000000" w:rsidRPr="00B76410" w:rsidP="00B76410">
            <w:pPr>
              <w:pStyle w:val="ListBullet"/>
            </w:pPr>
            <w:r w:rsidRPr="00B76410">
              <w:t>Identifying hazards</w:t>
            </w:r>
          </w:p>
          <w:p w:rsidR="00000000" w:rsidRPr="00B76410" w:rsidP="00B76410">
            <w:pPr>
              <w:pStyle w:val="ListBullet"/>
            </w:pPr>
            <w:r w:rsidRPr="00B76410">
              <w:t>Inspect</w:t>
            </w:r>
          </w:p>
          <w:p w:rsidR="00000000" w:rsidRPr="00B76410" w:rsidP="00B76410">
            <w:pPr>
              <w:pStyle w:val="ListBullet"/>
            </w:pPr>
            <w:r w:rsidRPr="00B76410">
              <w:t>Legislation</w:t>
            </w:r>
          </w:p>
          <w:p w:rsidR="00000000" w:rsidRPr="00B76410" w:rsidP="00B76410">
            <w:pPr>
              <w:pStyle w:val="ListBullet"/>
            </w:pPr>
            <w:r w:rsidRPr="00B76410">
              <w:t>MSDS</w:t>
            </w:r>
          </w:p>
          <w:p w:rsidR="00000000" w:rsidRPr="00B76410" w:rsidP="00B76410">
            <w:pPr>
              <w:pStyle w:val="ListBullet"/>
            </w:pPr>
            <w:r w:rsidRPr="00B76410">
              <w:t>Notification</w:t>
            </w:r>
          </w:p>
          <w:p w:rsidR="00000000" w:rsidRPr="00B76410" w:rsidP="00B76410">
            <w:pPr>
              <w:pStyle w:val="ListBullet"/>
            </w:pPr>
            <w:r w:rsidRPr="00B76410">
              <w:t>OHS practices</w:t>
            </w:r>
          </w:p>
          <w:p w:rsidR="00000000" w:rsidRPr="00B76410" w:rsidP="00B76410">
            <w:pPr>
              <w:pStyle w:val="ListBullet"/>
            </w:pPr>
            <w:r w:rsidRPr="00B76410">
              <w:t>OHS issues</w:t>
            </w:r>
          </w:p>
          <w:p w:rsidR="00000000" w:rsidRPr="00B76410" w:rsidP="00B76410">
            <w:pPr>
              <w:pStyle w:val="ListBullet"/>
            </w:pPr>
            <w:r w:rsidRPr="00B76410">
              <w:t>Permits and/or permits to work</w:t>
            </w:r>
          </w:p>
          <w:p w:rsidR="00000000" w:rsidRPr="00B76410" w:rsidP="00B76410">
            <w:pPr>
              <w:pStyle w:val="ListBullet"/>
            </w:pPr>
            <w:r w:rsidRPr="00B76410">
              <w:t>Personnel</w:t>
            </w:r>
          </w:p>
          <w:p w:rsidR="00000000" w:rsidRPr="00B76410" w:rsidP="00B76410">
            <w:pPr>
              <w:pStyle w:val="ListBullet"/>
            </w:pPr>
            <w:r w:rsidRPr="00B76410">
              <w:t>Quality assurance systems</w:t>
            </w:r>
          </w:p>
          <w:p w:rsidR="00000000" w:rsidRPr="00B76410" w:rsidP="00B76410">
            <w:pPr>
              <w:pStyle w:val="ListBullet"/>
            </w:pPr>
            <w:r w:rsidRPr="00B76410">
              <w:t>Requirements</w:t>
            </w:r>
          </w:p>
          <w:p w:rsidR="00000000" w:rsidRPr="00B76410" w:rsidP="00B76410">
            <w:pPr>
              <w:pStyle w:val="ListBullet"/>
            </w:pPr>
            <w:r w:rsidRPr="00B76410">
              <w:t>Testing procedures</w:t>
            </w:r>
          </w:p>
          <w:p w:rsidR="00000000" w:rsidRPr="00B76410" w:rsidP="00B76410">
            <w:pPr>
              <w:pStyle w:val="ListBullet"/>
            </w:pPr>
            <w:r w:rsidRPr="00B76410">
              <w:t>Work clearance systems</w:t>
            </w:r>
          </w:p>
        </w:tc>
      </w:tr>
    </w:tbl>
    <w:p w:rsidR="00582F72" w:rsidP="00B76410">
      <w:pPr>
        <w:pStyle w:val="BodyText"/>
      </w:pPr>
    </w:p>
    <w:p w:rsidR="00582F72" w:rsidP="00B76410">
      <w:pPr>
        <w:pStyle w:val="BodyText"/>
      </w:pPr>
    </w:p>
    <w:p w:rsidR="00000000" w:rsidRPr="00B76410" w:rsidP="00B76410">
      <w:pPr>
        <w:pStyle w:val="Heading1"/>
      </w:pPr>
      <w:bookmarkStart w:id="12" w:name="O_297270"/>
      <w:bookmarkEnd w:id="12"/>
      <w:r w:rsidRPr="00B76410">
        <w:t>Unit Sector(s)</w:t>
      </w:r>
    </w:p>
    <w:p w:rsidR="00000000" w:rsidRPr="00B76410" w:rsidP="00B76410">
      <w:pPr>
        <w:pStyle w:val="BodyText"/>
      </w:pPr>
      <w:r w:rsidRPr="00B76410">
        <w:t>Not Applicable</w:t>
      </w:r>
    </w:p>
    <w:p w:rsidR="00000000" w:rsidRPr="00B76410" w:rsidP="00B76410">
      <w:pPr>
        <w:pStyle w:val="AllowPageBreak"/>
      </w:pPr>
    </w:p>
    <w:p w:rsidR="00000000" w:rsidRPr="00B76410" w:rsidP="00B76410">
      <w:pPr>
        <w:pStyle w:val="Heading1"/>
      </w:pPr>
      <w:bookmarkStart w:id="13" w:name="O_232183"/>
      <w:bookmarkEnd w:id="13"/>
      <w:r w:rsidRPr="00B76410">
        <w:t>2.2) Literacy and numeracy skills</w:t>
      </w:r>
    </w:p>
    <w:tbl>
      <w:tblPr>
        <w:tblW w:w="0" w:type="auto"/>
        <w:tblLayout w:type="fixed"/>
        <w:tblCellMar>
          <w:left w:w="62" w:type="dxa"/>
          <w:right w:w="62" w:type="dxa"/>
        </w:tblCellMar>
        <w:tblLook w:val="0000"/>
      </w:tblPr>
      <w:tblGrid>
        <w:gridCol w:w="1765"/>
        <w:gridCol w:w="1160"/>
        <w:gridCol w:w="1705"/>
        <w:gridCol w:w="1162"/>
        <w:gridCol w:w="1688"/>
        <w:gridCol w:w="1160"/>
      </w:tblGrid>
      <w:tr w:rsidTr="00582F72">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2</w:t>
            </w:r>
            <w:r w:rsidRPr="00B76410">
              <w:t>.</w:t>
            </w:r>
            <w:r w:rsidRPr="00B76410">
              <w:rPr>
                <w:rStyle w:val="SpecialBold"/>
              </w:rPr>
              <w:t>2</w:t>
            </w:r>
            <w:r w:rsidRPr="00B76410">
              <w:t xml:space="preserve">) </w:t>
            </w:r>
            <w:r w:rsidRPr="00B76410">
              <w:rPr>
                <w:rStyle w:val="SpecialBold"/>
              </w:rPr>
              <w:t>Literacy and numeracy skills</w:t>
            </w:r>
          </w:p>
          <w:p w:rsidR="00000000" w:rsidP="00B76410">
            <w:pPr>
              <w:pStyle w:val="BodyText"/>
              <w:rPr>
                <w:lang w:val="en-NZ"/>
              </w:rPr>
            </w:pPr>
            <w:r w:rsidRPr="00B76410">
              <w:t>Participants are best equipped to achieve this unit if they have reading, writing and numeracy skills indicated by the following scales. Desc</w:t>
            </w:r>
            <w:r w:rsidRPr="00B76410">
              <w:t>ription of each scale is given in Volume 2, Part 3 "Literacy and Numeracy"</w:t>
            </w:r>
          </w:p>
        </w:tc>
      </w:tr>
      <w:tr w:rsidTr="00582F72">
        <w:tblPrEx>
          <w:tblW w:w="0" w:type="auto"/>
          <w:tblLayout w:type="fixed"/>
          <w:tblCellMar>
            <w:left w:w="62" w:type="dxa"/>
            <w:right w:w="62" w:type="dxa"/>
          </w:tblCellMar>
          <w:tblLook w:val="0000"/>
        </w:tblPrEx>
        <w:tc>
          <w:tcPr>
            <w:tcW w:w="1765"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Reading</w:t>
            </w:r>
          </w:p>
        </w:tc>
        <w:tc>
          <w:tcPr>
            <w:tcW w:w="1160"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5</w:t>
            </w:r>
          </w:p>
        </w:tc>
        <w:tc>
          <w:tcPr>
            <w:tcW w:w="1705"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Writing</w:t>
            </w:r>
          </w:p>
        </w:tc>
        <w:tc>
          <w:tcPr>
            <w:tcW w:w="1162"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5</w:t>
            </w:r>
          </w:p>
        </w:tc>
        <w:tc>
          <w:tcPr>
            <w:tcW w:w="1688"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t>Numeracy</w:t>
            </w:r>
          </w:p>
        </w:tc>
        <w:tc>
          <w:tcPr>
            <w:tcW w:w="1160"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5</w:t>
            </w:r>
          </w:p>
        </w:tc>
      </w:tr>
    </w:tbl>
    <w:p w:rsidR="00582F72" w:rsidP="00B76410">
      <w:pPr>
        <w:pStyle w:val="BodyText"/>
      </w:pPr>
    </w:p>
    <w:p w:rsidR="00582F72" w:rsidP="00B76410">
      <w:pPr>
        <w:pStyle w:val="BodyText"/>
      </w:pPr>
    </w:p>
    <w:p w:rsidR="00000000" w:rsidRPr="00B76410" w:rsidP="00B76410">
      <w:pPr>
        <w:pStyle w:val="Heading1"/>
      </w:pPr>
      <w:bookmarkStart w:id="14" w:name="O_232186"/>
      <w:bookmarkEnd w:id="14"/>
      <w:r w:rsidRPr="00B76410">
        <w:t>Competency Field</w:t>
      </w:r>
    </w:p>
    <w:tbl>
      <w:tblPr>
        <w:tblW w:w="0" w:type="auto"/>
        <w:tblLayout w:type="fixed"/>
        <w:tblCellMar>
          <w:left w:w="62" w:type="dxa"/>
          <w:right w:w="62" w:type="dxa"/>
        </w:tblCellMar>
        <w:tblLook w:val="0000"/>
      </w:tblPr>
      <w:tblGrid>
        <w:gridCol w:w="2682"/>
        <w:gridCol w:w="5958"/>
      </w:tblGrid>
      <w:tr w:rsidTr="00582F72">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rPr>
                <w:rStyle w:val="SpecialBold"/>
              </w:rPr>
              <w:t>Competency Field</w:t>
            </w:r>
          </w:p>
        </w:tc>
        <w:tc>
          <w:tcPr>
            <w:tcW w:w="5958" w:type="dxa"/>
            <w:tcBorders>
              <w:top w:val="nil"/>
              <w:left w:val="nil"/>
              <w:bottom w:val="nil"/>
              <w:right w:val="nil"/>
            </w:tcBorders>
            <w:tcMar>
              <w:top w:w="0" w:type="dxa"/>
              <w:left w:w="62" w:type="dxa"/>
              <w:bottom w:w="0" w:type="dxa"/>
              <w:right w:w="62" w:type="dxa"/>
            </w:tcMar>
          </w:tcPr>
          <w:p w:rsidR="00000000" w:rsidP="00B76410">
            <w:pPr>
              <w:pStyle w:val="BodyText"/>
              <w:rPr>
                <w:lang w:val="en-NZ"/>
              </w:rPr>
            </w:pPr>
            <w:r w:rsidRPr="00B76410">
              <w:rPr>
                <w:rStyle w:val="SpecialBold"/>
              </w:rPr>
              <w:t>5</w:t>
            </w:r>
            <w:r w:rsidRPr="00B76410">
              <w:t>)</w:t>
            </w:r>
          </w:p>
        </w:tc>
      </w:tr>
      <w:tr w:rsidTr="00582F72">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nil"/>
              <w:left w:val="nil"/>
              <w:bottom w:val="nil"/>
              <w:right w:val="nil"/>
            </w:tcBorders>
            <w:tcMar>
              <w:top w:w="0" w:type="dxa"/>
              <w:left w:w="62" w:type="dxa"/>
              <w:bottom w:w="0" w:type="dxa"/>
              <w:right w:w="62" w:type="dxa"/>
            </w:tcMar>
          </w:tcPr>
          <w:p w:rsidR="00000000" w:rsidRPr="00B76410" w:rsidP="00B76410">
            <w:pPr>
              <w:pStyle w:val="BodyText"/>
            </w:pPr>
            <w:r w:rsidRPr="00B76410">
              <w:t>Testing Units</w:t>
            </w:r>
          </w:p>
        </w:tc>
      </w:tr>
    </w:tbl>
    <w:p w:rsidR="00582F72" w:rsidP="00B76410">
      <w:pPr>
        <w:pStyle w:val="BodyText"/>
      </w:pPr>
    </w:p>
    <w:p w:rsidR="00582F72" w:rsidP="00B76410">
      <w:pPr>
        <w:pStyle w:val="BodyText"/>
      </w:pPr>
    </w:p>
    <w:p w:rsidR="00000000" w:rsidRPr="00B76410" w:rsidP="00B76410"/>
    <w:sectPr w:rsidSect="00B76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F72" w:rsidP="00582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72" w:rsidP="00B76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82F72" w:rsidP="00B764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2F72" w:rsidP="00B764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F72" w:rsidP="00582F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72" w:rsidP="00B76410">
    <w:pPr>
      <w:pStyle w:val="Header"/>
      <w:framePr w:wrap="around"/>
    </w:pPr>
    <w:r>
      <w:fldChar w:fldCharType="begin"/>
    </w:r>
    <w:r>
      <w:instrText xml:space="preserve"> TITLE   \* MERGEFORMAT </w:instrText>
    </w:r>
    <w:r>
      <w:fldChar w:fldCharType="separate"/>
    </w:r>
    <w:r>
      <w:t>UETTDRTS06B Commission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2F72" w:rsidP="00B764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80E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0D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410"/>
    <w:pPr>
      <w:spacing w:before="360" w:after="60"/>
      <w:outlineLvl w:val="0"/>
    </w:pPr>
    <w:rPr>
      <w:sz w:val="32"/>
    </w:rPr>
  </w:style>
  <w:style w:type="paragraph" w:styleId="Heading2">
    <w:name w:val="heading 2"/>
    <w:basedOn w:val="HeadingBase"/>
    <w:next w:val="BodyText"/>
    <w:link w:val="Heading2Char"/>
    <w:qFormat/>
    <w:rsid w:val="00B76410"/>
    <w:pPr>
      <w:keepLines/>
      <w:spacing w:before="240" w:after="120"/>
      <w:outlineLvl w:val="1"/>
    </w:pPr>
    <w:rPr>
      <w:sz w:val="28"/>
      <w:szCs w:val="40"/>
    </w:rPr>
  </w:style>
  <w:style w:type="paragraph" w:styleId="Heading3">
    <w:name w:val="heading 3"/>
    <w:basedOn w:val="HeadingBase"/>
    <w:next w:val="BodyText"/>
    <w:link w:val="Heading3Char"/>
    <w:qFormat/>
    <w:rsid w:val="00B76410"/>
    <w:pPr>
      <w:spacing w:before="180" w:after="120"/>
      <w:outlineLvl w:val="2"/>
    </w:pPr>
    <w:rPr>
      <w:spacing w:val="-10"/>
      <w:kern w:val="32"/>
    </w:rPr>
  </w:style>
  <w:style w:type="paragraph" w:styleId="Heading4">
    <w:name w:val="heading 4"/>
    <w:basedOn w:val="HeadingBase"/>
    <w:next w:val="BodyText"/>
    <w:link w:val="Heading4Char"/>
    <w:qFormat/>
    <w:rsid w:val="00B76410"/>
    <w:pPr>
      <w:spacing w:before="160" w:after="120"/>
      <w:outlineLvl w:val="3"/>
    </w:pPr>
    <w:rPr>
      <w:sz w:val="22"/>
    </w:rPr>
  </w:style>
  <w:style w:type="paragraph" w:styleId="Heading5">
    <w:name w:val="heading 5"/>
    <w:basedOn w:val="HeadingBase"/>
    <w:next w:val="Normal"/>
    <w:link w:val="Heading5Char"/>
    <w:qFormat/>
    <w:rsid w:val="00B76410"/>
    <w:pPr>
      <w:spacing w:before="80"/>
      <w:outlineLvl w:val="4"/>
    </w:pPr>
    <w:rPr>
      <w:color w:val="918585"/>
      <w:sz w:val="20"/>
    </w:rPr>
  </w:style>
  <w:style w:type="paragraph" w:styleId="Heading6">
    <w:name w:val="heading 6"/>
    <w:basedOn w:val="HeadingBase"/>
    <w:next w:val="Normal"/>
    <w:link w:val="Heading6Char"/>
    <w:qFormat/>
    <w:rsid w:val="00B76410"/>
    <w:pPr>
      <w:spacing w:before="60"/>
      <w:outlineLvl w:val="5"/>
    </w:pPr>
    <w:rPr>
      <w:color w:val="918585"/>
      <w:sz w:val="20"/>
    </w:rPr>
  </w:style>
  <w:style w:type="paragraph" w:styleId="Heading7">
    <w:name w:val="heading 7"/>
    <w:basedOn w:val="Normal"/>
    <w:next w:val="Normal"/>
    <w:link w:val="Heading7Char"/>
    <w:qFormat/>
    <w:rsid w:val="00B76410"/>
    <w:pPr>
      <w:ind w:left="720"/>
      <w:outlineLvl w:val="6"/>
    </w:pPr>
    <w:rPr>
      <w:i/>
    </w:rPr>
  </w:style>
  <w:style w:type="paragraph" w:styleId="Heading8">
    <w:name w:val="heading 8"/>
    <w:basedOn w:val="Normal"/>
    <w:next w:val="Normal"/>
    <w:link w:val="Heading8Char"/>
    <w:qFormat/>
    <w:rsid w:val="00B76410"/>
    <w:pPr>
      <w:ind w:left="720"/>
      <w:outlineLvl w:val="7"/>
    </w:pPr>
    <w:rPr>
      <w:i/>
    </w:rPr>
  </w:style>
  <w:style w:type="paragraph" w:styleId="Heading9">
    <w:name w:val="heading 9"/>
    <w:basedOn w:val="Normal"/>
    <w:next w:val="Normal"/>
    <w:link w:val="Heading9Char"/>
    <w:qFormat/>
    <w:rsid w:val="00B76410"/>
    <w:pPr>
      <w:ind w:left="720"/>
      <w:outlineLvl w:val="8"/>
    </w:pPr>
    <w:rPr>
      <w:i/>
    </w:rPr>
  </w:style>
  <w:style w:type="character" w:default="1" w:styleId="DefaultParagraphFont">
    <w:name w:val="Default Paragraph Font"/>
    <w:uiPriority w:val="1"/>
    <w:unhideWhenUsed/>
    <w:rsid w:val="00B76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410"/>
  </w:style>
  <w:style w:type="character" w:customStyle="1" w:styleId="Heading1Char">
    <w:name w:val="Heading 1 Char"/>
    <w:basedOn w:val="DefaultParagraphFont"/>
    <w:link w:val="Heading1"/>
    <w:rsid w:val="00B76410"/>
    <w:rPr>
      <w:rFonts w:ascii="Times New Roman" w:eastAsia="Times New Roman" w:hAnsi="Times New Roman" w:cs="Times New Roman"/>
      <w:b/>
      <w:sz w:val="32"/>
      <w:szCs w:val="20"/>
      <w:lang w:eastAsia="en-US"/>
    </w:rPr>
  </w:style>
  <w:style w:type="paragraph" w:styleId="BodyText">
    <w:name w:val="Body Text"/>
    <w:basedOn w:val="Normal"/>
    <w:link w:val="BodyTextChar"/>
    <w:rsid w:val="00B764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410"/>
    <w:rPr>
      <w:rFonts w:ascii="Times New Roman" w:eastAsia="Times New Roman" w:hAnsi="Times New Roman" w:cs="Times New Roman"/>
      <w:sz w:val="24"/>
      <w:lang w:val="en-US" w:eastAsia="en-US"/>
    </w:rPr>
  </w:style>
  <w:style w:type="paragraph" w:styleId="Footer">
    <w:name w:val="footer"/>
    <w:basedOn w:val="Normal"/>
    <w:link w:val="FooterChar"/>
    <w:rsid w:val="00B76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410"/>
    <w:rPr>
      <w:rFonts w:ascii="Times New Roman" w:eastAsia="Times New Roman" w:hAnsi="Times New Roman" w:cs="Times New Roman"/>
      <w:sz w:val="16"/>
      <w:lang w:val="en-US" w:eastAsia="en-US"/>
    </w:rPr>
  </w:style>
  <w:style w:type="paragraph" w:styleId="ListBullet">
    <w:name w:val="List Bullet"/>
    <w:basedOn w:val="List"/>
    <w:rsid w:val="00B76410"/>
    <w:pPr>
      <w:numPr>
        <w:numId w:val="12"/>
      </w:numPr>
      <w:tabs>
        <w:tab w:val="clear" w:pos="340"/>
      </w:tabs>
      <w:spacing w:before="40" w:after="40"/>
    </w:pPr>
  </w:style>
  <w:style w:type="character" w:customStyle="1" w:styleId="SpecialBold">
    <w:name w:val="Special Bold"/>
    <w:basedOn w:val="DefaultParagraphFont"/>
    <w:rsid w:val="00B76410"/>
    <w:rPr>
      <w:b/>
      <w:spacing w:val="0"/>
    </w:rPr>
  </w:style>
  <w:style w:type="paragraph" w:styleId="Header">
    <w:name w:val="header"/>
    <w:basedOn w:val="Normal"/>
    <w:link w:val="HeaderChar"/>
    <w:rsid w:val="00B76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4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6410"/>
    <w:pPr>
      <w:spacing w:before="240" w:after="120"/>
      <w:outlineLvl w:val="0"/>
    </w:pPr>
    <w:rPr>
      <w:rFonts w:ascii="Times New Roman" w:hAnsi="Times New Roman"/>
      <w:b/>
      <w:sz w:val="28"/>
    </w:rPr>
  </w:style>
  <w:style w:type="paragraph" w:customStyle="1" w:styleId="AllowPageBreak">
    <w:name w:val="AllowPageBreak"/>
    <w:rsid w:val="00B76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4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4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410"/>
    <w:rPr>
      <w:rFonts w:ascii="Courier New" w:eastAsia="Times New Roman" w:hAnsi="Courier New" w:cs="Times New Roman"/>
      <w:i/>
      <w:szCs w:val="20"/>
      <w:lang w:val="en-US" w:eastAsia="en-US"/>
    </w:rPr>
  </w:style>
  <w:style w:type="paragraph" w:customStyle="1" w:styleId="HeadingBase">
    <w:name w:val="Heading Base"/>
    <w:rsid w:val="00B76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410"/>
    <w:pPr>
      <w:tabs>
        <w:tab w:val="right" w:leader="dot" w:pos="9072"/>
      </w:tabs>
      <w:ind w:left="567"/>
    </w:pPr>
    <w:rPr>
      <w:szCs w:val="22"/>
    </w:rPr>
  </w:style>
  <w:style w:type="paragraph" w:customStyle="1" w:styleId="TOCBase">
    <w:name w:val="TOC Base"/>
    <w:rsid w:val="00B76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410"/>
    <w:pPr>
      <w:tabs>
        <w:tab w:val="right" w:leader="dot" w:pos="9072"/>
      </w:tabs>
      <w:spacing w:before="40" w:after="40"/>
      <w:ind w:left="284"/>
    </w:pPr>
    <w:rPr>
      <w:rFonts w:ascii="Times New Roman" w:hAnsi="Times New Roman"/>
    </w:rPr>
  </w:style>
  <w:style w:type="paragraph" w:styleId="TOC1">
    <w:name w:val="toc 1"/>
    <w:basedOn w:val="TOCBase"/>
    <w:next w:val="Normal"/>
    <w:rsid w:val="00B764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410"/>
    <w:pPr>
      <w:spacing w:before="5040"/>
      <w:jc w:val="center"/>
    </w:pPr>
    <w:rPr>
      <w:sz w:val="48"/>
      <w:szCs w:val="72"/>
      <w:lang w:val="en-US"/>
    </w:rPr>
  </w:style>
  <w:style w:type="character" w:customStyle="1" w:styleId="TitleChar">
    <w:name w:val="Title Char"/>
    <w:basedOn w:val="DefaultParagraphFont"/>
    <w:link w:val="Title"/>
    <w:rsid w:val="00B76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410"/>
    <w:pPr>
      <w:tabs>
        <w:tab w:val="left" w:pos="3600"/>
        <w:tab w:val="left" w:pos="3958"/>
      </w:tabs>
    </w:pPr>
  </w:style>
  <w:style w:type="paragraph" w:styleId="List">
    <w:name w:val="List"/>
    <w:basedOn w:val="BodyText"/>
    <w:next w:val="BodyText"/>
    <w:rsid w:val="00B76410"/>
    <w:pPr>
      <w:tabs>
        <w:tab w:val="left" w:pos="340"/>
      </w:tabs>
      <w:spacing w:before="60" w:after="60"/>
      <w:ind w:left="340" w:hanging="340"/>
    </w:pPr>
  </w:style>
  <w:style w:type="paragraph" w:customStyle="1" w:styleId="Note">
    <w:name w:val="Note"/>
    <w:basedOn w:val="BodyText"/>
    <w:rsid w:val="00B76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410"/>
    <w:pPr>
      <w:framePr w:wrap="auto" w:hAnchor="text" w:y="6049"/>
    </w:pPr>
    <w:rPr>
      <w:color w:val="000000"/>
      <w:sz w:val="40"/>
    </w:rPr>
  </w:style>
  <w:style w:type="paragraph" w:customStyle="1" w:styleId="TOCTitle">
    <w:name w:val="TOCTitle"/>
    <w:basedOn w:val="Heading1"/>
    <w:rsid w:val="00B76410"/>
    <w:pPr>
      <w:spacing w:after="240"/>
      <w:jc w:val="center"/>
      <w:outlineLvl w:val="9"/>
    </w:pPr>
    <w:rPr>
      <w:caps/>
    </w:rPr>
  </w:style>
  <w:style w:type="paragraph" w:customStyle="1" w:styleId="Version">
    <w:name w:val="Version"/>
    <w:rsid w:val="00B764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410"/>
    <w:pPr>
      <w:numPr>
        <w:numId w:val="13"/>
      </w:numPr>
      <w:tabs>
        <w:tab w:val="clear" w:pos="680"/>
      </w:tabs>
    </w:pPr>
  </w:style>
  <w:style w:type="paragraph" w:styleId="Index1">
    <w:name w:val="index 1"/>
    <w:basedOn w:val="Normal"/>
    <w:next w:val="Normal"/>
    <w:semiHidden/>
    <w:rsid w:val="00B76410"/>
    <w:pPr>
      <w:keepNext w:val="0"/>
      <w:tabs>
        <w:tab w:val="right" w:pos="4176"/>
      </w:tabs>
      <w:ind w:left="198" w:hanging="198"/>
    </w:pPr>
    <w:rPr>
      <w:rFonts w:ascii="Garamond" w:hAnsi="Garamond"/>
    </w:rPr>
  </w:style>
  <w:style w:type="paragraph" w:styleId="IndexHeading">
    <w:name w:val="index heading"/>
    <w:basedOn w:val="Normal"/>
    <w:next w:val="Index1"/>
    <w:semiHidden/>
    <w:rsid w:val="00B76410"/>
    <w:pPr>
      <w:spacing w:before="120" w:after="120"/>
    </w:pPr>
    <w:rPr>
      <w:rFonts w:ascii="Arial" w:hAnsi="Arial"/>
      <w:b/>
      <w:color w:val="918585"/>
      <w:sz w:val="24"/>
    </w:rPr>
  </w:style>
  <w:style w:type="paragraph" w:customStyle="1" w:styleId="Chapter">
    <w:name w:val="Chapter"/>
    <w:basedOn w:val="Normal"/>
    <w:rsid w:val="00B76410"/>
    <w:pPr>
      <w:spacing w:before="240"/>
    </w:pPr>
    <w:rPr>
      <w:rFonts w:ascii="Times New Roman" w:hAnsi="Times New Roman"/>
      <w:smallCaps/>
      <w:spacing w:val="80"/>
      <w:sz w:val="28"/>
    </w:rPr>
  </w:style>
  <w:style w:type="paragraph" w:customStyle="1" w:styleId="InChapter">
    <w:name w:val="InChapter"/>
    <w:basedOn w:val="Heading3"/>
    <w:rsid w:val="00B76410"/>
    <w:pPr>
      <w:spacing w:after="240"/>
      <w:outlineLvl w:val="9"/>
    </w:pPr>
    <w:rPr>
      <w:noProof/>
    </w:rPr>
  </w:style>
  <w:style w:type="paragraph" w:styleId="Index2">
    <w:name w:val="index 2"/>
    <w:basedOn w:val="Normal"/>
    <w:next w:val="Normal"/>
    <w:semiHidden/>
    <w:rsid w:val="00B76410"/>
    <w:pPr>
      <w:tabs>
        <w:tab w:val="right" w:pos="4176"/>
      </w:tabs>
      <w:ind w:left="568" w:hanging="284"/>
    </w:pPr>
    <w:rPr>
      <w:rFonts w:ascii="Garamond" w:hAnsi="Garamond"/>
    </w:rPr>
  </w:style>
  <w:style w:type="paragraph" w:customStyle="1" w:styleId="Byline">
    <w:name w:val="Byline"/>
    <w:rsid w:val="00B76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410"/>
    <w:pPr>
      <w:tabs>
        <w:tab w:val="clear" w:pos="3600"/>
        <w:tab w:val="clear" w:pos="3958"/>
      </w:tabs>
      <w:jc w:val="right"/>
    </w:pPr>
  </w:style>
  <w:style w:type="character" w:styleId="Emphasis">
    <w:name w:val="Emphasis"/>
    <w:basedOn w:val="DefaultParagraphFont"/>
    <w:qFormat/>
    <w:rsid w:val="00B76410"/>
    <w:rPr>
      <w:i/>
    </w:rPr>
  </w:style>
  <w:style w:type="paragraph" w:styleId="Caption">
    <w:name w:val="caption"/>
    <w:basedOn w:val="BodyText"/>
    <w:next w:val="Normal"/>
    <w:qFormat/>
    <w:rsid w:val="00B76410"/>
    <w:pPr>
      <w:framePr w:w="2268" w:hSpace="181" w:vSpace="181" w:wrap="around" w:vAnchor="text" w:hAnchor="page" w:x="1135" w:y="285" w:anchorLock="1"/>
    </w:pPr>
    <w:rPr>
      <w:i/>
    </w:rPr>
  </w:style>
  <w:style w:type="paragraph" w:customStyle="1" w:styleId="MiniTOCTitle">
    <w:name w:val="MiniTOCTitle"/>
    <w:basedOn w:val="Heading4"/>
    <w:rsid w:val="00B76410"/>
    <w:pPr>
      <w:spacing w:before="240"/>
      <w:outlineLvl w:val="9"/>
    </w:pPr>
    <w:rPr>
      <w:noProof/>
      <w:sz w:val="24"/>
    </w:rPr>
  </w:style>
  <w:style w:type="paragraph" w:customStyle="1" w:styleId="MiniTOCItem">
    <w:name w:val="MiniTOCItem"/>
    <w:basedOn w:val="ListBullet"/>
    <w:rsid w:val="00B76410"/>
    <w:pPr>
      <w:numPr>
        <w:numId w:val="0"/>
      </w:numPr>
      <w:tabs>
        <w:tab w:val="right" w:leader="dot" w:pos="6521"/>
      </w:tabs>
      <w:spacing w:before="0" w:after="0"/>
    </w:pPr>
  </w:style>
  <w:style w:type="paragraph" w:customStyle="1" w:styleId="TOFTitle">
    <w:name w:val="TOFTitle"/>
    <w:basedOn w:val="TOCTitle"/>
    <w:rsid w:val="00B76410"/>
  </w:style>
  <w:style w:type="paragraph" w:styleId="TableofFigures">
    <w:name w:val="table of figures"/>
    <w:basedOn w:val="Normal"/>
    <w:next w:val="Normal"/>
    <w:semiHidden/>
    <w:rsid w:val="00B76410"/>
    <w:pPr>
      <w:tabs>
        <w:tab w:val="right" w:leader="dot" w:pos="9072"/>
      </w:tabs>
      <w:ind w:left="970" w:hanging="403"/>
    </w:pPr>
    <w:rPr>
      <w:rFonts w:ascii="Times New Roman" w:hAnsi="Times New Roman"/>
      <w:b/>
    </w:rPr>
  </w:style>
  <w:style w:type="paragraph" w:styleId="ListNumber">
    <w:name w:val="List Number"/>
    <w:basedOn w:val="List"/>
    <w:rsid w:val="00B76410"/>
    <w:pPr>
      <w:numPr>
        <w:numId w:val="10"/>
      </w:numPr>
    </w:pPr>
  </w:style>
  <w:style w:type="character" w:customStyle="1" w:styleId="WingdingSymbols">
    <w:name w:val="Wingding Symbols"/>
    <w:rsid w:val="00B76410"/>
    <w:rPr>
      <w:rFonts w:ascii="Wingdings" w:hAnsi="Wingdings"/>
    </w:rPr>
  </w:style>
  <w:style w:type="paragraph" w:customStyle="1" w:styleId="TableHeading">
    <w:name w:val="Table Heading"/>
    <w:basedOn w:val="HeadingBase"/>
    <w:rsid w:val="00B76410"/>
    <w:pPr>
      <w:keepLines/>
      <w:pBdr>
        <w:bottom w:val="single" w:sz="6" w:space="1" w:color="918585"/>
      </w:pBdr>
      <w:spacing w:before="240"/>
    </w:pPr>
  </w:style>
  <w:style w:type="character" w:customStyle="1" w:styleId="HotSpot">
    <w:name w:val="HotSpot"/>
    <w:rsid w:val="00B76410"/>
    <w:rPr>
      <w:color w:val="0033CC"/>
      <w:u w:val="none"/>
    </w:rPr>
  </w:style>
  <w:style w:type="paragraph" w:customStyle="1" w:styleId="BodyTextRight">
    <w:name w:val="Body Text Right"/>
    <w:basedOn w:val="BodyText"/>
    <w:rsid w:val="00B76410"/>
    <w:pPr>
      <w:spacing w:before="0" w:after="0"/>
      <w:jc w:val="right"/>
    </w:pPr>
  </w:style>
  <w:style w:type="paragraph" w:styleId="Index3">
    <w:name w:val="index 3"/>
    <w:basedOn w:val="ListNumber2"/>
    <w:next w:val="Normal"/>
    <w:semiHidden/>
    <w:rsid w:val="00B76410"/>
    <w:pPr>
      <w:numPr>
        <w:numId w:val="0"/>
      </w:numPr>
      <w:tabs>
        <w:tab w:val="right" w:leader="dot" w:pos="4176"/>
      </w:tabs>
    </w:pPr>
  </w:style>
  <w:style w:type="paragraph" w:styleId="ListNumber2">
    <w:name w:val="List Number 2"/>
    <w:basedOn w:val="List2"/>
    <w:rsid w:val="00B76410"/>
    <w:pPr>
      <w:numPr>
        <w:numId w:val="9"/>
      </w:numPr>
      <w:tabs>
        <w:tab w:val="clear" w:pos="1060"/>
      </w:tabs>
    </w:pPr>
  </w:style>
  <w:style w:type="paragraph" w:customStyle="1" w:styleId="MarginNote">
    <w:name w:val="Margin Note"/>
    <w:basedOn w:val="BodyText"/>
    <w:rsid w:val="00B76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4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410"/>
    <w:rPr>
      <w:sz w:val="32"/>
    </w:rPr>
  </w:style>
  <w:style w:type="paragraph" w:customStyle="1" w:styleId="HeadingProcedure">
    <w:name w:val="Heading Procedure"/>
    <w:basedOn w:val="HeadingBase"/>
    <w:next w:val="Normal"/>
    <w:rsid w:val="00B76410"/>
    <w:pPr>
      <w:tabs>
        <w:tab w:val="left" w:pos="0"/>
      </w:tabs>
      <w:spacing w:before="120" w:after="60"/>
    </w:pPr>
    <w:rPr>
      <w:i/>
      <w:color w:val="918585"/>
      <w:sz w:val="22"/>
    </w:rPr>
  </w:style>
  <w:style w:type="paragraph" w:customStyle="1" w:styleId="TableBodyText">
    <w:name w:val="Table Body Text"/>
    <w:basedOn w:val="BodyText"/>
    <w:rsid w:val="00B76410"/>
    <w:pPr>
      <w:spacing w:before="60" w:after="60"/>
    </w:pPr>
  </w:style>
  <w:style w:type="paragraph" w:styleId="ListContinue">
    <w:name w:val="List Continue"/>
    <w:basedOn w:val="List"/>
    <w:rsid w:val="00B76410"/>
    <w:pPr>
      <w:ind w:firstLine="0"/>
    </w:pPr>
  </w:style>
  <w:style w:type="paragraph" w:customStyle="1" w:styleId="ListNote">
    <w:name w:val="List Note"/>
    <w:basedOn w:val="List"/>
    <w:rsid w:val="00B76410"/>
    <w:pPr>
      <w:pBdr>
        <w:top w:val="single" w:sz="6" w:space="2" w:color="918585"/>
        <w:bottom w:val="single" w:sz="6" w:space="2" w:color="918585"/>
      </w:pBdr>
      <w:tabs>
        <w:tab w:val="left" w:pos="1021"/>
      </w:tabs>
      <w:ind w:firstLine="0"/>
    </w:pPr>
  </w:style>
  <w:style w:type="paragraph" w:customStyle="1" w:styleId="Warning">
    <w:name w:val="Warning"/>
    <w:basedOn w:val="BodyText"/>
    <w:rsid w:val="00B76410"/>
    <w:pPr>
      <w:shd w:val="clear" w:color="auto" w:fill="D9D9D9"/>
      <w:tabs>
        <w:tab w:val="left" w:pos="992"/>
      </w:tabs>
      <w:ind w:left="119" w:right="119"/>
    </w:pPr>
    <w:rPr>
      <w:sz w:val="20"/>
    </w:rPr>
  </w:style>
  <w:style w:type="paragraph" w:customStyle="1" w:styleId="MarginIcons">
    <w:name w:val="Margin Icons"/>
    <w:basedOn w:val="BodyText"/>
    <w:rsid w:val="00B76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410"/>
    <w:rPr>
      <w:rFonts w:ascii="Courier New" w:hAnsi="Courier New"/>
    </w:rPr>
  </w:style>
  <w:style w:type="paragraph" w:customStyle="1" w:styleId="NoteBullet">
    <w:name w:val="Note Bullet"/>
    <w:basedOn w:val="Note"/>
    <w:rsid w:val="00B76410"/>
    <w:pPr>
      <w:tabs>
        <w:tab w:val="clear" w:pos="680"/>
      </w:tabs>
      <w:spacing w:before="60" w:after="60"/>
    </w:pPr>
  </w:style>
  <w:style w:type="paragraph" w:customStyle="1" w:styleId="SubHeading2">
    <w:name w:val="SubHeading2"/>
    <w:basedOn w:val="HeadingBase"/>
    <w:rsid w:val="00B76410"/>
    <w:pPr>
      <w:spacing w:before="240" w:after="60"/>
    </w:pPr>
    <w:rPr>
      <w:sz w:val="20"/>
    </w:rPr>
  </w:style>
  <w:style w:type="paragraph" w:customStyle="1" w:styleId="SubHeading1">
    <w:name w:val="SubHeading1"/>
    <w:basedOn w:val="HeadingBase"/>
    <w:rsid w:val="00B76410"/>
    <w:pPr>
      <w:spacing w:before="240" w:after="60"/>
    </w:pPr>
    <w:rPr>
      <w:color w:val="918585"/>
      <w:sz w:val="22"/>
    </w:rPr>
  </w:style>
  <w:style w:type="paragraph" w:customStyle="1" w:styleId="SideHeading">
    <w:name w:val="Side Heading"/>
    <w:basedOn w:val="HeadingBase"/>
    <w:rsid w:val="00B76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410"/>
    <w:pPr>
      <w:tabs>
        <w:tab w:val="num" w:pos="360"/>
      </w:tabs>
    </w:pPr>
  </w:style>
  <w:style w:type="paragraph" w:styleId="PlainText">
    <w:name w:val="Plain Text"/>
    <w:basedOn w:val="Normal"/>
    <w:link w:val="PlainTextChar"/>
    <w:rsid w:val="00B76410"/>
    <w:rPr>
      <w:sz w:val="20"/>
    </w:rPr>
  </w:style>
  <w:style w:type="character" w:customStyle="1" w:styleId="PlainTextChar">
    <w:name w:val="Plain Text Char"/>
    <w:basedOn w:val="DefaultParagraphFont"/>
    <w:link w:val="PlainText"/>
    <w:rsid w:val="00B764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6410"/>
    <w:rPr>
      <w:b/>
      <w:smallCaps/>
    </w:rPr>
  </w:style>
  <w:style w:type="paragraph" w:customStyle="1" w:styleId="TableListNumber">
    <w:name w:val="Table List Number"/>
    <w:basedOn w:val="ListNumber"/>
    <w:rsid w:val="00B76410"/>
    <w:pPr>
      <w:numPr>
        <w:numId w:val="0"/>
      </w:numPr>
    </w:pPr>
  </w:style>
  <w:style w:type="paragraph" w:styleId="TOC4">
    <w:name w:val="toc 4"/>
    <w:basedOn w:val="TOCBase"/>
    <w:next w:val="Normal"/>
    <w:semiHidden/>
    <w:rsid w:val="00B76410"/>
    <w:pPr>
      <w:tabs>
        <w:tab w:val="right" w:leader="dot" w:pos="9071"/>
      </w:tabs>
      <w:ind w:left="1701"/>
    </w:pPr>
  </w:style>
  <w:style w:type="paragraph" w:customStyle="1" w:styleId="ListAlpha">
    <w:name w:val="List Alpha"/>
    <w:basedOn w:val="List"/>
    <w:rsid w:val="00B76410"/>
    <w:pPr>
      <w:numPr>
        <w:numId w:val="8"/>
      </w:numPr>
    </w:pPr>
  </w:style>
  <w:style w:type="paragraph" w:customStyle="1" w:styleId="ListAlpha2">
    <w:name w:val="List Alpha 2"/>
    <w:basedOn w:val="List2"/>
    <w:rsid w:val="00B76410"/>
    <w:pPr>
      <w:numPr>
        <w:numId w:val="7"/>
      </w:numPr>
    </w:pPr>
  </w:style>
  <w:style w:type="paragraph" w:styleId="List2">
    <w:name w:val="List 2"/>
    <w:basedOn w:val="BodyText"/>
    <w:rsid w:val="00B76410"/>
    <w:pPr>
      <w:tabs>
        <w:tab w:val="left" w:pos="680"/>
      </w:tabs>
      <w:spacing w:before="60" w:after="60"/>
      <w:ind w:left="680" w:hanging="340"/>
    </w:pPr>
  </w:style>
  <w:style w:type="paragraph" w:styleId="List3">
    <w:name w:val="List 3"/>
    <w:basedOn w:val="BodyText"/>
    <w:rsid w:val="00B76410"/>
    <w:pPr>
      <w:tabs>
        <w:tab w:val="left" w:pos="1021"/>
      </w:tabs>
      <w:spacing w:before="60" w:after="60"/>
      <w:ind w:left="1020" w:hanging="340"/>
    </w:pPr>
  </w:style>
  <w:style w:type="paragraph" w:styleId="List4">
    <w:name w:val="List 4"/>
    <w:basedOn w:val="BodyText"/>
    <w:rsid w:val="00B76410"/>
    <w:pPr>
      <w:tabs>
        <w:tab w:val="left" w:pos="1361"/>
      </w:tabs>
      <w:spacing w:before="60" w:after="60"/>
      <w:ind w:left="1361" w:hanging="340"/>
    </w:pPr>
  </w:style>
  <w:style w:type="paragraph" w:styleId="List5">
    <w:name w:val="List 5"/>
    <w:basedOn w:val="BodyText"/>
    <w:rsid w:val="00B76410"/>
    <w:pPr>
      <w:tabs>
        <w:tab w:val="left" w:pos="1701"/>
      </w:tabs>
      <w:spacing w:before="60" w:after="60"/>
      <w:ind w:left="1701" w:hanging="340"/>
    </w:pPr>
  </w:style>
  <w:style w:type="paragraph" w:styleId="ListBullet3">
    <w:name w:val="List Bullet 3"/>
    <w:basedOn w:val="List3"/>
    <w:rsid w:val="00B76410"/>
    <w:pPr>
      <w:numPr>
        <w:numId w:val="14"/>
      </w:numPr>
      <w:tabs>
        <w:tab w:val="clear" w:pos="1021"/>
      </w:tabs>
      <w:ind w:left="1037" w:hanging="357"/>
    </w:pPr>
  </w:style>
  <w:style w:type="paragraph" w:styleId="ListBullet4">
    <w:name w:val="List Bullet 4"/>
    <w:basedOn w:val="List4"/>
    <w:rsid w:val="00B76410"/>
    <w:pPr>
      <w:numPr>
        <w:numId w:val="2"/>
      </w:numPr>
    </w:pPr>
  </w:style>
  <w:style w:type="paragraph" w:styleId="ListBullet5">
    <w:name w:val="List Bullet 5"/>
    <w:basedOn w:val="List5"/>
    <w:rsid w:val="00B76410"/>
    <w:pPr>
      <w:numPr>
        <w:numId w:val="3"/>
      </w:numPr>
    </w:pPr>
  </w:style>
  <w:style w:type="paragraph" w:styleId="ListContinue2">
    <w:name w:val="List Continue 2"/>
    <w:basedOn w:val="List2"/>
    <w:rsid w:val="00B76410"/>
    <w:pPr>
      <w:ind w:firstLine="0"/>
    </w:pPr>
  </w:style>
  <w:style w:type="paragraph" w:styleId="ListContinue3">
    <w:name w:val="List Continue 3"/>
    <w:basedOn w:val="List3"/>
    <w:rsid w:val="00B76410"/>
    <w:pPr>
      <w:ind w:left="1021" w:firstLine="0"/>
    </w:pPr>
  </w:style>
  <w:style w:type="paragraph" w:styleId="ListContinue4">
    <w:name w:val="List Continue 4"/>
    <w:basedOn w:val="List4"/>
    <w:rsid w:val="00B76410"/>
    <w:pPr>
      <w:ind w:firstLine="0"/>
    </w:pPr>
  </w:style>
  <w:style w:type="paragraph" w:styleId="ListContinue5">
    <w:name w:val="List Continue 5"/>
    <w:basedOn w:val="List5"/>
    <w:rsid w:val="00B76410"/>
    <w:pPr>
      <w:ind w:firstLine="0"/>
    </w:pPr>
  </w:style>
  <w:style w:type="paragraph" w:styleId="ListNumber3">
    <w:name w:val="List Number 3"/>
    <w:basedOn w:val="List3"/>
    <w:rsid w:val="00B76410"/>
    <w:pPr>
      <w:numPr>
        <w:numId w:val="4"/>
      </w:numPr>
    </w:pPr>
  </w:style>
  <w:style w:type="paragraph" w:styleId="ListNumber4">
    <w:name w:val="List Number 4"/>
    <w:basedOn w:val="List4"/>
    <w:rsid w:val="00B76410"/>
    <w:pPr>
      <w:numPr>
        <w:numId w:val="5"/>
      </w:numPr>
    </w:pPr>
  </w:style>
  <w:style w:type="paragraph" w:styleId="ListNumber5">
    <w:name w:val="List Number 5"/>
    <w:basedOn w:val="List5"/>
    <w:rsid w:val="00B76410"/>
    <w:pPr>
      <w:numPr>
        <w:numId w:val="6"/>
      </w:numPr>
    </w:pPr>
  </w:style>
  <w:style w:type="paragraph" w:styleId="BlockText">
    <w:name w:val="Block Text"/>
    <w:basedOn w:val="Normal"/>
    <w:rsid w:val="00B76410"/>
    <w:pPr>
      <w:spacing w:after="120"/>
      <w:ind w:left="1440" w:right="1440"/>
    </w:pPr>
  </w:style>
  <w:style w:type="character" w:customStyle="1" w:styleId="Subscript">
    <w:name w:val="Subscript"/>
    <w:basedOn w:val="DefaultParagraphFont"/>
    <w:rsid w:val="00B76410"/>
    <w:rPr>
      <w:sz w:val="16"/>
      <w:vertAlign w:val="subscript"/>
    </w:rPr>
  </w:style>
  <w:style w:type="character" w:customStyle="1" w:styleId="Superscript">
    <w:name w:val="Superscript"/>
    <w:basedOn w:val="DefaultParagraphFont"/>
    <w:rsid w:val="00B76410"/>
    <w:rPr>
      <w:sz w:val="16"/>
      <w:vertAlign w:val="superscript"/>
    </w:rPr>
  </w:style>
  <w:style w:type="character" w:customStyle="1" w:styleId="Symbols">
    <w:name w:val="Symbols"/>
    <w:basedOn w:val="DefaultParagraphFont"/>
    <w:rsid w:val="00B76410"/>
    <w:rPr>
      <w:rFonts w:ascii="Symbol" w:hAnsi="Symbol"/>
    </w:rPr>
  </w:style>
  <w:style w:type="character" w:customStyle="1" w:styleId="MenuOptions">
    <w:name w:val="Menu Options"/>
    <w:basedOn w:val="DefaultParagraphFont"/>
    <w:rsid w:val="00B76410"/>
    <w:rPr>
      <w:rFonts w:ascii="Arial Narrow" w:hAnsi="Arial Narrow"/>
      <w:smallCaps/>
    </w:rPr>
  </w:style>
  <w:style w:type="character" w:customStyle="1" w:styleId="Buttons">
    <w:name w:val="Buttons"/>
    <w:basedOn w:val="DefaultParagraphFont"/>
    <w:rsid w:val="00B76410"/>
    <w:rPr>
      <w:b/>
    </w:rPr>
  </w:style>
  <w:style w:type="character" w:customStyle="1" w:styleId="Underlined">
    <w:name w:val="Underlined"/>
    <w:basedOn w:val="DefaultParagraphFont"/>
    <w:rsid w:val="00B76410"/>
    <w:rPr>
      <w:u w:val="single"/>
    </w:rPr>
  </w:style>
  <w:style w:type="paragraph" w:customStyle="1" w:styleId="TableBodyTextRight">
    <w:name w:val="Table Body Text Right"/>
    <w:basedOn w:val="TableBodyText"/>
    <w:rsid w:val="00B76410"/>
    <w:pPr>
      <w:widowControl w:val="0"/>
      <w:autoSpaceDE w:val="0"/>
      <w:autoSpaceDN w:val="0"/>
      <w:adjustRightInd w:val="0"/>
      <w:jc w:val="right"/>
    </w:pPr>
    <w:rPr>
      <w:rFonts w:cs="Arial"/>
      <w:szCs w:val="18"/>
    </w:rPr>
  </w:style>
  <w:style w:type="paragraph" w:customStyle="1" w:styleId="CopyrightText">
    <w:name w:val="Copyright Text"/>
    <w:basedOn w:val="BodyText"/>
    <w:rsid w:val="00B76410"/>
    <w:rPr>
      <w:sz w:val="18"/>
    </w:rPr>
  </w:style>
  <w:style w:type="paragraph" w:customStyle="1" w:styleId="BodySmallRight">
    <w:name w:val="Body Small Right"/>
    <w:basedOn w:val="BodyTextRight"/>
    <w:rsid w:val="00B76410"/>
    <w:rPr>
      <w:sz w:val="18"/>
      <w:szCs w:val="18"/>
    </w:rPr>
  </w:style>
  <w:style w:type="paragraph" w:customStyle="1" w:styleId="MarginEdition">
    <w:name w:val="Margin Edition"/>
    <w:basedOn w:val="MarginNote"/>
    <w:rsid w:val="00B76410"/>
    <w:pPr>
      <w:spacing w:before="0" w:after="0"/>
    </w:pPr>
    <w:rPr>
      <w:rFonts w:ascii="Times New Roman" w:hAnsi="Times New Roman"/>
      <w:color w:val="999999"/>
    </w:rPr>
  </w:style>
  <w:style w:type="paragraph" w:customStyle="1" w:styleId="Spacer">
    <w:name w:val="Spacer"/>
    <w:basedOn w:val="Normal"/>
    <w:rsid w:val="00B76410"/>
    <w:rPr>
      <w:sz w:val="2"/>
      <w:szCs w:val="2"/>
    </w:rPr>
  </w:style>
  <w:style w:type="character" w:customStyle="1" w:styleId="Small">
    <w:name w:val="Small"/>
    <w:basedOn w:val="DefaultParagraphFont"/>
    <w:rsid w:val="00B76410"/>
    <w:rPr>
      <w:sz w:val="16"/>
    </w:rPr>
  </w:style>
  <w:style w:type="paragraph" w:customStyle="1" w:styleId="WideTable">
    <w:name w:val="Wide Table"/>
    <w:basedOn w:val="Normal"/>
    <w:rsid w:val="00B76410"/>
    <w:pPr>
      <w:ind w:left="-1418"/>
    </w:pPr>
    <w:rPr>
      <w:sz w:val="2"/>
      <w:szCs w:val="2"/>
    </w:rPr>
  </w:style>
  <w:style w:type="character" w:styleId="PageNumber">
    <w:name w:val="page number"/>
    <w:basedOn w:val="DefaultParagraphFont"/>
    <w:rsid w:val="00B76410"/>
  </w:style>
  <w:style w:type="paragraph" w:styleId="Quote">
    <w:name w:val="Quote"/>
    <w:basedOn w:val="Heading1"/>
    <w:link w:val="QuoteChar"/>
    <w:qFormat/>
    <w:rsid w:val="00B76410"/>
    <w:rPr>
      <w:b w:val="0"/>
      <w:sz w:val="72"/>
      <w:szCs w:val="72"/>
      <w:lang w:val="en-NZ"/>
    </w:rPr>
  </w:style>
  <w:style w:type="character" w:customStyle="1" w:styleId="QuoteChar">
    <w:name w:val="Quote Char"/>
    <w:basedOn w:val="DefaultParagraphFont"/>
    <w:link w:val="Quote"/>
    <w:rsid w:val="00B76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410"/>
    <w:pPr>
      <w:pageBreakBefore/>
    </w:pPr>
  </w:style>
  <w:style w:type="paragraph" w:customStyle="1" w:styleId="Border">
    <w:name w:val="Border"/>
    <w:basedOn w:val="Normal"/>
    <w:qFormat/>
    <w:rsid w:val="00B76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410"/>
    <w:rPr>
      <w:b/>
      <w:bCs/>
      <w:i/>
      <w:iCs/>
      <w:color w:val="auto"/>
    </w:rPr>
  </w:style>
  <w:style w:type="paragraph" w:styleId="IntenseQuote">
    <w:name w:val="Intense Quote"/>
    <w:basedOn w:val="Normal"/>
    <w:next w:val="Normal"/>
    <w:link w:val="IntenseQuoteChar"/>
    <w:uiPriority w:val="30"/>
    <w:qFormat/>
    <w:rsid w:val="00B76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4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6410"/>
    <w:rPr>
      <w:smallCaps/>
      <w:color w:val="auto"/>
      <w:u w:val="single"/>
    </w:rPr>
  </w:style>
  <w:style w:type="character" w:styleId="IntenseReference">
    <w:name w:val="Intense Reference"/>
    <w:basedOn w:val="DefaultParagraphFont"/>
    <w:uiPriority w:val="32"/>
    <w:qFormat/>
    <w:rsid w:val="00B76410"/>
    <w:rPr>
      <w:b/>
      <w:bCs/>
      <w:smallCaps/>
      <w:color w:val="auto"/>
      <w:spacing w:val="5"/>
      <w:u w:val="single"/>
    </w:rPr>
  </w:style>
  <w:style w:type="paragraph" w:customStyle="1" w:styleId="2ColumnHeading">
    <w:name w:val="2Column Heading"/>
    <w:basedOn w:val="BodyText"/>
    <w:qFormat/>
    <w:rsid w:val="00B76410"/>
    <w:pPr>
      <w:spacing w:after="60"/>
      <w:ind w:left="-2268"/>
    </w:pPr>
    <w:rPr>
      <w:b/>
    </w:rPr>
  </w:style>
  <w:style w:type="paragraph" w:customStyle="1" w:styleId="Heading1TOC">
    <w:name w:val="Heading1 TOC"/>
    <w:basedOn w:val="Normal"/>
    <w:qFormat/>
    <w:rsid w:val="00B76410"/>
    <w:pPr>
      <w:spacing w:before="240" w:after="120"/>
    </w:pPr>
    <w:rPr>
      <w:rFonts w:ascii="Times New Roman" w:hAnsi="Times New Roman"/>
      <w:b/>
      <w:sz w:val="32"/>
    </w:rPr>
  </w:style>
  <w:style w:type="paragraph" w:customStyle="1" w:styleId="Heading2TOC">
    <w:name w:val="Heading2 TOC"/>
    <w:basedOn w:val="Normal"/>
    <w:qFormat/>
    <w:rsid w:val="00B76410"/>
    <w:pPr>
      <w:spacing w:before="240" w:after="60"/>
    </w:pPr>
    <w:rPr>
      <w:rFonts w:ascii="Times New Roman" w:hAnsi="Times New Roman"/>
      <w:b/>
      <w:sz w:val="28"/>
    </w:rPr>
  </w:style>
  <w:style w:type="character" w:customStyle="1" w:styleId="Underline">
    <w:name w:val="Underline"/>
    <w:basedOn w:val="DefaultParagraphFont"/>
    <w:qFormat/>
    <w:rsid w:val="00B76410"/>
    <w:rPr>
      <w:u w:val="single"/>
    </w:rPr>
  </w:style>
  <w:style w:type="character" w:customStyle="1" w:styleId="BoldandItalics">
    <w:name w:val="Bold and Italics"/>
    <w:qFormat/>
    <w:rsid w:val="00B76410"/>
    <w:rPr>
      <w:b/>
      <w:i/>
      <w:u w:val="none"/>
    </w:rPr>
  </w:style>
  <w:style w:type="paragraph" w:styleId="BalloonText">
    <w:name w:val="Balloon Text"/>
    <w:basedOn w:val="Normal"/>
    <w:link w:val="BalloonTextChar"/>
    <w:rsid w:val="00B76410"/>
    <w:rPr>
      <w:rFonts w:ascii="Tahoma" w:hAnsi="Tahoma" w:cs="Tahoma"/>
      <w:sz w:val="16"/>
      <w:szCs w:val="16"/>
    </w:rPr>
  </w:style>
  <w:style w:type="character" w:customStyle="1" w:styleId="BalloonTextChar">
    <w:name w:val="Balloon Text Char"/>
    <w:basedOn w:val="DefaultParagraphFont"/>
    <w:link w:val="BalloonText"/>
    <w:rsid w:val="00B764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4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4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2151</Words>
  <Characters>13461</Characters>
  <Application>Microsoft Office Word</Application>
  <DocSecurity>0</DocSecurity>
  <Lines>549</Lines>
  <Paragraphs>219</Paragraphs>
  <ScaleCrop>false</ScaleCrop>
  <Company>Author-it Software Corporation Ltd.</Company>
  <LinksUpToDate>false</LinksUpToDate>
  <CharactersWithSpaces>15438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UETTDRTS06B Commission metering schemes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