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18B" w:rsidP="002C318B">
      <w:pPr>
        <w:pStyle w:val="Title"/>
      </w:pPr>
      <w:bookmarkStart w:id="0" w:name="_GoBack"/>
      <w:bookmarkEnd w:id="0"/>
      <w:r>
        <w:fldChar w:fldCharType="begin"/>
      </w:r>
      <w:r>
        <w:instrText xml:space="preserve"> TITLE   \* MERGEFORMAT </w:instrText>
      </w:r>
      <w:r>
        <w:fldChar w:fldCharType="separate"/>
      </w:r>
      <w:r>
        <w:t>UETTDRTS03B Conduct evaluation of power system faults within a substation</w:t>
      </w:r>
      <w:r>
        <w:fldChar w:fldCharType="end"/>
      </w:r>
    </w:p>
    <w:p w:rsidR="002C318B" w:rsidP="002C318B">
      <w:pPr>
        <w:pStyle w:val="Version"/>
        <w:sectPr w:rsidSect="00255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381" w:rsidP="00255381">
      <w:pPr>
        <w:pStyle w:val="SuperHeading"/>
      </w:pPr>
      <w:r w:rsidRPr="00255381">
        <w:t>UETTDRTS03B Conduct evaluation of power system faults within a substation</w:t>
      </w:r>
    </w:p>
    <w:p w:rsidR="00000000" w:rsidRPr="00255381" w:rsidP="00255381">
      <w:pPr>
        <w:pStyle w:val="Heading1"/>
      </w:pPr>
      <w:bookmarkStart w:id="1" w:name="O_275573"/>
      <w:bookmarkEnd w:id="1"/>
      <w:r w:rsidRPr="00255381">
        <w:t>Modification History</w:t>
      </w:r>
    </w:p>
    <w:p w:rsidR="00000000" w:rsidRPr="00255381" w:rsidP="00255381">
      <w:pPr>
        <w:pStyle w:val="BodyText"/>
      </w:pPr>
      <w:r w:rsidRPr="00255381">
        <w:t>Not Applicable</w:t>
      </w:r>
    </w:p>
    <w:p w:rsidR="00000000" w:rsidRPr="00255381" w:rsidP="00255381">
      <w:pPr>
        <w:pStyle w:val="AllowPageBreak"/>
      </w:pPr>
    </w:p>
    <w:p w:rsidR="00000000" w:rsidRPr="00255381" w:rsidP="00255381">
      <w:pPr>
        <w:pStyle w:val="Heading1"/>
      </w:pPr>
      <w:bookmarkStart w:id="2" w:name="O_232159"/>
      <w:bookmarkEnd w:id="2"/>
      <w:r w:rsidRPr="00255381">
        <w:t>Unit Descriptor</w:t>
      </w:r>
    </w:p>
    <w:tbl>
      <w:tblPr>
        <w:tblW w:w="0" w:type="auto"/>
        <w:tblLayout w:type="fixed"/>
        <w:tblCellMar>
          <w:left w:w="62" w:type="dxa"/>
          <w:right w:w="62" w:type="dxa"/>
        </w:tblCellMar>
        <w:tblLook w:val="0000"/>
      </w:tblPr>
      <w:tblGrid>
        <w:gridCol w:w="2760"/>
        <w:gridCol w:w="5880"/>
      </w:tblGrid>
      <w:tr w:rsidTr="002C318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1</w:t>
            </w:r>
            <w:r w:rsidRPr="00255381">
              <w:t xml:space="preserve">) </w:t>
            </w:r>
          </w:p>
          <w:p w:rsidR="00000000" w:rsidP="00255381">
            <w:pPr>
              <w:pStyle w:val="BodyText"/>
              <w:rPr>
                <w:lang w:val="en-NZ"/>
              </w:rPr>
            </w:pPr>
            <w:r w:rsidRPr="00255381">
              <w:rPr>
                <w:rStyle w:val="SpecialBold"/>
              </w:rPr>
              <w:t>1</w:t>
            </w:r>
            <w:r w:rsidRPr="00255381">
              <w:t>.</w:t>
            </w:r>
            <w:r w:rsidRPr="00255381">
              <w:rPr>
                <w:rStyle w:val="SpecialBold"/>
              </w:rPr>
              <w:t>1</w:t>
            </w:r>
            <w:r w:rsidRPr="00255381">
              <w:t xml:space="preserve">) </w:t>
            </w:r>
            <w:r w:rsidRPr="00255381">
              <w:rPr>
                <w:rStyle w:val="SpecialBold"/>
              </w:rPr>
              <w:t>Descriptor</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 xml:space="preserve">This Competency Standard Unit covers the procedure in evaluating power system incidents by following a process of downloading event and disturbance record information from protection relays. This includes interpreting such items as, alarms, relay targets, </w:t>
            </w:r>
            <w:r w:rsidRPr="00255381">
              <w:t>relay settings, event records, disturbance records and sequence of events records. It also encompasses the evaluation and or investigation of relay operation, relay schemes functionality and relay settings.</w:t>
            </w:r>
          </w:p>
        </w:tc>
      </w:tr>
    </w:tbl>
    <w:p w:rsidR="002C318B" w:rsidP="00255381">
      <w:pPr>
        <w:pStyle w:val="BodyText"/>
      </w:pPr>
    </w:p>
    <w:p w:rsidR="002C318B" w:rsidP="00255381">
      <w:pPr>
        <w:pStyle w:val="BodyText"/>
      </w:pPr>
    </w:p>
    <w:p w:rsidR="00000000" w:rsidRPr="00255381" w:rsidP="00255381">
      <w:pPr>
        <w:pStyle w:val="Heading1"/>
      </w:pPr>
      <w:bookmarkStart w:id="3" w:name="O_232164"/>
      <w:bookmarkEnd w:id="3"/>
      <w:r w:rsidRPr="00255381">
        <w:t>Application of the Unit</w:t>
      </w:r>
    </w:p>
    <w:tbl>
      <w:tblPr>
        <w:tblW w:w="0" w:type="auto"/>
        <w:tblLayout w:type="fixed"/>
        <w:tblCellMar>
          <w:left w:w="62" w:type="dxa"/>
          <w:right w:w="62" w:type="dxa"/>
        </w:tblCellMar>
        <w:tblLook w:val="0000"/>
      </w:tblPr>
      <w:tblGrid>
        <w:gridCol w:w="2760"/>
        <w:gridCol w:w="5880"/>
      </w:tblGrid>
      <w:tr w:rsidTr="002C318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Appli</w:t>
            </w:r>
            <w:r w:rsidRPr="00255381">
              <w:rPr>
                <w:rStyle w:val="SpecialBold"/>
              </w:rPr>
              <w:t>cation of the Unit</w:t>
            </w:r>
          </w:p>
        </w:tc>
        <w:tc>
          <w:tcPr>
            <w:tcW w:w="588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4</w:t>
            </w:r>
            <w:r w:rsidRPr="00255381">
              <w:t>)</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This competency standards unit is intended to apply to any recognised development program that leads to the acquisition of a formal award at AQF level 6 or higher.</w:t>
            </w:r>
          </w:p>
        </w:tc>
      </w:tr>
    </w:tbl>
    <w:p w:rsidR="002C318B" w:rsidP="00255381">
      <w:pPr>
        <w:pStyle w:val="BodyText"/>
      </w:pPr>
    </w:p>
    <w:p w:rsidR="002C318B" w:rsidP="00255381">
      <w:pPr>
        <w:pStyle w:val="BodyText"/>
      </w:pPr>
    </w:p>
    <w:p w:rsidR="00000000" w:rsidRPr="00255381" w:rsidP="00255381">
      <w:pPr>
        <w:pStyle w:val="Heading1"/>
      </w:pPr>
      <w:bookmarkStart w:id="4" w:name="O_232160"/>
      <w:bookmarkEnd w:id="4"/>
      <w:r w:rsidRPr="00255381">
        <w:t>Licensing/Regulatory Information</w:t>
      </w:r>
    </w:p>
    <w:tbl>
      <w:tblPr>
        <w:tblW w:w="0" w:type="auto"/>
        <w:tblLayout w:type="fixed"/>
        <w:tblCellMar>
          <w:left w:w="62" w:type="dxa"/>
          <w:right w:w="62" w:type="dxa"/>
        </w:tblCellMar>
        <w:tblLook w:val="0000"/>
      </w:tblPr>
      <w:tblGrid>
        <w:gridCol w:w="8640"/>
      </w:tblGrid>
      <w:tr w:rsidTr="002C318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1</w:t>
            </w:r>
            <w:r w:rsidRPr="00255381">
              <w:t>.</w:t>
            </w:r>
            <w:r w:rsidRPr="00255381">
              <w:rPr>
                <w:rStyle w:val="SpecialBold"/>
              </w:rPr>
              <w:t>2</w:t>
            </w:r>
            <w:r w:rsidRPr="00255381">
              <w:t xml:space="preserve">) </w:t>
            </w:r>
            <w:r w:rsidRPr="00255381">
              <w:rPr>
                <w:rStyle w:val="SpecialBold"/>
              </w:rPr>
              <w:t>License to practice</w:t>
            </w:r>
          </w:p>
        </w:tc>
      </w:tr>
      <w:tr w:rsidTr="002C318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The skills and knowledge described in this unit may require a licence/registration to practice in the work place subject to regulations for undertaking of electrical work. Practice in workplace and during training is also subject to re</w:t>
            </w:r>
            <w:r w:rsidRPr="00255381">
              <w:t xml:space="preserve">gulations directly related to Occupational Health and Safety, electricity/telecommunications/gas/water industry safety and compliance, industrial relations, environmental protection, anti discrimination and training. Commonwealth, State/Territory or Local </w:t>
            </w:r>
            <w:r w:rsidRPr="00255381">
              <w:t>Government legislation and regulations may exist that limits the age of operating certain equipment.</w:t>
            </w:r>
          </w:p>
        </w:tc>
      </w:tr>
    </w:tbl>
    <w:p w:rsidR="002C318B" w:rsidP="00255381">
      <w:pPr>
        <w:pStyle w:val="BodyText"/>
      </w:pPr>
    </w:p>
    <w:p w:rsidR="002C318B" w:rsidP="00255381">
      <w:pPr>
        <w:pStyle w:val="BodyText"/>
      </w:pPr>
    </w:p>
    <w:p w:rsidR="00000000" w:rsidRPr="00255381" w:rsidP="00255381">
      <w:pPr>
        <w:pStyle w:val="Heading1"/>
      </w:pPr>
      <w:bookmarkStart w:id="5" w:name="O_232161"/>
      <w:bookmarkEnd w:id="5"/>
      <w:r w:rsidRPr="00255381">
        <w:t>Pre-Requisites</w:t>
      </w:r>
    </w:p>
    <w:tbl>
      <w:tblPr>
        <w:tblW w:w="0" w:type="auto"/>
        <w:tblLayout w:type="fixed"/>
        <w:tblCellMar>
          <w:left w:w="62" w:type="dxa"/>
          <w:right w:w="62" w:type="dxa"/>
        </w:tblCellMar>
        <w:tblLook w:val="0000"/>
      </w:tblPr>
      <w:tblGrid>
        <w:gridCol w:w="2760"/>
        <w:gridCol w:w="780"/>
        <w:gridCol w:w="2040"/>
        <w:gridCol w:w="3060"/>
      </w:tblGrid>
      <w:tr w:rsidTr="002C318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Prerequisite Unit</w:t>
            </w:r>
            <w:r w:rsidRPr="00255381">
              <w:t>(</w:t>
            </w:r>
            <w:r w:rsidRPr="00255381">
              <w:rPr>
                <w:rStyle w:val="SpecialBold"/>
              </w:rPr>
              <w:t>s</w:t>
            </w:r>
            <w:r w:rsidRPr="00255381">
              <w:t>)</w:t>
            </w:r>
          </w:p>
        </w:tc>
        <w:tc>
          <w:tcPr>
            <w:tcW w:w="5880" w:type="dxa"/>
            <w:gridSpan w:val="3"/>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2</w:t>
            </w:r>
            <w:r w:rsidRPr="00255381">
              <w:t xml:space="preserve">) </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55381">
            <w:pPr>
              <w:pStyle w:val="BodyText"/>
              <w:keepNext w:val="0"/>
              <w:keepLines w:val="0"/>
              <w:contextualSpacing w:val="0"/>
            </w:pPr>
          </w:p>
        </w:tc>
        <w:tc>
          <w:tcPr>
            <w:tcW w:w="5880" w:type="dxa"/>
            <w:gridSpan w:val="3"/>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2</w:t>
            </w:r>
            <w:r w:rsidRPr="00255381">
              <w:t>.</w:t>
            </w:r>
            <w:r w:rsidRPr="00255381">
              <w:rPr>
                <w:rStyle w:val="SpecialBold"/>
              </w:rPr>
              <w:t>1</w:t>
            </w:r>
            <w:r w:rsidRPr="00255381">
              <w:t xml:space="preserve">) </w:t>
            </w:r>
            <w:r w:rsidRPr="00255381">
              <w:rPr>
                <w:rStyle w:val="SpecialBold"/>
              </w:rPr>
              <w:t>Competencies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gridSpan w:val="3"/>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Granting of competency in this unit shall be made only after competency in the following unit(s) has/have been confirmed:.</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UEENEED004B</w:t>
            </w:r>
          </w:p>
        </w:tc>
        <w:tc>
          <w:tcPr>
            <w:tcW w:w="30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Use engineering application software</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UEENEEE007B</w:t>
            </w:r>
          </w:p>
        </w:tc>
        <w:tc>
          <w:tcPr>
            <w:tcW w:w="30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Use drawings, diagrams, schedules and manuals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UEENEEE024B</w:t>
            </w:r>
          </w:p>
        </w:tc>
        <w:tc>
          <w:tcPr>
            <w:tcW w:w="30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 xml:space="preserve"> Compile and produce an electrotechnology report</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UEENEEG049B</w:t>
            </w:r>
          </w:p>
        </w:tc>
        <w:tc>
          <w:tcPr>
            <w:tcW w:w="30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Solve problems in complex polyphase power circuits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 xml:space="preserve">BUETTDRIS22B </w:t>
            </w:r>
          </w:p>
        </w:tc>
        <w:tc>
          <w:tcPr>
            <w:tcW w:w="30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Implement and monitor organisation's OHS policies, procedures and programs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UETTDRIS23B</w:t>
            </w:r>
          </w:p>
        </w:tc>
        <w:tc>
          <w:tcPr>
            <w:tcW w:w="30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Implement and monitor environmental and sustainable energy management policies and procedures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gridSpan w:val="3"/>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For the full prerequisite chain details for this unit please refer to Table 3 in Volume 1, Part 2</w:t>
            </w:r>
          </w:p>
        </w:tc>
      </w:tr>
    </w:tbl>
    <w:p w:rsidR="002C318B" w:rsidP="00255381">
      <w:pPr>
        <w:pStyle w:val="BodyText"/>
      </w:pPr>
    </w:p>
    <w:p w:rsidR="002C318B" w:rsidP="00255381">
      <w:pPr>
        <w:pStyle w:val="BodyText"/>
      </w:pPr>
    </w:p>
    <w:p w:rsidR="00000000" w:rsidRPr="00255381" w:rsidP="00255381">
      <w:pPr>
        <w:pStyle w:val="Heading1"/>
      </w:pPr>
      <w:bookmarkStart w:id="6" w:name="O_232163"/>
      <w:bookmarkEnd w:id="6"/>
      <w:r w:rsidRPr="00255381">
        <w:t>Employability Skills Information</w:t>
      </w:r>
    </w:p>
    <w:tbl>
      <w:tblPr>
        <w:tblW w:w="0" w:type="auto"/>
        <w:tblLayout w:type="fixed"/>
        <w:tblCellMar>
          <w:left w:w="62" w:type="dxa"/>
          <w:right w:w="62" w:type="dxa"/>
        </w:tblCellMar>
        <w:tblLook w:val="0000"/>
      </w:tblPr>
      <w:tblGrid>
        <w:gridCol w:w="2760"/>
        <w:gridCol w:w="5880"/>
      </w:tblGrid>
      <w:tr w:rsidTr="002C318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Employa</w:t>
            </w:r>
            <w:r w:rsidRPr="00255381">
              <w:rPr>
                <w:rStyle w:val="SpecialBold"/>
              </w:rPr>
              <w:t>bility Skills</w:t>
            </w:r>
          </w:p>
        </w:tc>
        <w:tc>
          <w:tcPr>
            <w:tcW w:w="588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3</w:t>
            </w:r>
            <w:r w:rsidRPr="00255381">
              <w:t>)</w:t>
            </w:r>
          </w:p>
          <w:p w:rsidR="00000000" w:rsidRPr="00255381" w:rsidP="00255381">
            <w:pPr>
              <w:pStyle w:val="BodyText"/>
            </w:pPr>
            <w:r w:rsidRPr="00255381">
              <w:t>The required outcomes described in this unit of competen</w:t>
            </w:r>
            <w:r w:rsidRPr="00255381">
              <w:t>cy contain applicable facets of Employability Skills. The Employability Skills Summary of the qualification in which this unit of competency is packaged will assist in identifying Employability Skill requirements.</w:t>
            </w:r>
          </w:p>
        </w:tc>
      </w:tr>
    </w:tbl>
    <w:p w:rsidR="002C318B" w:rsidP="00255381">
      <w:pPr>
        <w:pStyle w:val="BodyText"/>
      </w:pPr>
    </w:p>
    <w:p w:rsidR="002C318B" w:rsidP="00255381">
      <w:pPr>
        <w:pStyle w:val="BodyText"/>
      </w:pPr>
    </w:p>
    <w:p w:rsidR="00000000" w:rsidRPr="00255381" w:rsidP="00255381">
      <w:pPr>
        <w:pStyle w:val="Heading1"/>
      </w:pPr>
      <w:bookmarkStart w:id="7" w:name="O_293619"/>
      <w:bookmarkEnd w:id="7"/>
      <w:r w:rsidRPr="00255381">
        <w:t>Elements and Performan</w:t>
      </w:r>
      <w:r w:rsidRPr="00255381">
        <w:t>ce Criteria Pre-Content</w:t>
      </w:r>
    </w:p>
    <w:tbl>
      <w:tblPr>
        <w:tblW w:w="0" w:type="auto"/>
        <w:tblLayout w:type="fixed"/>
        <w:tblCellMar>
          <w:left w:w="62" w:type="dxa"/>
          <w:right w:w="62" w:type="dxa"/>
        </w:tblCellMar>
        <w:tblLook w:val="0000"/>
      </w:tblPr>
      <w:tblGrid>
        <w:gridCol w:w="2760"/>
        <w:gridCol w:w="5880"/>
      </w:tblGrid>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6</w:t>
            </w:r>
            <w:r w:rsidRPr="00255381">
              <w:t xml:space="preserve">) </w:t>
            </w:r>
            <w:r w:rsidRPr="00255381">
              <w:rPr>
                <w:rStyle w:val="SpecialBold"/>
              </w:rPr>
              <w:t>Elements</w:t>
            </w:r>
            <w:r w:rsidRPr="00255381">
              <w:t>: Elements describe the essential outcomes of a unit of competency</w:t>
            </w:r>
          </w:p>
        </w:tc>
        <w:tc>
          <w:tcPr>
            <w:tcW w:w="588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Performance Criteria describe the required performance needed to demonstrate achievement of the element. Assessment of performance is to be consistent wit</w:t>
            </w:r>
            <w:r w:rsidRPr="00255381">
              <w:t>h the evidence guide.</w:t>
            </w:r>
          </w:p>
        </w:tc>
      </w:tr>
    </w:tbl>
    <w:p w:rsidR="00000000" w:rsidRPr="00255381" w:rsidP="00255381">
      <w:pPr>
        <w:pStyle w:val="BodyText"/>
      </w:pPr>
    </w:p>
    <w:p w:rsidR="00000000" w:rsidRPr="00255381" w:rsidP="00255381">
      <w:pPr>
        <w:pStyle w:val="AllowPageBreak"/>
      </w:pPr>
    </w:p>
    <w:p w:rsidR="00000000" w:rsidRPr="00255381" w:rsidP="00255381">
      <w:pPr>
        <w:pStyle w:val="Heading1"/>
      </w:pPr>
      <w:bookmarkStart w:id="8" w:name="O_240287"/>
      <w:bookmarkEnd w:id="8"/>
      <w:r w:rsidRPr="00255381">
        <w:t>Elements and Performance Criteria</w:t>
      </w:r>
    </w:p>
    <w:tbl>
      <w:tblPr>
        <w:tblW w:w="0" w:type="auto"/>
        <w:tblLayout w:type="fixed"/>
        <w:tblCellMar>
          <w:left w:w="62" w:type="dxa"/>
          <w:right w:w="62" w:type="dxa"/>
        </w:tblCellMar>
        <w:tblLook w:val="0000"/>
      </w:tblPr>
      <w:tblGrid>
        <w:gridCol w:w="404"/>
        <w:gridCol w:w="2356"/>
        <w:gridCol w:w="960"/>
        <w:gridCol w:w="4920"/>
      </w:tblGrid>
      <w:tr w:rsidTr="002C318B">
        <w:tblPrEx>
          <w:tblW w:w="0" w:type="auto"/>
          <w:tblLayout w:type="fixed"/>
          <w:tblCellMar>
            <w:left w:w="62" w:type="dxa"/>
            <w:right w:w="62" w:type="dxa"/>
          </w:tblCellMar>
          <w:tblLook w:val="0000"/>
        </w:tblPrEx>
        <w:trPr>
          <w:tblHeader/>
        </w:trPr>
        <w:tc>
          <w:tcPr>
            <w:tcW w:w="2760" w:type="dxa"/>
            <w:gridSpan w:val="2"/>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ELEMENT</w:t>
            </w:r>
          </w:p>
        </w:tc>
        <w:tc>
          <w:tcPr>
            <w:tcW w:w="5880" w:type="dxa"/>
            <w:gridSpan w:val="2"/>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PERFORMANCE CRITERIA</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w:t>
            </w:r>
          </w:p>
        </w:tc>
        <w:tc>
          <w:tcPr>
            <w:tcW w:w="2356"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Plan for the evaluation of power system events</w:t>
            </w: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1.1</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OHS practices/procedures and Environmental and sustainable energy procedures, which may influence the evaluation of power system failures, are reviewed and determined.</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1.2</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Purpose of the evaluation of power system events, are established after data is a</w:t>
            </w:r>
            <w:r w:rsidRPr="00255381">
              <w:t>nalysed and expected outcomes of the work are confirmed with the appropriate personnel.</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1.3</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 xml:space="preserve">Organisational established procedures on policies and specifications for the evaluation of power system failures are obtained or established </w:t>
            </w:r>
            <w:r w:rsidRPr="00255381">
              <w:t>with the appropriate personnel.</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1.4</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Testing procedures are discussed with/directed to the appropriate personnel in order to ascertain the project brief.</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1.5</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Testing parameters are established from organisational established procedures on policies and</w:t>
            </w:r>
            <w:r w:rsidRPr="00255381">
              <w:t xml:space="preserve"> specifications.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1.6</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Equipment/tools and personal protective equipment are selected based on specified Performance Criteria and established procedures.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1.7</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Work roles and tasks are allocated according to requirements and individuals' competencies.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1.8</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Work is prioritised and sequenced for the most efficient/effective outcome, completed within an acceptable timeframe to a quality standard and in accordance with established procedures.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1.9</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Liaison and communication issues with other/authorised per</w:t>
            </w:r>
            <w:r w:rsidRPr="00255381">
              <w:t>sonnel, authorities, clients and land owners are resolved and activities coordinated to carry out work.</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1.10</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Risk control measures are identified, prioritised and evaluated against the work schedule.</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1.11</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Relevant work permits are secured to coordina</w:t>
            </w:r>
            <w:r w:rsidRPr="00255381">
              <w:t>te the performance of work according to requirements and/or established procedures.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w:t>
            </w:r>
          </w:p>
        </w:tc>
        <w:tc>
          <w:tcPr>
            <w:tcW w:w="2356" w:type="dxa"/>
            <w:vMerge w:val="restart"/>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Carry out the evaluation of power system events</w:t>
            </w: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2.1</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Circuit/systems modelling is used to evaluate alternative proposals as per established procedures.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2.2</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OHS and sustainable energy principles, functionality and practices to reduce the incidents of accidents and minimise waste are incorporated into the project in accordance with requirements and/or established procedures.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2.3</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Following evaluation of power</w:t>
            </w:r>
            <w:r w:rsidRPr="00255381">
              <w:t xml:space="preserve"> system events, decisions are made on the basis of safety and effective outcomes according to requirements and/or established procedures.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2.4</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Mathematical and /or engineering models of the evaluation of power system events are used to analyse the effectiveness of the finished project as per requirements and established procedures.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2.5</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Technical advice is given regarding potential hazards, saf</w:t>
            </w:r>
            <w:r w:rsidRPr="00255381">
              <w:t>ety risks and control measures so that monitoring and preventative action can be undertaken and/or appropriate authorities consulted, where necessary, in accordance with requirements and established procedures.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2.6</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Essential knowledge and associated ski</w:t>
            </w:r>
            <w:r w:rsidRPr="00255381">
              <w:t>lls are applied to analyse specific data and compare it with compliance specifications to ensure completion of the project within an agreed timeframe according to requirements.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2.7</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Testing of power system is undertaken according to requirements and esta</w:t>
            </w:r>
            <w:r w:rsidRPr="00255381">
              <w:t>blished procedures.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2.8</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Work teams/groups are arranged/coordinated/evaluated to ensure planned goals are met according to established procedures.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2.9</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Solutions to non-routine problems are identified and actioned, using acquired essential knowledge and associated skills, according to requirements.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2.10</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Quality of work is monitored against personal performance agreement and/or established organisationa</w:t>
            </w:r>
            <w:r w:rsidRPr="00255381">
              <w:t>l and professional standards.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2.11</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Strategic plans are developed incorporating organisation initiatives as per established procedures.</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3</w:t>
            </w:r>
          </w:p>
        </w:tc>
        <w:tc>
          <w:tcPr>
            <w:tcW w:w="2356"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Complete the evaluation of power system events</w:t>
            </w: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3.1</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Final evaluation of all relevant data pertaining to the power sy</w:t>
            </w:r>
            <w:r w:rsidRPr="00255381">
              <w:t>stem event is undertaken to ensure the recommendations comply with all requirements and include all specifications and documentations needed to complete the project.</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3.2</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Appropriate personnel are notified of completion and reports and/or completion documents are finalised/commissioned.</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3.3</w:t>
            </w:r>
          </w:p>
        </w:tc>
        <w:tc>
          <w:tcPr>
            <w:tcW w:w="492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 xml:space="preserve">Reports and/or completion documents are submitted to relevant personnel/organisations for approval and, where applicable, statutory </w:t>
            </w:r>
            <w:r w:rsidRPr="00255381">
              <w:t>or regulatory approval.</w:t>
            </w:r>
          </w:p>
        </w:tc>
      </w:tr>
      <w:tr w:rsidTr="002C31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3.4</w:t>
            </w:r>
          </w:p>
        </w:tc>
        <w:tc>
          <w:tcPr>
            <w:tcW w:w="492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Approved copies of the evaluation of power system event documents are issues and records are updated in accordance with established procedures.</w:t>
            </w:r>
          </w:p>
        </w:tc>
      </w:tr>
    </w:tbl>
    <w:p w:rsidR="002C318B" w:rsidP="00255381">
      <w:pPr>
        <w:pStyle w:val="BodyText"/>
      </w:pPr>
    </w:p>
    <w:p w:rsidR="002C318B" w:rsidP="00255381">
      <w:pPr>
        <w:pStyle w:val="BodyText"/>
      </w:pPr>
    </w:p>
    <w:p w:rsidR="00000000" w:rsidRPr="00255381" w:rsidP="00255381">
      <w:pPr>
        <w:pStyle w:val="Heading1"/>
      </w:pPr>
      <w:bookmarkStart w:id="9" w:name="O_264078"/>
      <w:bookmarkEnd w:id="9"/>
      <w:r w:rsidRPr="00255381">
        <w:t>Required Skills and Knowledge</w:t>
      </w:r>
    </w:p>
    <w:tbl>
      <w:tblPr>
        <w:tblW w:w="0" w:type="auto"/>
        <w:tblLayout w:type="fixed"/>
        <w:tblCellMar>
          <w:left w:w="62" w:type="dxa"/>
          <w:right w:w="62" w:type="dxa"/>
        </w:tblCellMar>
        <w:tblLook w:val="0000"/>
      </w:tblPr>
      <w:tblGrid>
        <w:gridCol w:w="2760"/>
        <w:gridCol w:w="1140"/>
        <w:gridCol w:w="4740"/>
      </w:tblGrid>
      <w:tr w:rsidTr="002C318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REQUIRED SKILLS AND KNOWLEDGE</w:t>
            </w:r>
          </w:p>
        </w:tc>
      </w:tr>
      <w:tr w:rsidTr="002C318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7</w:t>
            </w:r>
            <w:r w:rsidRPr="00255381">
              <w:t xml:space="preserve">) </w:t>
            </w:r>
            <w:r w:rsidRPr="00255381">
              <w:rPr>
                <w:rStyle w:val="SpecialBold"/>
              </w:rPr>
              <w:t>Essential Knowledge and Associated Skills</w:t>
            </w:r>
            <w:r w:rsidRPr="00255381">
              <w:t xml:space="preserve"> (</w:t>
            </w:r>
            <w:r w:rsidRPr="00255381">
              <w:rPr>
                <w:rStyle w:val="SpecialBold"/>
              </w:rPr>
              <w:t>EKAS</w:t>
            </w:r>
            <w:r w:rsidRPr="00255381">
              <w:t>): This describes the essential skills and knowledge and their level, required for this unit.</w:t>
            </w:r>
          </w:p>
        </w:tc>
      </w:tr>
      <w:tr w:rsidTr="002C318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Evidence shall show that knowledge has been acquired of conducting evaluation of power system faults within</w:t>
            </w:r>
            <w:r w:rsidRPr="00255381">
              <w:t xml:space="preserve"> a substation.</w:t>
            </w:r>
          </w:p>
          <w:p w:rsidR="00000000" w:rsidRPr="00255381" w:rsidP="00255381">
            <w:pPr>
              <w:pStyle w:val="BodyText"/>
            </w:pPr>
            <w:r w:rsidRPr="00255381">
              <w:t>All knowledge and skills detailed in this unit should be contextualised to current industry practices and technologies.</w:t>
            </w:r>
          </w:p>
          <w:p w:rsidR="00000000" w:rsidP="00255381">
            <w:pPr>
              <w:pStyle w:val="BodyText"/>
              <w:rPr>
                <w:lang w:val="en-NZ"/>
              </w:rPr>
            </w:pPr>
            <w:r w:rsidRPr="00255381">
              <w:t>The extent of the essential knowledge and associated skills (EKAS) required is given in Volume 2 - Part 2.2 EKAS. It form</w:t>
            </w:r>
            <w:r w:rsidRPr="00255381">
              <w:t>s an integral part of this unit.</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 xml:space="preserve">E2.18.1 </w:t>
            </w:r>
          </w:p>
        </w:tc>
        <w:tc>
          <w:tcPr>
            <w:tcW w:w="47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Occupational Health and Safety principles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E2.18.2</w:t>
            </w:r>
          </w:p>
        </w:tc>
        <w:tc>
          <w:tcPr>
            <w:tcW w:w="47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Electrical safe working practices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E2.18.8.2</w:t>
            </w:r>
          </w:p>
        </w:tc>
        <w:tc>
          <w:tcPr>
            <w:tcW w:w="47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Occupational Health and Safety , - enterprise responsibilities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T2.9.1</w:t>
            </w:r>
          </w:p>
        </w:tc>
        <w:tc>
          <w:tcPr>
            <w:tcW w:w="47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 xml:space="preserve">Interpretation of power distribution network drawings and documentation </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T2.10.9</w:t>
            </w:r>
          </w:p>
        </w:tc>
        <w:tc>
          <w:tcPr>
            <w:tcW w:w="47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Analyse and interpret results and measurements - substations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T2.11.1</w:t>
            </w:r>
          </w:p>
        </w:tc>
        <w:tc>
          <w:tcPr>
            <w:tcW w:w="47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 xml:space="preserve">Power system layouts </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T2.11.14</w:t>
            </w:r>
          </w:p>
        </w:tc>
        <w:tc>
          <w:tcPr>
            <w:tcW w:w="47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Fault calculation techniques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T2.11.17</w:t>
            </w:r>
          </w:p>
        </w:tc>
        <w:tc>
          <w:tcPr>
            <w:tcW w:w="47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 xml:space="preserve">Protection scheme requirements </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T2.11.18</w:t>
            </w:r>
          </w:p>
        </w:tc>
        <w:tc>
          <w:tcPr>
            <w:tcW w:w="47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Discrete protection systems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T2.11.19</w:t>
            </w:r>
          </w:p>
        </w:tc>
        <w:tc>
          <w:tcPr>
            <w:tcW w:w="47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Interdependent protection systems</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T2.11.20</w:t>
            </w:r>
          </w:p>
        </w:tc>
        <w:tc>
          <w:tcPr>
            <w:tcW w:w="474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Complex protection systems</w:t>
            </w:r>
          </w:p>
        </w:tc>
      </w:tr>
    </w:tbl>
    <w:p w:rsidR="002C318B" w:rsidP="00255381">
      <w:pPr>
        <w:pStyle w:val="BodyText"/>
      </w:pPr>
    </w:p>
    <w:p w:rsidR="002C318B" w:rsidP="00255381">
      <w:pPr>
        <w:pStyle w:val="BodyText"/>
      </w:pPr>
    </w:p>
    <w:p w:rsidR="00000000" w:rsidRPr="00255381" w:rsidP="00255381">
      <w:pPr>
        <w:pStyle w:val="Heading1"/>
      </w:pPr>
      <w:bookmarkStart w:id="10" w:name="O_248270"/>
      <w:bookmarkEnd w:id="10"/>
      <w:r w:rsidRPr="00255381">
        <w:t>Evidence Guide</w:t>
      </w:r>
    </w:p>
    <w:tbl>
      <w:tblPr>
        <w:tblW w:w="0" w:type="auto"/>
        <w:tblLayout w:type="fixed"/>
        <w:tblCellMar>
          <w:left w:w="62" w:type="dxa"/>
          <w:right w:w="62" w:type="dxa"/>
        </w:tblCellMar>
        <w:tblLook w:val="0000"/>
      </w:tblPr>
      <w:tblGrid>
        <w:gridCol w:w="2160"/>
        <w:gridCol w:w="780"/>
        <w:gridCol w:w="960"/>
        <w:gridCol w:w="1860"/>
        <w:gridCol w:w="2880"/>
      </w:tblGrid>
      <w:tr w:rsidTr="002C318B">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EVIDENCE GUIDE</w:t>
            </w:r>
          </w:p>
        </w:tc>
      </w:tr>
      <w:tr w:rsidTr="002C318B">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9</w:t>
            </w:r>
            <w:r w:rsidRPr="00255381">
              <w:t>) This provides essential advice for assessment of the unit of competency and must be read in conjunction with the Performance Criteria and the Range Statement of the unit of competency and the Training Package Assessment Guidelines.</w:t>
            </w:r>
          </w:p>
          <w:p w:rsidR="00000000" w:rsidP="00255381">
            <w:pPr>
              <w:pStyle w:val="BodyText"/>
              <w:rPr>
                <w:lang w:val="en-NZ"/>
              </w:rPr>
            </w:pPr>
            <w:r w:rsidRPr="00255381">
              <w:t>The Evidence Guide for</w:t>
            </w:r>
            <w:r w:rsidRPr="00255381">
              <w:t>ms an integral part of this Competency Standard Unit and shall be used in conjunction with all component parts of this unit and, performed in accordance with the Assessment Guidelines of this Training Package.</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9</w:t>
            </w:r>
            <w:r w:rsidRPr="00255381">
              <w:t>.</w:t>
            </w:r>
            <w:r w:rsidRPr="00255381">
              <w:rPr>
                <w:rStyle w:val="SpecialBold"/>
              </w:rPr>
              <w:t>1</w:t>
            </w:r>
            <w:r w:rsidRPr="00255381">
              <w:t xml:space="preserve">) </w:t>
            </w:r>
          </w:p>
          <w:p w:rsidR="00000000" w:rsidRPr="00255381" w:rsidP="00255381">
            <w:pPr>
              <w:pStyle w:val="BodyText"/>
            </w:pPr>
            <w:r w:rsidRPr="00255381">
              <w:t>Longitudi</w:t>
            </w:r>
            <w:r w:rsidRPr="00255381">
              <w:t>nal competency development approaches to assessment, such as Profiling, require data to be reliably gathered in a form that can be consistently interpreted over time. This approach is best utilised in Apprenticeship programs and reduces assessment interven</w:t>
            </w:r>
            <w:r w:rsidRPr="00255381">
              <w:t xml:space="preserve">tion. It is the Industry's preferred model for apprenticeships. However, where summative (or final) assessment is used it is to include the application of the competency in the normal work environment or, at a minimum, the application of the competency in </w:t>
            </w:r>
            <w:r w:rsidRPr="00255381">
              <w:t>a realistically simulated work environment. It is recognised that, in some circumstances, assessment in part or full can occur outside the workplace. However, it must be in accord with Industry and, Regulatory policy in this regard.</w:t>
            </w:r>
          </w:p>
          <w:p w:rsidR="00000000" w:rsidRPr="00255381" w:rsidP="00255381">
            <w:pPr>
              <w:pStyle w:val="BodyText"/>
            </w:pPr>
            <w:r w:rsidRPr="00255381">
              <w:t>Methods chosen for a pa</w:t>
            </w:r>
            <w:r w:rsidRPr="00255381">
              <w:t>rticular assessment will be influenced by various factors. These include the extent of the assessment, the most effective locations for the assessment activities to take place, access to physical resources, additional safety measures that may be required a</w:t>
            </w:r>
            <w:r w:rsidRPr="00255381">
              <w:t>nd the critical nature of the competencies being assessed.</w:t>
            </w:r>
          </w:p>
          <w:p w:rsidR="00000000" w:rsidRPr="00255381" w:rsidP="00255381">
            <w:pPr>
              <w:pStyle w:val="BodyText"/>
            </w:pPr>
            <w:r w:rsidRPr="00255381">
              <w:t>The critical safety nature of working with electricity, electrical equipment, gas or any other hazardous substance/material carries risk in deeming a person competent. Hence, sources of evidence ne</w:t>
            </w:r>
            <w:r w:rsidRPr="00255381">
              <w:t>ed to be 'rich' in nature so as to minimise error in judgment.</w:t>
            </w:r>
          </w:p>
          <w:p w:rsidR="00000000" w:rsidP="00255381">
            <w:pPr>
              <w:pStyle w:val="BodyText"/>
              <w:rPr>
                <w:lang w:val="en-NZ"/>
              </w:rPr>
            </w:pPr>
            <w:r w:rsidRPr="00255381">
              <w:t>Activities associated with normal every day work have a bearing on the decision as to how much and how detailed the data gathered will contribute to its 'richness'. Some skills are more critica</w:t>
            </w:r>
            <w:r w:rsidRPr="00255381">
              <w:t>l to safety and operational requirements while the same skills may be more or less frequently practiced. These points are raised for the assessors to consider when choosing an assessment method and developing assessment instruments. Sample assessment instr</w:t>
            </w:r>
            <w:r w:rsidRPr="00255381">
              <w:t>uments are included for Assessors in the Assessment Guidelines of this Training Package.</w:t>
            </w:r>
          </w:p>
        </w:tc>
      </w:tr>
      <w:tr w:rsidTr="002C318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9</w:t>
            </w:r>
            <w:r w:rsidRPr="00255381">
              <w:t>.</w:t>
            </w:r>
            <w:r w:rsidRPr="00255381">
              <w:rPr>
                <w:rStyle w:val="SpecialBold"/>
              </w:rPr>
              <w:t>2</w:t>
            </w:r>
            <w:r w:rsidRPr="00255381">
              <w:t xml:space="preserve">) </w:t>
            </w:r>
          </w:p>
          <w:p w:rsidR="00000000" w:rsidP="00255381">
            <w:pPr>
              <w:pStyle w:val="BodyText"/>
              <w:rPr>
                <w:lang w:val="en-NZ"/>
              </w:rPr>
            </w:pPr>
            <w:r w:rsidRPr="00255381">
              <w:t>Before the critical aspects of evidence are considered all prerequisites shall b</w:t>
            </w:r>
            <w:r w:rsidRPr="00255381">
              <w:t>e met.</w:t>
            </w:r>
          </w:p>
        </w:tc>
      </w:tr>
      <w:tr w:rsidTr="002C31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 xml:space="preserve">Evidence for competence in this unit shall be considered holistically. Each element and associated Performance Criteria shall be demonstrated </w:t>
            </w:r>
            <w:r w:rsidRPr="00255381">
              <w:t>on at least two occasions in accordance with the "Assessment Guidelines - UET09". Evidence shall also comprise:</w:t>
            </w:r>
          </w:p>
          <w:p w:rsidR="00000000" w:rsidP="00255381">
            <w:pPr>
              <w:pStyle w:val="ListBullet"/>
              <w:rPr>
                <w:lang w:val="en-NZ"/>
              </w:rPr>
            </w:pPr>
            <w:r w:rsidRPr="00255381">
              <w:t>A representative body of Performance Criteria demonstrated within the timeframes typically expected of the discipline, work function and industr</w:t>
            </w:r>
            <w:r w:rsidRPr="00255381">
              <w:t>ial environment. In particular this shall incorporate evidence that shows a candidate is able to:</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255381" w:rsidP="00255381">
            <w:pPr>
              <w:pStyle w:val="ListBullet3"/>
            </w:pPr>
            <w:r w:rsidRPr="00255381">
              <w:t>Implement Occupational Health and Safety workplace procedures and practices including the use of risk control measures as specified in the Performance C</w:t>
            </w:r>
            <w:r w:rsidRPr="00255381">
              <w:t>riteria and range; and</w:t>
            </w:r>
          </w:p>
          <w:p w:rsidR="00000000" w:rsidRPr="00255381" w:rsidP="00255381">
            <w:pPr>
              <w:pStyle w:val="ListBullet3"/>
            </w:pPr>
            <w:r w:rsidRPr="00255381">
              <w:t>Apply sustainable energy principles and practices as specified in the Performance Criteria and range; and</w:t>
            </w:r>
          </w:p>
          <w:p w:rsidR="00000000" w:rsidRPr="00255381" w:rsidP="00255381">
            <w:pPr>
              <w:pStyle w:val="ListBullet3"/>
            </w:pPr>
            <w:r w:rsidRPr="00255381">
              <w:t xml:space="preserve">Demonstrate an understanding of the essential knowledge </w:t>
            </w:r>
            <w:r w:rsidRPr="00255381">
              <w:t>and associated skills as described in this unit to such an extent that the learner's performance outcome is reported in accordance with the preferred approach; namely a percentile graded result, where required by the regulated environment; and</w:t>
            </w:r>
          </w:p>
          <w:p w:rsidR="00000000" w:rsidRPr="00255381" w:rsidP="00255381">
            <w:pPr>
              <w:pStyle w:val="ListBullet3"/>
            </w:pPr>
            <w:r w:rsidRPr="00255381">
              <w:t xml:space="preserve">Demonstrate </w:t>
            </w:r>
            <w:r w:rsidRPr="00255381">
              <w:t>an appropriate level of employability skills; and</w:t>
            </w:r>
          </w:p>
          <w:p w:rsidR="00000000" w:rsidP="00255381">
            <w:pPr>
              <w:pStyle w:val="ListBullet3"/>
              <w:rPr>
                <w:lang w:val="en-NZ"/>
              </w:rPr>
            </w:pPr>
            <w:r w:rsidRPr="00255381">
              <w:t>Conduct work observing the relevant Anti discrimination legislation, regulations, policies and workplace procedures; and</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255381">
            <w:pPr>
              <w:pStyle w:val="ListBullet"/>
              <w:rPr>
                <w:lang w:val="en-NZ"/>
              </w:rPr>
            </w:pPr>
            <w:r w:rsidRPr="00255381">
              <w:t>Demonstrated performance across a representative range of contexts from the pres</w:t>
            </w:r>
            <w:r w:rsidRPr="00255381">
              <w:t>cribed items below:</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rsidRPr="00255381">
            <w:pPr>
              <w:pStyle w:val="BodyText"/>
              <w:keepNext w:val="0"/>
              <w:keepLines w:val="0"/>
              <w:contextualSpacing w:val="0"/>
            </w:pPr>
          </w:p>
        </w:tc>
        <w:tc>
          <w:tcPr>
            <w:tcW w:w="57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81">
            <w:pPr>
              <w:pStyle w:val="BodyText"/>
              <w:rPr>
                <w:lang w:val="en-NZ"/>
              </w:rPr>
            </w:pPr>
            <w:r w:rsidRPr="00255381">
              <w:rPr>
                <w:rStyle w:val="SpecialBold"/>
              </w:rPr>
              <w:t>Range of tools</w:t>
            </w:r>
            <w:r w:rsidRPr="00255381">
              <w:t>/</w:t>
            </w:r>
            <w:r w:rsidRPr="00255381">
              <w:rPr>
                <w:rStyle w:val="SpecialBold"/>
              </w:rPr>
              <w:t>equipment</w:t>
            </w:r>
            <w:r w:rsidRPr="00255381">
              <w:t>/</w:t>
            </w:r>
            <w:r w:rsidRPr="00255381">
              <w:rPr>
                <w:rStyle w:val="SpecialBold"/>
              </w:rPr>
              <w:t>materials</w:t>
            </w:r>
            <w:r w:rsidRPr="00255381">
              <w:t>/</w:t>
            </w:r>
            <w:r w:rsidRPr="00255381">
              <w:rPr>
                <w:rStyle w:val="SpecialBold"/>
              </w:rPr>
              <w:t>procedures</w:t>
            </w:r>
            <w:r w:rsidRPr="00255381">
              <w:t>/</w:t>
            </w:r>
            <w:r w:rsidRPr="00255381">
              <w:rPr>
                <w:rStyle w:val="SpecialBold"/>
              </w:rPr>
              <w:t>workplaces</w:t>
            </w:r>
            <w:r w:rsidRPr="00255381">
              <w:t>/</w:t>
            </w:r>
            <w:r w:rsidRPr="00255381">
              <w:rPr>
                <w:rStyle w:val="SpecialBold"/>
              </w:rPr>
              <w:t>other variables</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rsidRPr="00255381">
            <w:pPr>
              <w:pStyle w:val="BodyText"/>
              <w:keepNext w:val="0"/>
              <w:keepLines w:val="0"/>
              <w:contextualSpacing w:val="0"/>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81" w:rsidP="00255381">
            <w:pPr>
              <w:pStyle w:val="BodyText"/>
            </w:pPr>
            <w:r w:rsidRPr="00255381">
              <w:rPr>
                <w:rStyle w:val="SpecialBold"/>
              </w:rPr>
              <w:t>Group No</w:t>
            </w:r>
          </w:p>
        </w:tc>
        <w:tc>
          <w:tcPr>
            <w:tcW w:w="1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81" w:rsidP="00255381">
            <w:pPr>
              <w:pStyle w:val="BodyText"/>
            </w:pPr>
            <w:r w:rsidRPr="00255381">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81">
            <w:pPr>
              <w:pStyle w:val="BodyText"/>
              <w:rPr>
                <w:lang w:val="en-NZ"/>
              </w:rPr>
            </w:pPr>
            <w:r w:rsidRPr="00255381">
              <w:rPr>
                <w:rStyle w:val="SpecialBold"/>
              </w:rPr>
              <w:t>Item List</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81">
            <w:pPr>
              <w:pStyle w:val="BodyText"/>
              <w:rPr>
                <w:lang w:val="en-NZ"/>
              </w:rPr>
            </w:pPr>
            <w:r w:rsidRPr="00255381">
              <w:t>A</w:t>
            </w:r>
          </w:p>
        </w:tc>
        <w:tc>
          <w:tcPr>
            <w:tcW w:w="1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81">
            <w:pPr>
              <w:pStyle w:val="BodyText"/>
              <w:rPr>
                <w:lang w:val="en-NZ"/>
              </w:rPr>
            </w:pPr>
            <w:r w:rsidRPr="00255381">
              <w:t>Demonstration of at least two (2) downloads from protection relays or recording equipment from each of the following:</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81" w:rsidP="00255381">
            <w:pPr>
              <w:pStyle w:val="BodyText"/>
            </w:pPr>
            <w:r w:rsidRPr="00255381">
              <w:t>Relay panel</w:t>
            </w:r>
          </w:p>
          <w:p w:rsidR="00000000" w:rsidP="00255381">
            <w:pPr>
              <w:pStyle w:val="BodyText"/>
              <w:rPr>
                <w:lang w:val="en-NZ"/>
              </w:rPr>
            </w:pPr>
            <w:r w:rsidRPr="00255381">
              <w:t>Remote location</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81">
            <w:pPr>
              <w:pStyle w:val="BodyText"/>
              <w:rPr>
                <w:lang w:val="en-NZ"/>
              </w:rPr>
            </w:pPr>
            <w:r w:rsidRPr="00255381">
              <w:t>B</w:t>
            </w:r>
          </w:p>
        </w:tc>
        <w:tc>
          <w:tcPr>
            <w:tcW w:w="1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81">
            <w:pPr>
              <w:pStyle w:val="BodyText"/>
              <w:rPr>
                <w:lang w:val="en-NZ"/>
              </w:rPr>
            </w:pPr>
            <w:r w:rsidRPr="00255381">
              <w:t>Development of five (5) evaluation reports on power system events including the following:</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81" w:rsidP="00255381">
            <w:pPr>
              <w:pStyle w:val="BodyText"/>
            </w:pPr>
            <w:r w:rsidRPr="00255381">
              <w:t>Interpretation of targets in a substation</w:t>
            </w:r>
          </w:p>
          <w:p w:rsidR="00000000" w:rsidRPr="00255381" w:rsidP="00255381">
            <w:pPr>
              <w:pStyle w:val="BodyText"/>
            </w:pPr>
            <w:r w:rsidRPr="00255381">
              <w:t>Interpretation of fault reports</w:t>
            </w:r>
          </w:p>
          <w:p w:rsidR="00000000" w:rsidRPr="00255381" w:rsidP="00255381">
            <w:pPr>
              <w:pStyle w:val="BodyText"/>
            </w:pPr>
            <w:r w:rsidRPr="00255381">
              <w:t>Interpretation of downloaded event data</w:t>
            </w:r>
          </w:p>
          <w:p w:rsidR="00000000" w:rsidP="00255381">
            <w:pPr>
              <w:pStyle w:val="BodyText"/>
              <w:rPr>
                <w:lang w:val="en-NZ"/>
              </w:rPr>
            </w:pPr>
            <w:r w:rsidRPr="00255381">
              <w:t>Development of valid conclusions and recommendations.</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81">
            <w:pPr>
              <w:pStyle w:val="BodyText"/>
              <w:rPr>
                <w:lang w:val="en-NZ"/>
              </w:rPr>
            </w:pPr>
            <w:r w:rsidRPr="00255381">
              <w:t>C</w:t>
            </w:r>
          </w:p>
        </w:tc>
        <w:tc>
          <w:tcPr>
            <w:tcW w:w="1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81">
            <w:pPr>
              <w:pStyle w:val="BodyText"/>
              <w:rPr>
                <w:lang w:val="en-NZ"/>
              </w:rPr>
            </w:pPr>
            <w:r w:rsidRPr="00255381">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81">
            <w:pPr>
              <w:pStyle w:val="BodyText"/>
              <w:rPr>
                <w:lang w:val="en-NZ"/>
              </w:rPr>
            </w:pPr>
            <w:r w:rsidRPr="00255381">
              <w:t>Dealing with an unplanned event by drawing on essential knowl</w:t>
            </w:r>
            <w:r w:rsidRPr="00255381">
              <w:t>edge and associated skills to provide appropriate solutions incorporated in the holistic assessment with the above listed items.</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Context of and specific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9</w:t>
            </w:r>
            <w:r w:rsidRPr="00255381">
              <w:t>.</w:t>
            </w:r>
            <w:r w:rsidRPr="00255381">
              <w:rPr>
                <w:rStyle w:val="SpecialBold"/>
              </w:rPr>
              <w:t>3</w:t>
            </w:r>
            <w:r w:rsidRPr="00255381">
              <w:t xml:space="preserve">) </w:t>
            </w:r>
          </w:p>
          <w:p w:rsidR="00000000" w:rsidRPr="00255381" w:rsidP="00255381">
            <w:pPr>
              <w:pStyle w:val="BodyText"/>
            </w:pPr>
            <w:r w:rsidRPr="00255381">
              <w:t>This unit should be assessed as it relates to normal work practice using procedures, information and resources typical of a workplace. This should include:</w:t>
            </w:r>
          </w:p>
          <w:p w:rsidR="00000000" w:rsidRPr="00255381" w:rsidP="00255381">
            <w:pPr>
              <w:pStyle w:val="ListBullet"/>
            </w:pPr>
            <w:r w:rsidRPr="00255381">
              <w:t>OHS policy and work procedures and instructions.</w:t>
            </w:r>
          </w:p>
          <w:p w:rsidR="00000000" w:rsidRPr="00255381" w:rsidP="00255381">
            <w:pPr>
              <w:pStyle w:val="ListBullet"/>
            </w:pPr>
            <w:r w:rsidRPr="00255381">
              <w:t>Suitable work environment, facilities, equipment an</w:t>
            </w:r>
            <w:r w:rsidRPr="00255381">
              <w:t>d materials to undertake actual evaluation of power system events.</w:t>
            </w:r>
          </w:p>
          <w:p w:rsidR="00000000" w:rsidP="00255381">
            <w:pPr>
              <w:pStyle w:val="ListBullet"/>
              <w:rPr>
                <w:lang w:val="en-NZ"/>
              </w:rPr>
            </w:pPr>
            <w:r w:rsidRPr="00255381">
              <w:t>Operational access to relevant plant, protection equipment, event data, scheme drawings and specialised testing equipment</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In addition to the resources listed above, in Context of and s</w:t>
            </w:r>
            <w:r w:rsidRPr="00255381">
              <w:t>pecific resources for assessment, evidence should show demonstrated competency working at realistic heights above ground i.e. above 3 metres, in limited spaces, with different structural/construction types and method and in a variety of environments.</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M</w:t>
            </w:r>
            <w:r w:rsidRPr="00255381">
              <w:rPr>
                <w:rStyle w:val="SpecialBold"/>
              </w:rPr>
              <w:t>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9</w:t>
            </w:r>
            <w:r w:rsidRPr="00255381">
              <w:t>.</w:t>
            </w:r>
            <w:r w:rsidRPr="00255381">
              <w:rPr>
                <w:rStyle w:val="SpecialBold"/>
              </w:rPr>
              <w:t>4</w:t>
            </w:r>
            <w:r w:rsidRPr="00255381">
              <w:t xml:space="preserve">) </w:t>
            </w:r>
          </w:p>
          <w:p w:rsidR="00000000" w:rsidRPr="00255381" w:rsidP="00255381">
            <w:pPr>
              <w:pStyle w:val="BodyText"/>
            </w:pPr>
            <w:r w:rsidRPr="00255381">
              <w:t>This Competency Standard Unit shall be assessed by methods given in Volume 1, Part 3 "Assessment Guidelines".</w:t>
            </w:r>
          </w:p>
          <w:p w:rsidR="00000000" w:rsidP="00255381">
            <w:pPr>
              <w:pStyle w:val="BodyText"/>
              <w:rPr>
                <w:lang w:val="en-NZ"/>
              </w:rPr>
            </w:pPr>
            <w:r w:rsidRPr="00255381">
              <w:t>Note:</w:t>
            </w:r>
            <w:r w:rsidRPr="00255381">
              <w:br/>
              <w:t xml:space="preserve">Competent performance with inherent safe working practices is expected in the Transmission, Distribution and Rail </w:t>
            </w:r>
            <w:r w:rsidRPr="00255381">
              <w:t xml:space="preserve">Traction Industry. This requires that the specified essential knowledge and associated skills are assessed in a structured environment which is primarily intended for learning/assessment and incorporates all necessary equipment and facilities for learners </w:t>
            </w:r>
            <w:r w:rsidRPr="00255381">
              <w:t>to develop and demonstrate the essential knowledge and associated skills described in this unit.</w:t>
            </w:r>
          </w:p>
        </w:tc>
      </w:tr>
      <w:tr w:rsidTr="002C318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Concurrent assessment and relationship with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9</w:t>
            </w:r>
            <w:r w:rsidRPr="00255381">
              <w:t>.</w:t>
            </w:r>
            <w:r w:rsidRPr="00255381">
              <w:rPr>
                <w:rStyle w:val="SpecialBold"/>
              </w:rPr>
              <w:t>5</w:t>
            </w:r>
            <w:r w:rsidRPr="00255381">
              <w:t>)</w:t>
            </w:r>
          </w:p>
        </w:tc>
      </w:tr>
      <w:tr w:rsidTr="002C31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There are no concurrent assessment recommendations for this unit.</w:t>
            </w:r>
          </w:p>
        </w:tc>
      </w:tr>
    </w:tbl>
    <w:p w:rsidR="002C318B" w:rsidP="00255381">
      <w:pPr>
        <w:pStyle w:val="BodyText"/>
      </w:pPr>
    </w:p>
    <w:p w:rsidR="002C318B" w:rsidP="00255381">
      <w:pPr>
        <w:pStyle w:val="BodyText"/>
      </w:pPr>
    </w:p>
    <w:p w:rsidR="00000000" w:rsidRPr="00255381" w:rsidP="00255381">
      <w:pPr>
        <w:pStyle w:val="Heading1"/>
      </w:pPr>
      <w:bookmarkStart w:id="11" w:name="O_256254"/>
      <w:bookmarkEnd w:id="11"/>
      <w:r w:rsidRPr="00255381">
        <w:t>Range Statement</w:t>
      </w:r>
    </w:p>
    <w:tbl>
      <w:tblPr>
        <w:tblW w:w="0" w:type="auto"/>
        <w:tblLayout w:type="fixed"/>
        <w:tblCellMar>
          <w:left w:w="62" w:type="dxa"/>
          <w:right w:w="62" w:type="dxa"/>
        </w:tblCellMar>
        <w:tblLook w:val="0000"/>
      </w:tblPr>
      <w:tblGrid>
        <w:gridCol w:w="2160"/>
        <w:gridCol w:w="6480"/>
      </w:tblGrid>
      <w:tr w:rsidTr="002C318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RANGE STATEMENT</w:t>
            </w:r>
          </w:p>
        </w:tc>
      </w:tr>
      <w:tr w:rsidTr="002C318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8</w:t>
            </w:r>
            <w:r w:rsidRPr="00255381">
              <w:t>) This relates to the unit of competency as a whole providing the range of contexts and conditions to which the Performance Criteria apply. It allows for different work environments and situations that will affect</w:t>
            </w:r>
            <w:r w:rsidRPr="00255381">
              <w:t xml:space="preserve"> performance.</w:t>
            </w:r>
          </w:p>
        </w:tc>
      </w:tr>
      <w:tr w:rsidTr="002C318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 xml:space="preserve">This Competency Standard Unit shall/may be demonstrated in relation to evaluating power system events that effect substation equipment and </w:t>
            </w:r>
            <w:r w:rsidRPr="00255381">
              <w:t>may include the following: secondary equipment, feeder outage, disturbance recorders, alarms, transformers, circuit breakers, DC supplies, SCADA and busbars.</w:t>
            </w:r>
          </w:p>
          <w:p w:rsidR="00000000" w:rsidP="00255381">
            <w:pPr>
              <w:pStyle w:val="BodyText"/>
              <w:rPr>
                <w:lang w:val="en-NZ"/>
              </w:rPr>
            </w:pPr>
            <w:r w:rsidRPr="00255381">
              <w:t>The following constants and variables included in the element/Performance Criteria in this unit ar</w:t>
            </w:r>
            <w:r w:rsidRPr="00255381">
              <w:t>e fully described in the Definitions Section 1 of this volume and form an integral part of the Range Statement of this unit:</w:t>
            </w:r>
          </w:p>
        </w:tc>
      </w:tr>
      <w:tr w:rsidTr="002C31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255381" w:rsidP="00255381">
            <w:pPr>
              <w:pStyle w:val="ListBullet"/>
            </w:pPr>
            <w:r w:rsidRPr="00255381">
              <w:t>Appropriate and relevant persons (see Personnel)</w:t>
            </w:r>
          </w:p>
          <w:p w:rsidR="00000000" w:rsidRPr="00255381" w:rsidP="00255381">
            <w:pPr>
              <w:pStyle w:val="ListBullet"/>
            </w:pPr>
            <w:r w:rsidRPr="00255381">
              <w:t>Appropriate authorities</w:t>
            </w:r>
          </w:p>
          <w:p w:rsidR="00000000" w:rsidRPr="00255381" w:rsidP="00255381">
            <w:pPr>
              <w:pStyle w:val="ListBullet"/>
            </w:pPr>
            <w:r w:rsidRPr="00255381">
              <w:t>Appropriate work platform</w:t>
            </w:r>
          </w:p>
          <w:p w:rsidR="00000000" w:rsidRPr="00255381" w:rsidP="00255381">
            <w:pPr>
              <w:pStyle w:val="ListBullet"/>
            </w:pPr>
            <w:r w:rsidRPr="00255381">
              <w:t>Assessing risk</w:t>
            </w:r>
          </w:p>
          <w:p w:rsidR="00000000" w:rsidRPr="00255381" w:rsidP="00255381">
            <w:pPr>
              <w:pStyle w:val="ListBullet"/>
            </w:pPr>
            <w:r w:rsidRPr="00255381">
              <w:t>Assessment</w:t>
            </w:r>
          </w:p>
          <w:p w:rsidR="00000000" w:rsidRPr="00255381" w:rsidP="00255381">
            <w:pPr>
              <w:pStyle w:val="ListBullet"/>
            </w:pPr>
            <w:r w:rsidRPr="00255381">
              <w:t>Aut</w:t>
            </w:r>
            <w:r w:rsidRPr="00255381">
              <w:t>horisation</w:t>
            </w:r>
          </w:p>
          <w:p w:rsidR="00000000" w:rsidRPr="00255381" w:rsidP="00255381">
            <w:pPr>
              <w:pStyle w:val="ListBullet"/>
            </w:pPr>
            <w:r w:rsidRPr="00255381">
              <w:t>Confined space</w:t>
            </w:r>
          </w:p>
          <w:p w:rsidR="00000000" w:rsidRPr="00255381" w:rsidP="00255381">
            <w:pPr>
              <w:pStyle w:val="ListBullet"/>
            </w:pPr>
            <w:r w:rsidRPr="00255381">
              <w:t>Diagnostic, testing and restoration</w:t>
            </w:r>
          </w:p>
          <w:p w:rsidR="00000000" w:rsidRPr="00255381" w:rsidP="00255381">
            <w:pPr>
              <w:pStyle w:val="ListBullet"/>
            </w:pPr>
            <w:r w:rsidRPr="00255381">
              <w:t>Documenting detail work events, record keeping and or storage of information</w:t>
            </w:r>
          </w:p>
          <w:p w:rsidR="00000000" w:rsidRPr="00255381" w:rsidP="00255381">
            <w:pPr>
              <w:pStyle w:val="ListBullet"/>
            </w:pPr>
            <w:r w:rsidRPr="00255381">
              <w:t>Drawings and specifications</w:t>
            </w:r>
          </w:p>
          <w:p w:rsidR="00000000" w:rsidRPr="00255381" w:rsidP="00255381">
            <w:pPr>
              <w:pStyle w:val="ListBullet"/>
            </w:pPr>
            <w:r w:rsidRPr="00255381">
              <w:t>Emergency</w:t>
            </w:r>
          </w:p>
          <w:p w:rsidR="00000000" w:rsidRPr="00255381" w:rsidP="00255381">
            <w:pPr>
              <w:pStyle w:val="ListBullet"/>
            </w:pPr>
            <w:r w:rsidRPr="00255381">
              <w:t>Environmental and sustainable energy procedures</w:t>
            </w:r>
          </w:p>
          <w:p w:rsidR="00000000" w:rsidRPr="00255381" w:rsidP="00255381">
            <w:pPr>
              <w:pStyle w:val="ListBullet"/>
            </w:pPr>
            <w:r w:rsidRPr="00255381">
              <w:t>Environmental legislation</w:t>
            </w:r>
          </w:p>
          <w:p w:rsidR="00000000" w:rsidRPr="00255381" w:rsidP="00255381">
            <w:pPr>
              <w:pStyle w:val="ListBullet"/>
            </w:pPr>
            <w:r w:rsidRPr="00255381">
              <w:t>Envir</w:t>
            </w:r>
            <w:r w:rsidRPr="00255381">
              <w:t>onmental management documentation</w:t>
            </w:r>
          </w:p>
          <w:p w:rsidR="00000000" w:rsidRPr="00255381" w:rsidP="00255381">
            <w:pPr>
              <w:pStyle w:val="ListBullet"/>
            </w:pPr>
            <w:r w:rsidRPr="00255381">
              <w:t>Established procedures</w:t>
            </w:r>
          </w:p>
          <w:p w:rsidR="00000000" w:rsidRPr="00255381" w:rsidP="00255381">
            <w:pPr>
              <w:pStyle w:val="ListBullet"/>
            </w:pPr>
            <w:r w:rsidRPr="00255381">
              <w:t>Fall prevention</w:t>
            </w:r>
          </w:p>
          <w:p w:rsidR="00000000" w:rsidRPr="00255381" w:rsidP="00255381">
            <w:pPr>
              <w:pStyle w:val="ListBullet"/>
            </w:pPr>
            <w:r w:rsidRPr="00255381">
              <w:t>Hazards</w:t>
            </w:r>
          </w:p>
          <w:p w:rsidR="00000000" w:rsidRPr="00255381" w:rsidP="00255381">
            <w:pPr>
              <w:pStyle w:val="ListBullet"/>
            </w:pPr>
            <w:r w:rsidRPr="00255381">
              <w:t>Identifying hazards</w:t>
            </w:r>
          </w:p>
          <w:p w:rsidR="00000000" w:rsidRPr="00255381" w:rsidP="00255381">
            <w:pPr>
              <w:pStyle w:val="ListBullet"/>
            </w:pPr>
            <w:r w:rsidRPr="00255381">
              <w:t>Inspect</w:t>
            </w:r>
          </w:p>
          <w:p w:rsidR="00000000" w:rsidRPr="00255381" w:rsidP="00255381">
            <w:pPr>
              <w:pStyle w:val="ListBullet"/>
            </w:pPr>
            <w:r w:rsidRPr="00255381">
              <w:t>Legislation</w:t>
            </w:r>
          </w:p>
          <w:p w:rsidR="00000000" w:rsidRPr="00255381" w:rsidP="00255381">
            <w:pPr>
              <w:pStyle w:val="ListBullet"/>
            </w:pPr>
            <w:r w:rsidRPr="00255381">
              <w:t>MSDS</w:t>
            </w:r>
          </w:p>
          <w:p w:rsidR="00000000" w:rsidRPr="00255381" w:rsidP="00255381">
            <w:pPr>
              <w:pStyle w:val="ListBullet"/>
            </w:pPr>
            <w:r w:rsidRPr="00255381">
              <w:t>Notification</w:t>
            </w:r>
          </w:p>
          <w:p w:rsidR="00000000" w:rsidRPr="00255381" w:rsidP="00255381">
            <w:pPr>
              <w:pStyle w:val="ListBullet"/>
            </w:pPr>
            <w:r w:rsidRPr="00255381">
              <w:t>OHS practices</w:t>
            </w:r>
          </w:p>
          <w:p w:rsidR="00000000" w:rsidRPr="00255381" w:rsidP="00255381">
            <w:pPr>
              <w:pStyle w:val="ListBullet"/>
            </w:pPr>
            <w:r w:rsidRPr="00255381">
              <w:t>OHS issues</w:t>
            </w:r>
          </w:p>
          <w:p w:rsidR="00000000" w:rsidRPr="00255381" w:rsidP="00255381">
            <w:pPr>
              <w:pStyle w:val="ListBullet"/>
            </w:pPr>
            <w:r w:rsidRPr="00255381">
              <w:t>Permits and/or permits to work</w:t>
            </w:r>
          </w:p>
          <w:p w:rsidR="00000000" w:rsidRPr="00255381" w:rsidP="00255381">
            <w:pPr>
              <w:pStyle w:val="ListBullet"/>
            </w:pPr>
            <w:r w:rsidRPr="00255381">
              <w:t>Personnel</w:t>
            </w:r>
          </w:p>
          <w:p w:rsidR="00000000" w:rsidRPr="00255381" w:rsidP="00255381">
            <w:pPr>
              <w:pStyle w:val="ListBullet"/>
            </w:pPr>
            <w:r w:rsidRPr="00255381">
              <w:t>Quality assurance systems</w:t>
            </w:r>
          </w:p>
          <w:p w:rsidR="00000000" w:rsidRPr="00255381" w:rsidP="00255381">
            <w:pPr>
              <w:pStyle w:val="ListBullet"/>
            </w:pPr>
            <w:r w:rsidRPr="00255381">
              <w:t>Requirements</w:t>
            </w:r>
          </w:p>
          <w:p w:rsidR="00000000" w:rsidRPr="00255381" w:rsidP="00255381">
            <w:pPr>
              <w:pStyle w:val="ListBullet"/>
            </w:pPr>
            <w:r w:rsidRPr="00255381">
              <w:t>Testing procedures</w:t>
            </w:r>
          </w:p>
          <w:p w:rsidR="00000000" w:rsidRPr="00255381" w:rsidP="00255381">
            <w:pPr>
              <w:pStyle w:val="ListBullet"/>
            </w:pPr>
            <w:r w:rsidRPr="00255381">
              <w:t>Work clearance systems</w:t>
            </w:r>
          </w:p>
        </w:tc>
      </w:tr>
    </w:tbl>
    <w:p w:rsidR="002C318B" w:rsidP="00255381">
      <w:pPr>
        <w:pStyle w:val="BodyText"/>
      </w:pPr>
    </w:p>
    <w:p w:rsidR="002C318B" w:rsidP="00255381">
      <w:pPr>
        <w:pStyle w:val="BodyText"/>
      </w:pPr>
    </w:p>
    <w:p w:rsidR="00000000" w:rsidRPr="00255381" w:rsidP="00255381">
      <w:pPr>
        <w:pStyle w:val="Heading1"/>
      </w:pPr>
      <w:bookmarkStart w:id="12" w:name="O_297267"/>
      <w:bookmarkEnd w:id="12"/>
      <w:r w:rsidRPr="00255381">
        <w:t>Unit Sector(s)</w:t>
      </w:r>
    </w:p>
    <w:p w:rsidR="00000000" w:rsidRPr="00255381" w:rsidP="00255381">
      <w:pPr>
        <w:pStyle w:val="BodyText"/>
      </w:pPr>
      <w:r w:rsidRPr="00255381">
        <w:t>Not Applicable</w:t>
      </w:r>
    </w:p>
    <w:p w:rsidR="00000000" w:rsidRPr="00255381" w:rsidP="00255381">
      <w:pPr>
        <w:pStyle w:val="AllowPageBreak"/>
      </w:pPr>
    </w:p>
    <w:p w:rsidR="00000000" w:rsidRPr="00255381" w:rsidP="00255381">
      <w:pPr>
        <w:pStyle w:val="Heading1"/>
      </w:pPr>
      <w:bookmarkStart w:id="13" w:name="O_232162"/>
      <w:bookmarkEnd w:id="13"/>
      <w:r w:rsidRPr="00255381">
        <w:t>2.2) Literacy and numeracy skills</w:t>
      </w:r>
    </w:p>
    <w:tbl>
      <w:tblPr>
        <w:tblW w:w="0" w:type="auto"/>
        <w:tblLayout w:type="fixed"/>
        <w:tblCellMar>
          <w:left w:w="62" w:type="dxa"/>
          <w:right w:w="62" w:type="dxa"/>
        </w:tblCellMar>
        <w:tblLook w:val="0000"/>
      </w:tblPr>
      <w:tblGrid>
        <w:gridCol w:w="1541"/>
        <w:gridCol w:w="1183"/>
        <w:gridCol w:w="1828"/>
        <w:gridCol w:w="1183"/>
        <w:gridCol w:w="1722"/>
        <w:gridCol w:w="1183"/>
      </w:tblGrid>
      <w:tr w:rsidTr="002C318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2</w:t>
            </w:r>
            <w:r w:rsidRPr="00255381">
              <w:t>.</w:t>
            </w:r>
            <w:r w:rsidRPr="00255381">
              <w:rPr>
                <w:rStyle w:val="SpecialBold"/>
              </w:rPr>
              <w:t>2</w:t>
            </w:r>
            <w:r w:rsidRPr="00255381">
              <w:t xml:space="preserve">) </w:t>
            </w:r>
            <w:r w:rsidRPr="00255381">
              <w:rPr>
                <w:rStyle w:val="SpecialBold"/>
              </w:rPr>
              <w:t>Literacy and numeracy skills</w:t>
            </w:r>
          </w:p>
          <w:p w:rsidR="00000000" w:rsidP="00255381">
            <w:pPr>
              <w:pStyle w:val="BodyText"/>
              <w:rPr>
                <w:lang w:val="en-NZ"/>
              </w:rPr>
            </w:pPr>
            <w:r w:rsidRPr="00255381">
              <w:t>Participants are best equipped to achieve this unit if they have reading, writing and numeracy skills indicated by the following scales. Description of each scale is given in Volume 2, Part 3 "Literacy and Numeracy"</w:t>
            </w:r>
          </w:p>
        </w:tc>
      </w:tr>
      <w:tr w:rsidTr="002C318B">
        <w:tblPrEx>
          <w:tblW w:w="0" w:type="auto"/>
          <w:tblLayout w:type="fixed"/>
          <w:tblCellMar>
            <w:left w:w="62" w:type="dxa"/>
            <w:right w:w="62" w:type="dxa"/>
          </w:tblCellMar>
          <w:tblLook w:val="0000"/>
        </w:tblPrEx>
        <w:tc>
          <w:tcPr>
            <w:tcW w:w="1541"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Reading</w:t>
            </w:r>
          </w:p>
        </w:tc>
        <w:tc>
          <w:tcPr>
            <w:tcW w:w="1183"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5</w:t>
            </w:r>
          </w:p>
        </w:tc>
        <w:tc>
          <w:tcPr>
            <w:tcW w:w="1828"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Writing</w:t>
            </w:r>
          </w:p>
        </w:tc>
        <w:tc>
          <w:tcPr>
            <w:tcW w:w="1183"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5</w:t>
            </w:r>
          </w:p>
        </w:tc>
        <w:tc>
          <w:tcPr>
            <w:tcW w:w="1722"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t>Numeracy</w:t>
            </w:r>
          </w:p>
        </w:tc>
        <w:tc>
          <w:tcPr>
            <w:tcW w:w="1183"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5</w:t>
            </w:r>
          </w:p>
        </w:tc>
      </w:tr>
    </w:tbl>
    <w:p w:rsidR="002C318B" w:rsidP="00255381">
      <w:pPr>
        <w:pStyle w:val="BodyText"/>
      </w:pPr>
    </w:p>
    <w:p w:rsidR="002C318B" w:rsidP="00255381">
      <w:pPr>
        <w:pStyle w:val="BodyText"/>
      </w:pPr>
    </w:p>
    <w:p w:rsidR="00000000" w:rsidRPr="00255381" w:rsidP="00255381">
      <w:pPr>
        <w:pStyle w:val="Heading1"/>
      </w:pPr>
      <w:bookmarkStart w:id="14" w:name="O_232165"/>
      <w:bookmarkEnd w:id="14"/>
      <w:r w:rsidRPr="00255381">
        <w:t>Competency Field</w:t>
      </w:r>
    </w:p>
    <w:tbl>
      <w:tblPr>
        <w:tblW w:w="0" w:type="auto"/>
        <w:tblLayout w:type="fixed"/>
        <w:tblCellMar>
          <w:left w:w="62" w:type="dxa"/>
          <w:right w:w="62" w:type="dxa"/>
        </w:tblCellMar>
        <w:tblLook w:val="0000"/>
      </w:tblPr>
      <w:tblGrid>
        <w:gridCol w:w="2760"/>
        <w:gridCol w:w="5880"/>
      </w:tblGrid>
      <w:tr w:rsidTr="002C318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rPr>
                <w:rStyle w:val="SpecialBold"/>
              </w:rPr>
              <w:t>Competency Field</w:t>
            </w:r>
          </w:p>
        </w:tc>
        <w:tc>
          <w:tcPr>
            <w:tcW w:w="5880" w:type="dxa"/>
            <w:tcBorders>
              <w:top w:val="nil"/>
              <w:left w:val="nil"/>
              <w:bottom w:val="nil"/>
              <w:right w:val="nil"/>
            </w:tcBorders>
            <w:tcMar>
              <w:top w:w="0" w:type="dxa"/>
              <w:left w:w="62" w:type="dxa"/>
              <w:bottom w:w="0" w:type="dxa"/>
              <w:right w:w="62" w:type="dxa"/>
            </w:tcMar>
          </w:tcPr>
          <w:p w:rsidR="00000000" w:rsidP="00255381">
            <w:pPr>
              <w:pStyle w:val="BodyText"/>
              <w:rPr>
                <w:lang w:val="en-NZ"/>
              </w:rPr>
            </w:pPr>
            <w:r w:rsidRPr="00255381">
              <w:rPr>
                <w:rStyle w:val="SpecialBold"/>
              </w:rPr>
              <w:t>5</w:t>
            </w:r>
            <w:r w:rsidRPr="00255381">
              <w:t>)</w:t>
            </w:r>
          </w:p>
        </w:tc>
      </w:tr>
      <w:tr w:rsidTr="002C31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255381" w:rsidP="00255381">
            <w:pPr>
              <w:pStyle w:val="BodyText"/>
            </w:pPr>
            <w:r w:rsidRPr="00255381">
              <w:t>Testing Units</w:t>
            </w:r>
          </w:p>
        </w:tc>
      </w:tr>
    </w:tbl>
    <w:p w:rsidR="002C318B" w:rsidP="00255381">
      <w:pPr>
        <w:pStyle w:val="BodyText"/>
      </w:pPr>
    </w:p>
    <w:p w:rsidR="002C318B" w:rsidP="00255381">
      <w:pPr>
        <w:pStyle w:val="BodyText"/>
      </w:pPr>
    </w:p>
    <w:p w:rsidR="00000000" w:rsidRPr="00255381" w:rsidP="00255381"/>
    <w:sectPr w:rsidSect="00255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18B" w:rsidP="002C31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8B" w:rsidP="002553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C318B" w:rsidP="002553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C318B" w:rsidP="002553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381" w:rsidRPr="002C318B" w:rsidP="002C31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8B" w:rsidRPr="002D2AF8" w:rsidP="00255381">
    <w:pPr>
      <w:pStyle w:val="Header"/>
      <w:framePr w:wrap="around"/>
    </w:pPr>
    <w:r>
      <w:fldChar w:fldCharType="begin"/>
    </w:r>
    <w:r>
      <w:instrText xml:space="preserve"> TITLE   \* MERGEFORMAT </w:instrText>
    </w:r>
    <w:r>
      <w:fldChar w:fldCharType="separate"/>
    </w:r>
    <w:r>
      <w:t>UETTDRTS03B Conduct evaluation of power system faults within a substation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2C318B" w:rsidP="00255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9A41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FEB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381"/>
    <w:pPr>
      <w:spacing w:before="360" w:after="60"/>
      <w:outlineLvl w:val="0"/>
    </w:pPr>
    <w:rPr>
      <w:sz w:val="32"/>
    </w:rPr>
  </w:style>
  <w:style w:type="paragraph" w:styleId="Heading2">
    <w:name w:val="heading 2"/>
    <w:basedOn w:val="HeadingBase"/>
    <w:next w:val="BodyText"/>
    <w:link w:val="Heading2Char"/>
    <w:qFormat/>
    <w:rsid w:val="00255381"/>
    <w:pPr>
      <w:keepLines/>
      <w:spacing w:before="240" w:after="120"/>
      <w:outlineLvl w:val="1"/>
    </w:pPr>
    <w:rPr>
      <w:sz w:val="28"/>
      <w:szCs w:val="40"/>
    </w:rPr>
  </w:style>
  <w:style w:type="paragraph" w:styleId="Heading3">
    <w:name w:val="heading 3"/>
    <w:basedOn w:val="HeadingBase"/>
    <w:next w:val="BodyText"/>
    <w:link w:val="Heading3Char"/>
    <w:qFormat/>
    <w:rsid w:val="00255381"/>
    <w:pPr>
      <w:spacing w:before="180" w:after="120"/>
      <w:outlineLvl w:val="2"/>
    </w:pPr>
    <w:rPr>
      <w:spacing w:val="-10"/>
      <w:kern w:val="32"/>
    </w:rPr>
  </w:style>
  <w:style w:type="paragraph" w:styleId="Heading4">
    <w:name w:val="heading 4"/>
    <w:basedOn w:val="HeadingBase"/>
    <w:next w:val="BodyText"/>
    <w:link w:val="Heading4Char"/>
    <w:qFormat/>
    <w:rsid w:val="00255381"/>
    <w:pPr>
      <w:spacing w:before="160" w:after="120"/>
      <w:outlineLvl w:val="3"/>
    </w:pPr>
    <w:rPr>
      <w:sz w:val="22"/>
    </w:rPr>
  </w:style>
  <w:style w:type="paragraph" w:styleId="Heading5">
    <w:name w:val="heading 5"/>
    <w:basedOn w:val="HeadingBase"/>
    <w:next w:val="Normal"/>
    <w:link w:val="Heading5Char"/>
    <w:qFormat/>
    <w:rsid w:val="00255381"/>
    <w:pPr>
      <w:spacing w:before="80"/>
      <w:outlineLvl w:val="4"/>
    </w:pPr>
    <w:rPr>
      <w:color w:val="918585"/>
      <w:sz w:val="20"/>
    </w:rPr>
  </w:style>
  <w:style w:type="paragraph" w:styleId="Heading6">
    <w:name w:val="heading 6"/>
    <w:basedOn w:val="HeadingBase"/>
    <w:next w:val="Normal"/>
    <w:link w:val="Heading6Char"/>
    <w:qFormat/>
    <w:rsid w:val="00255381"/>
    <w:pPr>
      <w:spacing w:before="60"/>
      <w:outlineLvl w:val="5"/>
    </w:pPr>
    <w:rPr>
      <w:color w:val="918585"/>
      <w:sz w:val="20"/>
    </w:rPr>
  </w:style>
  <w:style w:type="paragraph" w:styleId="Heading7">
    <w:name w:val="heading 7"/>
    <w:basedOn w:val="Normal"/>
    <w:next w:val="Normal"/>
    <w:link w:val="Heading7Char"/>
    <w:qFormat/>
    <w:rsid w:val="00255381"/>
    <w:pPr>
      <w:ind w:left="720"/>
      <w:outlineLvl w:val="6"/>
    </w:pPr>
    <w:rPr>
      <w:i/>
    </w:rPr>
  </w:style>
  <w:style w:type="paragraph" w:styleId="Heading8">
    <w:name w:val="heading 8"/>
    <w:basedOn w:val="Normal"/>
    <w:next w:val="Normal"/>
    <w:link w:val="Heading8Char"/>
    <w:qFormat/>
    <w:rsid w:val="00255381"/>
    <w:pPr>
      <w:ind w:left="720"/>
      <w:outlineLvl w:val="7"/>
    </w:pPr>
    <w:rPr>
      <w:i/>
    </w:rPr>
  </w:style>
  <w:style w:type="paragraph" w:styleId="Heading9">
    <w:name w:val="heading 9"/>
    <w:basedOn w:val="Normal"/>
    <w:next w:val="Normal"/>
    <w:link w:val="Heading9Char"/>
    <w:qFormat/>
    <w:rsid w:val="00255381"/>
    <w:pPr>
      <w:ind w:left="720"/>
      <w:outlineLvl w:val="8"/>
    </w:pPr>
    <w:rPr>
      <w:i/>
    </w:rPr>
  </w:style>
  <w:style w:type="character" w:default="1" w:styleId="DefaultParagraphFont">
    <w:name w:val="Default Paragraph Font"/>
    <w:uiPriority w:val="1"/>
    <w:unhideWhenUsed/>
    <w:rsid w:val="00255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381"/>
  </w:style>
  <w:style w:type="character" w:customStyle="1" w:styleId="Heading1Char">
    <w:name w:val="Heading 1 Char"/>
    <w:basedOn w:val="DefaultParagraphFont"/>
    <w:link w:val="Heading1"/>
    <w:rsid w:val="00255381"/>
    <w:rPr>
      <w:rFonts w:ascii="Times New Roman" w:eastAsia="Times New Roman" w:hAnsi="Times New Roman" w:cs="Times New Roman"/>
      <w:b/>
      <w:sz w:val="32"/>
      <w:szCs w:val="20"/>
      <w:lang w:eastAsia="en-US"/>
    </w:rPr>
  </w:style>
  <w:style w:type="paragraph" w:styleId="BodyText">
    <w:name w:val="Body Text"/>
    <w:basedOn w:val="Normal"/>
    <w:link w:val="BodyTextChar"/>
    <w:rsid w:val="002553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381"/>
    <w:rPr>
      <w:rFonts w:ascii="Times New Roman" w:eastAsia="Times New Roman" w:hAnsi="Times New Roman" w:cs="Times New Roman"/>
      <w:sz w:val="24"/>
      <w:lang w:eastAsia="en-US"/>
    </w:rPr>
  </w:style>
  <w:style w:type="paragraph" w:styleId="Footer">
    <w:name w:val="footer"/>
    <w:basedOn w:val="Normal"/>
    <w:link w:val="FooterChar"/>
    <w:rsid w:val="00255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381"/>
    <w:rPr>
      <w:rFonts w:ascii="Times New Roman" w:eastAsia="Times New Roman" w:hAnsi="Times New Roman" w:cs="Times New Roman"/>
      <w:sz w:val="16"/>
      <w:lang w:eastAsia="en-US"/>
    </w:rPr>
  </w:style>
  <w:style w:type="paragraph" w:styleId="ListBullet">
    <w:name w:val="List Bullet"/>
    <w:basedOn w:val="List"/>
    <w:rsid w:val="00255381"/>
    <w:pPr>
      <w:numPr>
        <w:numId w:val="13"/>
      </w:numPr>
      <w:tabs>
        <w:tab w:val="clear" w:pos="340"/>
      </w:tabs>
      <w:spacing w:before="40" w:after="40"/>
    </w:pPr>
  </w:style>
  <w:style w:type="character" w:customStyle="1" w:styleId="SpecialBold">
    <w:name w:val="Special Bold"/>
    <w:basedOn w:val="DefaultParagraphFont"/>
    <w:rsid w:val="00255381"/>
    <w:rPr>
      <w:b/>
      <w:spacing w:val="0"/>
    </w:rPr>
  </w:style>
  <w:style w:type="paragraph" w:customStyle="1" w:styleId="SuperHeading">
    <w:name w:val="SuperHeading"/>
    <w:basedOn w:val="Normal"/>
    <w:rsid w:val="00255381"/>
    <w:pPr>
      <w:spacing w:before="240" w:after="120"/>
      <w:outlineLvl w:val="0"/>
    </w:pPr>
    <w:rPr>
      <w:rFonts w:ascii="Times New Roman" w:hAnsi="Times New Roman"/>
      <w:b/>
      <w:sz w:val="28"/>
    </w:rPr>
  </w:style>
  <w:style w:type="paragraph" w:customStyle="1" w:styleId="AllowPageBreak">
    <w:name w:val="AllowPageBreak"/>
    <w:rsid w:val="002553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5381"/>
    <w:pPr>
      <w:numPr>
        <w:numId w:val="2"/>
      </w:numPr>
      <w:tabs>
        <w:tab w:val="clear" w:pos="1021"/>
      </w:tabs>
      <w:ind w:left="1037" w:hanging="357"/>
    </w:pPr>
  </w:style>
  <w:style w:type="character" w:customStyle="1" w:styleId="Heading2Char">
    <w:name w:val="Heading 2 Char"/>
    <w:basedOn w:val="DefaultParagraphFont"/>
    <w:link w:val="Heading2"/>
    <w:rsid w:val="00255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381"/>
    <w:rPr>
      <w:rFonts w:ascii="Courier New" w:eastAsia="Times New Roman" w:hAnsi="Courier New" w:cs="Times New Roman"/>
      <w:i/>
      <w:szCs w:val="20"/>
      <w:lang w:eastAsia="en-US"/>
    </w:rPr>
  </w:style>
  <w:style w:type="paragraph" w:customStyle="1" w:styleId="HeadingBase">
    <w:name w:val="Heading Base"/>
    <w:rsid w:val="00255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381"/>
    <w:pPr>
      <w:tabs>
        <w:tab w:val="right" w:leader="dot" w:pos="9072"/>
      </w:tabs>
      <w:ind w:left="567"/>
    </w:pPr>
    <w:rPr>
      <w:szCs w:val="22"/>
    </w:rPr>
  </w:style>
  <w:style w:type="paragraph" w:customStyle="1" w:styleId="TOCBase">
    <w:name w:val="TOC Base"/>
    <w:rsid w:val="00255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381"/>
    <w:pPr>
      <w:tabs>
        <w:tab w:val="right" w:leader="dot" w:pos="9072"/>
      </w:tabs>
      <w:spacing w:before="40" w:after="40"/>
      <w:ind w:left="284"/>
    </w:pPr>
    <w:rPr>
      <w:rFonts w:ascii="Times New Roman" w:hAnsi="Times New Roman"/>
    </w:rPr>
  </w:style>
  <w:style w:type="paragraph" w:styleId="TOC1">
    <w:name w:val="toc 1"/>
    <w:basedOn w:val="TOCBase"/>
    <w:next w:val="Normal"/>
    <w:rsid w:val="002553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381"/>
    <w:pPr>
      <w:spacing w:before="5040"/>
      <w:jc w:val="center"/>
    </w:pPr>
    <w:rPr>
      <w:sz w:val="48"/>
      <w:szCs w:val="72"/>
      <w:lang w:val="en-US"/>
    </w:rPr>
  </w:style>
  <w:style w:type="character" w:customStyle="1" w:styleId="TitleChar">
    <w:name w:val="Title Char"/>
    <w:basedOn w:val="DefaultParagraphFont"/>
    <w:link w:val="Title"/>
    <w:rsid w:val="00255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381"/>
    <w:pPr>
      <w:tabs>
        <w:tab w:val="left" w:pos="3600"/>
        <w:tab w:val="left" w:pos="3958"/>
      </w:tabs>
    </w:pPr>
  </w:style>
  <w:style w:type="paragraph" w:styleId="List">
    <w:name w:val="List"/>
    <w:basedOn w:val="BodyText"/>
    <w:next w:val="BodyText"/>
    <w:rsid w:val="00255381"/>
    <w:pPr>
      <w:tabs>
        <w:tab w:val="left" w:pos="340"/>
      </w:tabs>
      <w:spacing w:before="60" w:after="60"/>
      <w:ind w:left="340" w:hanging="340"/>
    </w:pPr>
  </w:style>
  <w:style w:type="paragraph" w:customStyle="1" w:styleId="Note">
    <w:name w:val="Note"/>
    <w:basedOn w:val="BodyText"/>
    <w:rsid w:val="00255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381"/>
    <w:pPr>
      <w:framePr w:wrap="auto" w:hAnchor="text" w:y="6049"/>
    </w:pPr>
    <w:rPr>
      <w:color w:val="000000"/>
      <w:sz w:val="40"/>
    </w:rPr>
  </w:style>
  <w:style w:type="paragraph" w:customStyle="1" w:styleId="TOCTitle">
    <w:name w:val="TOCTitle"/>
    <w:basedOn w:val="Heading1"/>
    <w:rsid w:val="00255381"/>
    <w:pPr>
      <w:spacing w:after="240"/>
      <w:jc w:val="center"/>
      <w:outlineLvl w:val="9"/>
    </w:pPr>
    <w:rPr>
      <w:caps/>
    </w:rPr>
  </w:style>
  <w:style w:type="paragraph" w:customStyle="1" w:styleId="Version">
    <w:name w:val="Version"/>
    <w:rsid w:val="002553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381"/>
    <w:pPr>
      <w:numPr>
        <w:numId w:val="14"/>
      </w:numPr>
      <w:tabs>
        <w:tab w:val="clear" w:pos="680"/>
      </w:tabs>
    </w:pPr>
  </w:style>
  <w:style w:type="paragraph" w:styleId="Index1">
    <w:name w:val="index 1"/>
    <w:basedOn w:val="Normal"/>
    <w:next w:val="Normal"/>
    <w:semiHidden/>
    <w:rsid w:val="00255381"/>
    <w:pPr>
      <w:keepNext w:val="0"/>
      <w:tabs>
        <w:tab w:val="right" w:pos="4176"/>
      </w:tabs>
      <w:ind w:left="198" w:hanging="198"/>
    </w:pPr>
    <w:rPr>
      <w:rFonts w:ascii="Garamond" w:hAnsi="Garamond"/>
    </w:rPr>
  </w:style>
  <w:style w:type="paragraph" w:styleId="IndexHeading">
    <w:name w:val="index heading"/>
    <w:basedOn w:val="Normal"/>
    <w:next w:val="Index1"/>
    <w:semiHidden/>
    <w:rsid w:val="00255381"/>
    <w:pPr>
      <w:spacing w:before="120" w:after="120"/>
    </w:pPr>
    <w:rPr>
      <w:rFonts w:ascii="Arial" w:hAnsi="Arial"/>
      <w:b/>
      <w:color w:val="918585"/>
      <w:sz w:val="24"/>
    </w:rPr>
  </w:style>
  <w:style w:type="paragraph" w:styleId="Header">
    <w:name w:val="header"/>
    <w:basedOn w:val="Normal"/>
    <w:link w:val="HeaderChar"/>
    <w:rsid w:val="00255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381"/>
    <w:rPr>
      <w:rFonts w:ascii="Times New Roman" w:eastAsia="Times New Roman" w:hAnsi="Times New Roman" w:cs="Times New Roman"/>
      <w:sz w:val="16"/>
      <w:szCs w:val="20"/>
      <w:lang w:val="en-GB" w:eastAsia="en-US"/>
    </w:rPr>
  </w:style>
  <w:style w:type="paragraph" w:customStyle="1" w:styleId="Chapter">
    <w:name w:val="Chapter"/>
    <w:basedOn w:val="Normal"/>
    <w:rsid w:val="00255381"/>
    <w:pPr>
      <w:spacing w:before="240"/>
    </w:pPr>
    <w:rPr>
      <w:rFonts w:ascii="Times New Roman" w:hAnsi="Times New Roman"/>
      <w:smallCaps/>
      <w:spacing w:val="80"/>
      <w:sz w:val="28"/>
    </w:rPr>
  </w:style>
  <w:style w:type="paragraph" w:customStyle="1" w:styleId="InChapter">
    <w:name w:val="InChapter"/>
    <w:basedOn w:val="Heading3"/>
    <w:rsid w:val="00255381"/>
    <w:pPr>
      <w:spacing w:after="240"/>
      <w:outlineLvl w:val="9"/>
    </w:pPr>
    <w:rPr>
      <w:noProof/>
    </w:rPr>
  </w:style>
  <w:style w:type="paragraph" w:styleId="Index2">
    <w:name w:val="index 2"/>
    <w:basedOn w:val="Normal"/>
    <w:next w:val="Normal"/>
    <w:semiHidden/>
    <w:rsid w:val="00255381"/>
    <w:pPr>
      <w:tabs>
        <w:tab w:val="right" w:pos="4176"/>
      </w:tabs>
      <w:ind w:left="568" w:hanging="284"/>
    </w:pPr>
    <w:rPr>
      <w:rFonts w:ascii="Garamond" w:hAnsi="Garamond"/>
    </w:rPr>
  </w:style>
  <w:style w:type="paragraph" w:customStyle="1" w:styleId="Byline">
    <w:name w:val="Byline"/>
    <w:rsid w:val="00255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381"/>
    <w:pPr>
      <w:tabs>
        <w:tab w:val="clear" w:pos="3600"/>
        <w:tab w:val="clear" w:pos="3958"/>
      </w:tabs>
      <w:jc w:val="right"/>
    </w:pPr>
  </w:style>
  <w:style w:type="character" w:styleId="Emphasis">
    <w:name w:val="Emphasis"/>
    <w:basedOn w:val="DefaultParagraphFont"/>
    <w:qFormat/>
    <w:rsid w:val="00255381"/>
    <w:rPr>
      <w:i/>
    </w:rPr>
  </w:style>
  <w:style w:type="paragraph" w:styleId="Caption">
    <w:name w:val="caption"/>
    <w:basedOn w:val="BodyText"/>
    <w:next w:val="Normal"/>
    <w:qFormat/>
    <w:rsid w:val="00255381"/>
    <w:pPr>
      <w:framePr w:w="2268" w:hSpace="181" w:vSpace="181" w:wrap="around" w:vAnchor="text" w:hAnchor="page" w:x="1135" w:y="285" w:anchorLock="1"/>
    </w:pPr>
    <w:rPr>
      <w:i/>
    </w:rPr>
  </w:style>
  <w:style w:type="paragraph" w:customStyle="1" w:styleId="MiniTOCTitle">
    <w:name w:val="MiniTOCTitle"/>
    <w:basedOn w:val="Heading4"/>
    <w:rsid w:val="00255381"/>
    <w:pPr>
      <w:spacing w:before="240"/>
      <w:outlineLvl w:val="9"/>
    </w:pPr>
    <w:rPr>
      <w:noProof/>
      <w:sz w:val="24"/>
    </w:rPr>
  </w:style>
  <w:style w:type="paragraph" w:customStyle="1" w:styleId="MiniTOCItem">
    <w:name w:val="MiniTOCItem"/>
    <w:basedOn w:val="ListBullet"/>
    <w:rsid w:val="00255381"/>
    <w:pPr>
      <w:numPr>
        <w:numId w:val="0"/>
      </w:numPr>
      <w:tabs>
        <w:tab w:val="right" w:leader="dot" w:pos="6521"/>
      </w:tabs>
      <w:spacing w:before="0" w:after="0"/>
    </w:pPr>
  </w:style>
  <w:style w:type="paragraph" w:customStyle="1" w:styleId="TOFTitle">
    <w:name w:val="TOFTitle"/>
    <w:basedOn w:val="TOCTitle"/>
    <w:rsid w:val="00255381"/>
  </w:style>
  <w:style w:type="paragraph" w:styleId="TableofFigures">
    <w:name w:val="table of figures"/>
    <w:basedOn w:val="Normal"/>
    <w:next w:val="Normal"/>
    <w:semiHidden/>
    <w:rsid w:val="00255381"/>
    <w:pPr>
      <w:tabs>
        <w:tab w:val="right" w:leader="dot" w:pos="9072"/>
      </w:tabs>
      <w:ind w:left="970" w:hanging="403"/>
    </w:pPr>
    <w:rPr>
      <w:rFonts w:ascii="Times New Roman" w:hAnsi="Times New Roman"/>
      <w:b/>
    </w:rPr>
  </w:style>
  <w:style w:type="paragraph" w:styleId="ListNumber">
    <w:name w:val="List Number"/>
    <w:basedOn w:val="List"/>
    <w:rsid w:val="00255381"/>
    <w:pPr>
      <w:numPr>
        <w:numId w:val="11"/>
      </w:numPr>
    </w:pPr>
  </w:style>
  <w:style w:type="character" w:customStyle="1" w:styleId="WingdingSymbols">
    <w:name w:val="Wingding Symbols"/>
    <w:rsid w:val="00255381"/>
    <w:rPr>
      <w:rFonts w:ascii="Wingdings" w:hAnsi="Wingdings"/>
    </w:rPr>
  </w:style>
  <w:style w:type="paragraph" w:customStyle="1" w:styleId="TableHeading">
    <w:name w:val="Table Heading"/>
    <w:basedOn w:val="HeadingBase"/>
    <w:rsid w:val="00255381"/>
    <w:pPr>
      <w:keepLines/>
      <w:pBdr>
        <w:bottom w:val="single" w:sz="6" w:space="1" w:color="918585"/>
      </w:pBdr>
      <w:spacing w:before="240"/>
    </w:pPr>
  </w:style>
  <w:style w:type="character" w:customStyle="1" w:styleId="HotSpot">
    <w:name w:val="HotSpot"/>
    <w:rsid w:val="00255381"/>
    <w:rPr>
      <w:color w:val="0033CC"/>
      <w:u w:val="none"/>
    </w:rPr>
  </w:style>
  <w:style w:type="paragraph" w:customStyle="1" w:styleId="BodyTextRight">
    <w:name w:val="Body Text Right"/>
    <w:basedOn w:val="BodyText"/>
    <w:rsid w:val="00255381"/>
    <w:pPr>
      <w:spacing w:before="0" w:after="0"/>
      <w:jc w:val="right"/>
    </w:pPr>
  </w:style>
  <w:style w:type="paragraph" w:styleId="Index3">
    <w:name w:val="index 3"/>
    <w:basedOn w:val="ListNumber2"/>
    <w:next w:val="Normal"/>
    <w:semiHidden/>
    <w:rsid w:val="00255381"/>
    <w:pPr>
      <w:numPr>
        <w:numId w:val="0"/>
      </w:numPr>
      <w:tabs>
        <w:tab w:val="right" w:leader="dot" w:pos="4176"/>
      </w:tabs>
    </w:pPr>
  </w:style>
  <w:style w:type="paragraph" w:styleId="ListNumber2">
    <w:name w:val="List Number 2"/>
    <w:basedOn w:val="List2"/>
    <w:rsid w:val="00255381"/>
    <w:pPr>
      <w:numPr>
        <w:numId w:val="10"/>
      </w:numPr>
      <w:tabs>
        <w:tab w:val="clear" w:pos="1060"/>
      </w:tabs>
    </w:pPr>
  </w:style>
  <w:style w:type="paragraph" w:customStyle="1" w:styleId="MarginNote">
    <w:name w:val="Margin Note"/>
    <w:basedOn w:val="BodyText"/>
    <w:rsid w:val="00255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381"/>
    <w:rPr>
      <w:sz w:val="32"/>
    </w:rPr>
  </w:style>
  <w:style w:type="paragraph" w:customStyle="1" w:styleId="HeadingProcedure">
    <w:name w:val="Heading Procedure"/>
    <w:basedOn w:val="HeadingBase"/>
    <w:next w:val="Normal"/>
    <w:rsid w:val="00255381"/>
    <w:pPr>
      <w:tabs>
        <w:tab w:val="left" w:pos="0"/>
      </w:tabs>
      <w:spacing w:before="120" w:after="60"/>
    </w:pPr>
    <w:rPr>
      <w:i/>
      <w:color w:val="918585"/>
      <w:sz w:val="22"/>
    </w:rPr>
  </w:style>
  <w:style w:type="paragraph" w:customStyle="1" w:styleId="TableBodyText">
    <w:name w:val="Table Body Text"/>
    <w:basedOn w:val="BodyText"/>
    <w:rsid w:val="00255381"/>
    <w:pPr>
      <w:spacing w:before="60" w:after="60"/>
    </w:pPr>
  </w:style>
  <w:style w:type="paragraph" w:styleId="ListContinue">
    <w:name w:val="List Continue"/>
    <w:basedOn w:val="List"/>
    <w:rsid w:val="00255381"/>
    <w:pPr>
      <w:ind w:firstLine="0"/>
    </w:pPr>
  </w:style>
  <w:style w:type="paragraph" w:customStyle="1" w:styleId="ListNote">
    <w:name w:val="List Note"/>
    <w:basedOn w:val="List"/>
    <w:rsid w:val="00255381"/>
    <w:pPr>
      <w:pBdr>
        <w:top w:val="single" w:sz="6" w:space="2" w:color="918585"/>
        <w:bottom w:val="single" w:sz="6" w:space="2" w:color="918585"/>
      </w:pBdr>
      <w:tabs>
        <w:tab w:val="left" w:pos="1021"/>
      </w:tabs>
      <w:ind w:firstLine="0"/>
    </w:pPr>
  </w:style>
  <w:style w:type="paragraph" w:customStyle="1" w:styleId="Warning">
    <w:name w:val="Warning"/>
    <w:basedOn w:val="BodyText"/>
    <w:rsid w:val="00255381"/>
    <w:pPr>
      <w:shd w:val="clear" w:color="auto" w:fill="D9D9D9"/>
      <w:tabs>
        <w:tab w:val="left" w:pos="992"/>
      </w:tabs>
      <w:ind w:left="119" w:right="119"/>
    </w:pPr>
    <w:rPr>
      <w:sz w:val="20"/>
    </w:rPr>
  </w:style>
  <w:style w:type="paragraph" w:customStyle="1" w:styleId="MarginIcons">
    <w:name w:val="Margin Icons"/>
    <w:basedOn w:val="BodyText"/>
    <w:rsid w:val="00255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381"/>
    <w:rPr>
      <w:rFonts w:ascii="Courier New" w:hAnsi="Courier New"/>
    </w:rPr>
  </w:style>
  <w:style w:type="paragraph" w:customStyle="1" w:styleId="NoteBullet">
    <w:name w:val="Note Bullet"/>
    <w:basedOn w:val="Note"/>
    <w:rsid w:val="00255381"/>
    <w:pPr>
      <w:tabs>
        <w:tab w:val="clear" w:pos="680"/>
      </w:tabs>
      <w:spacing w:before="60" w:after="60"/>
    </w:pPr>
  </w:style>
  <w:style w:type="paragraph" w:customStyle="1" w:styleId="SubHeading2">
    <w:name w:val="SubHeading2"/>
    <w:basedOn w:val="HeadingBase"/>
    <w:rsid w:val="00255381"/>
    <w:pPr>
      <w:spacing w:before="240" w:after="60"/>
    </w:pPr>
    <w:rPr>
      <w:sz w:val="20"/>
    </w:rPr>
  </w:style>
  <w:style w:type="paragraph" w:customStyle="1" w:styleId="SubHeading1">
    <w:name w:val="SubHeading1"/>
    <w:basedOn w:val="HeadingBase"/>
    <w:rsid w:val="00255381"/>
    <w:pPr>
      <w:spacing w:before="240" w:after="60"/>
    </w:pPr>
    <w:rPr>
      <w:color w:val="918585"/>
      <w:sz w:val="22"/>
    </w:rPr>
  </w:style>
  <w:style w:type="paragraph" w:customStyle="1" w:styleId="SideHeading">
    <w:name w:val="Side Heading"/>
    <w:basedOn w:val="HeadingBase"/>
    <w:rsid w:val="00255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381"/>
    <w:pPr>
      <w:numPr>
        <w:numId w:val="12"/>
      </w:numPr>
    </w:pPr>
  </w:style>
  <w:style w:type="paragraph" w:styleId="PlainText">
    <w:name w:val="Plain Text"/>
    <w:basedOn w:val="Normal"/>
    <w:link w:val="PlainTextChar"/>
    <w:rsid w:val="00255381"/>
    <w:rPr>
      <w:sz w:val="20"/>
    </w:rPr>
  </w:style>
  <w:style w:type="character" w:customStyle="1" w:styleId="PlainTextChar">
    <w:name w:val="Plain Text Char"/>
    <w:basedOn w:val="DefaultParagraphFont"/>
    <w:link w:val="PlainText"/>
    <w:rsid w:val="00255381"/>
    <w:rPr>
      <w:rFonts w:ascii="Courier New" w:eastAsia="Times New Roman" w:hAnsi="Courier New" w:cs="Times New Roman"/>
      <w:sz w:val="20"/>
      <w:szCs w:val="20"/>
      <w:lang w:eastAsia="en-US"/>
    </w:rPr>
  </w:style>
  <w:style w:type="character" w:customStyle="1" w:styleId="MenuOption">
    <w:name w:val="Menu Option"/>
    <w:basedOn w:val="DefaultParagraphFont"/>
    <w:rsid w:val="00255381"/>
    <w:rPr>
      <w:b/>
      <w:smallCaps/>
    </w:rPr>
  </w:style>
  <w:style w:type="paragraph" w:customStyle="1" w:styleId="TableListNumber">
    <w:name w:val="Table List Number"/>
    <w:basedOn w:val="ListNumber"/>
    <w:rsid w:val="00255381"/>
    <w:pPr>
      <w:numPr>
        <w:numId w:val="0"/>
      </w:numPr>
    </w:pPr>
  </w:style>
  <w:style w:type="paragraph" w:styleId="TOC4">
    <w:name w:val="toc 4"/>
    <w:basedOn w:val="TOCBase"/>
    <w:next w:val="Normal"/>
    <w:semiHidden/>
    <w:rsid w:val="00255381"/>
    <w:pPr>
      <w:tabs>
        <w:tab w:val="right" w:leader="dot" w:pos="9071"/>
      </w:tabs>
      <w:ind w:left="1701"/>
    </w:pPr>
  </w:style>
  <w:style w:type="paragraph" w:customStyle="1" w:styleId="ListAlpha">
    <w:name w:val="List Alpha"/>
    <w:basedOn w:val="List"/>
    <w:rsid w:val="00255381"/>
    <w:pPr>
      <w:numPr>
        <w:numId w:val="9"/>
      </w:numPr>
    </w:pPr>
  </w:style>
  <w:style w:type="paragraph" w:customStyle="1" w:styleId="ListAlpha2">
    <w:name w:val="List Alpha 2"/>
    <w:basedOn w:val="List2"/>
    <w:rsid w:val="00255381"/>
    <w:pPr>
      <w:numPr>
        <w:numId w:val="8"/>
      </w:numPr>
    </w:pPr>
  </w:style>
  <w:style w:type="paragraph" w:styleId="List2">
    <w:name w:val="List 2"/>
    <w:basedOn w:val="BodyText"/>
    <w:rsid w:val="00255381"/>
    <w:pPr>
      <w:tabs>
        <w:tab w:val="left" w:pos="680"/>
      </w:tabs>
      <w:spacing w:before="60" w:after="60"/>
      <w:ind w:left="680" w:hanging="340"/>
    </w:pPr>
  </w:style>
  <w:style w:type="paragraph" w:styleId="List3">
    <w:name w:val="List 3"/>
    <w:basedOn w:val="BodyText"/>
    <w:rsid w:val="00255381"/>
    <w:pPr>
      <w:tabs>
        <w:tab w:val="left" w:pos="1021"/>
      </w:tabs>
      <w:spacing w:before="60" w:after="60"/>
      <w:ind w:left="1020" w:hanging="340"/>
    </w:pPr>
  </w:style>
  <w:style w:type="paragraph" w:styleId="List4">
    <w:name w:val="List 4"/>
    <w:basedOn w:val="BodyText"/>
    <w:rsid w:val="00255381"/>
    <w:pPr>
      <w:tabs>
        <w:tab w:val="left" w:pos="1361"/>
      </w:tabs>
      <w:spacing w:before="60" w:after="60"/>
      <w:ind w:left="1361" w:hanging="340"/>
    </w:pPr>
  </w:style>
  <w:style w:type="paragraph" w:styleId="List5">
    <w:name w:val="List 5"/>
    <w:basedOn w:val="BodyText"/>
    <w:rsid w:val="00255381"/>
    <w:pPr>
      <w:tabs>
        <w:tab w:val="left" w:pos="1701"/>
      </w:tabs>
      <w:spacing w:before="60" w:after="60"/>
      <w:ind w:left="1701" w:hanging="340"/>
    </w:pPr>
  </w:style>
  <w:style w:type="paragraph" w:styleId="ListBullet4">
    <w:name w:val="List Bullet 4"/>
    <w:basedOn w:val="List4"/>
    <w:rsid w:val="00255381"/>
    <w:pPr>
      <w:numPr>
        <w:numId w:val="3"/>
      </w:numPr>
    </w:pPr>
  </w:style>
  <w:style w:type="paragraph" w:styleId="ListBullet5">
    <w:name w:val="List Bullet 5"/>
    <w:basedOn w:val="List5"/>
    <w:rsid w:val="00255381"/>
    <w:pPr>
      <w:numPr>
        <w:numId w:val="4"/>
      </w:numPr>
    </w:pPr>
  </w:style>
  <w:style w:type="paragraph" w:styleId="ListContinue2">
    <w:name w:val="List Continue 2"/>
    <w:basedOn w:val="List2"/>
    <w:rsid w:val="00255381"/>
    <w:pPr>
      <w:ind w:firstLine="0"/>
    </w:pPr>
  </w:style>
  <w:style w:type="paragraph" w:styleId="ListContinue3">
    <w:name w:val="List Continue 3"/>
    <w:basedOn w:val="List3"/>
    <w:rsid w:val="00255381"/>
    <w:pPr>
      <w:ind w:left="1021" w:firstLine="0"/>
    </w:pPr>
  </w:style>
  <w:style w:type="paragraph" w:styleId="ListContinue4">
    <w:name w:val="List Continue 4"/>
    <w:basedOn w:val="List4"/>
    <w:rsid w:val="00255381"/>
    <w:pPr>
      <w:ind w:firstLine="0"/>
    </w:pPr>
  </w:style>
  <w:style w:type="paragraph" w:styleId="ListContinue5">
    <w:name w:val="List Continue 5"/>
    <w:basedOn w:val="List5"/>
    <w:rsid w:val="00255381"/>
    <w:pPr>
      <w:ind w:firstLine="0"/>
    </w:pPr>
  </w:style>
  <w:style w:type="paragraph" w:styleId="ListNumber3">
    <w:name w:val="List Number 3"/>
    <w:basedOn w:val="List3"/>
    <w:rsid w:val="00255381"/>
    <w:pPr>
      <w:numPr>
        <w:numId w:val="5"/>
      </w:numPr>
    </w:pPr>
  </w:style>
  <w:style w:type="paragraph" w:styleId="ListNumber4">
    <w:name w:val="List Number 4"/>
    <w:basedOn w:val="List4"/>
    <w:rsid w:val="00255381"/>
    <w:pPr>
      <w:numPr>
        <w:numId w:val="6"/>
      </w:numPr>
    </w:pPr>
  </w:style>
  <w:style w:type="paragraph" w:styleId="ListNumber5">
    <w:name w:val="List Number 5"/>
    <w:basedOn w:val="List5"/>
    <w:rsid w:val="00255381"/>
    <w:pPr>
      <w:numPr>
        <w:numId w:val="7"/>
      </w:numPr>
    </w:pPr>
  </w:style>
  <w:style w:type="paragraph" w:styleId="BlockText">
    <w:name w:val="Block Text"/>
    <w:basedOn w:val="Normal"/>
    <w:rsid w:val="00255381"/>
    <w:pPr>
      <w:spacing w:after="120"/>
      <w:ind w:left="1440" w:right="1440"/>
    </w:pPr>
  </w:style>
  <w:style w:type="character" w:customStyle="1" w:styleId="Subscript">
    <w:name w:val="Subscript"/>
    <w:basedOn w:val="DefaultParagraphFont"/>
    <w:rsid w:val="00255381"/>
    <w:rPr>
      <w:sz w:val="16"/>
      <w:vertAlign w:val="subscript"/>
    </w:rPr>
  </w:style>
  <w:style w:type="character" w:customStyle="1" w:styleId="Superscript">
    <w:name w:val="Superscript"/>
    <w:basedOn w:val="DefaultParagraphFont"/>
    <w:rsid w:val="00255381"/>
    <w:rPr>
      <w:sz w:val="16"/>
      <w:vertAlign w:val="superscript"/>
    </w:rPr>
  </w:style>
  <w:style w:type="character" w:customStyle="1" w:styleId="Symbols">
    <w:name w:val="Symbols"/>
    <w:basedOn w:val="DefaultParagraphFont"/>
    <w:rsid w:val="00255381"/>
    <w:rPr>
      <w:rFonts w:ascii="Symbol" w:hAnsi="Symbol"/>
    </w:rPr>
  </w:style>
  <w:style w:type="character" w:customStyle="1" w:styleId="MenuOptions">
    <w:name w:val="Menu Options"/>
    <w:basedOn w:val="DefaultParagraphFont"/>
    <w:rsid w:val="00255381"/>
    <w:rPr>
      <w:rFonts w:ascii="Arial Narrow" w:hAnsi="Arial Narrow"/>
      <w:smallCaps/>
    </w:rPr>
  </w:style>
  <w:style w:type="character" w:customStyle="1" w:styleId="Buttons">
    <w:name w:val="Buttons"/>
    <w:basedOn w:val="DefaultParagraphFont"/>
    <w:rsid w:val="00255381"/>
    <w:rPr>
      <w:b/>
    </w:rPr>
  </w:style>
  <w:style w:type="character" w:customStyle="1" w:styleId="Underlined">
    <w:name w:val="Underlined"/>
    <w:basedOn w:val="DefaultParagraphFont"/>
    <w:rsid w:val="00255381"/>
    <w:rPr>
      <w:u w:val="single"/>
    </w:rPr>
  </w:style>
  <w:style w:type="paragraph" w:customStyle="1" w:styleId="TableBodyTextRight">
    <w:name w:val="Table Body Text Right"/>
    <w:basedOn w:val="TableBodyText"/>
    <w:rsid w:val="00255381"/>
    <w:pPr>
      <w:widowControl w:val="0"/>
      <w:autoSpaceDE w:val="0"/>
      <w:autoSpaceDN w:val="0"/>
      <w:adjustRightInd w:val="0"/>
      <w:jc w:val="right"/>
    </w:pPr>
    <w:rPr>
      <w:rFonts w:cs="Arial"/>
      <w:szCs w:val="18"/>
    </w:rPr>
  </w:style>
  <w:style w:type="paragraph" w:customStyle="1" w:styleId="CopyrightText">
    <w:name w:val="Copyright Text"/>
    <w:basedOn w:val="BodyText"/>
    <w:rsid w:val="00255381"/>
    <w:rPr>
      <w:sz w:val="18"/>
    </w:rPr>
  </w:style>
  <w:style w:type="paragraph" w:customStyle="1" w:styleId="BodySmallRight">
    <w:name w:val="Body Small Right"/>
    <w:basedOn w:val="BodyTextRight"/>
    <w:rsid w:val="00255381"/>
    <w:rPr>
      <w:sz w:val="18"/>
      <w:szCs w:val="18"/>
    </w:rPr>
  </w:style>
  <w:style w:type="paragraph" w:customStyle="1" w:styleId="MarginEdition">
    <w:name w:val="Margin Edition"/>
    <w:basedOn w:val="MarginNote"/>
    <w:rsid w:val="00255381"/>
    <w:pPr>
      <w:spacing w:before="0" w:after="0"/>
    </w:pPr>
    <w:rPr>
      <w:rFonts w:ascii="Times New Roman" w:hAnsi="Times New Roman"/>
      <w:color w:val="999999"/>
    </w:rPr>
  </w:style>
  <w:style w:type="paragraph" w:customStyle="1" w:styleId="Spacer">
    <w:name w:val="Spacer"/>
    <w:basedOn w:val="Normal"/>
    <w:rsid w:val="00255381"/>
    <w:rPr>
      <w:sz w:val="2"/>
      <w:szCs w:val="2"/>
    </w:rPr>
  </w:style>
  <w:style w:type="character" w:customStyle="1" w:styleId="Small">
    <w:name w:val="Small"/>
    <w:basedOn w:val="DefaultParagraphFont"/>
    <w:rsid w:val="00255381"/>
    <w:rPr>
      <w:sz w:val="16"/>
    </w:rPr>
  </w:style>
  <w:style w:type="paragraph" w:customStyle="1" w:styleId="WideTable">
    <w:name w:val="Wide Table"/>
    <w:basedOn w:val="Normal"/>
    <w:rsid w:val="00255381"/>
    <w:pPr>
      <w:ind w:left="-1418"/>
    </w:pPr>
    <w:rPr>
      <w:sz w:val="2"/>
      <w:szCs w:val="2"/>
    </w:rPr>
  </w:style>
  <w:style w:type="character" w:styleId="PageNumber">
    <w:name w:val="page number"/>
    <w:basedOn w:val="DefaultParagraphFont"/>
    <w:rsid w:val="00255381"/>
  </w:style>
  <w:style w:type="paragraph" w:styleId="Quote">
    <w:name w:val="Quote"/>
    <w:basedOn w:val="Heading1"/>
    <w:link w:val="QuoteChar"/>
    <w:qFormat/>
    <w:rsid w:val="00255381"/>
    <w:rPr>
      <w:b w:val="0"/>
      <w:sz w:val="72"/>
      <w:szCs w:val="72"/>
      <w:lang w:val="en-NZ"/>
    </w:rPr>
  </w:style>
  <w:style w:type="character" w:customStyle="1" w:styleId="QuoteChar">
    <w:name w:val="Quote Char"/>
    <w:basedOn w:val="DefaultParagraphFont"/>
    <w:link w:val="Quote"/>
    <w:rsid w:val="00255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381"/>
    <w:pPr>
      <w:pageBreakBefore/>
    </w:pPr>
  </w:style>
  <w:style w:type="paragraph" w:customStyle="1" w:styleId="Border">
    <w:name w:val="Border"/>
    <w:basedOn w:val="Normal"/>
    <w:qFormat/>
    <w:rsid w:val="00255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381"/>
    <w:rPr>
      <w:b/>
      <w:bCs/>
      <w:i/>
      <w:iCs/>
      <w:color w:val="auto"/>
    </w:rPr>
  </w:style>
  <w:style w:type="paragraph" w:styleId="IntenseQuote">
    <w:name w:val="Intense Quote"/>
    <w:basedOn w:val="Normal"/>
    <w:next w:val="Normal"/>
    <w:link w:val="IntenseQuoteChar"/>
    <w:uiPriority w:val="30"/>
    <w:qFormat/>
    <w:rsid w:val="00255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381"/>
    <w:rPr>
      <w:smallCaps/>
      <w:color w:val="auto"/>
      <w:u w:val="single"/>
    </w:rPr>
  </w:style>
  <w:style w:type="character" w:styleId="IntenseReference">
    <w:name w:val="Intense Reference"/>
    <w:basedOn w:val="DefaultParagraphFont"/>
    <w:uiPriority w:val="32"/>
    <w:qFormat/>
    <w:rsid w:val="00255381"/>
    <w:rPr>
      <w:b/>
      <w:bCs/>
      <w:smallCaps/>
      <w:color w:val="auto"/>
      <w:spacing w:val="5"/>
      <w:u w:val="single"/>
    </w:rPr>
  </w:style>
  <w:style w:type="paragraph" w:customStyle="1" w:styleId="2ColumnHeading">
    <w:name w:val="2Column Heading"/>
    <w:basedOn w:val="BodyText"/>
    <w:qFormat/>
    <w:rsid w:val="00255381"/>
    <w:pPr>
      <w:spacing w:after="60"/>
      <w:ind w:left="-2268"/>
    </w:pPr>
    <w:rPr>
      <w:b/>
    </w:rPr>
  </w:style>
  <w:style w:type="paragraph" w:customStyle="1" w:styleId="Heading1TOC">
    <w:name w:val="Heading1 TOC"/>
    <w:basedOn w:val="Normal"/>
    <w:qFormat/>
    <w:rsid w:val="00255381"/>
    <w:pPr>
      <w:spacing w:before="240" w:after="120"/>
    </w:pPr>
    <w:rPr>
      <w:rFonts w:ascii="Times New Roman" w:hAnsi="Times New Roman"/>
      <w:b/>
      <w:sz w:val="32"/>
    </w:rPr>
  </w:style>
  <w:style w:type="paragraph" w:customStyle="1" w:styleId="Heading2TOC">
    <w:name w:val="Heading2 TOC"/>
    <w:basedOn w:val="Normal"/>
    <w:qFormat/>
    <w:rsid w:val="00255381"/>
    <w:pPr>
      <w:spacing w:before="240" w:after="60"/>
    </w:pPr>
    <w:rPr>
      <w:rFonts w:ascii="Times New Roman" w:hAnsi="Times New Roman"/>
      <w:b/>
      <w:sz w:val="28"/>
    </w:rPr>
  </w:style>
  <w:style w:type="character" w:customStyle="1" w:styleId="Underline">
    <w:name w:val="Underline"/>
    <w:basedOn w:val="DefaultParagraphFont"/>
    <w:qFormat/>
    <w:rsid w:val="00255381"/>
    <w:rPr>
      <w:u w:val="single"/>
    </w:rPr>
  </w:style>
  <w:style w:type="character" w:customStyle="1" w:styleId="BoldandItalics">
    <w:name w:val="Bold and Italics"/>
    <w:qFormat/>
    <w:rsid w:val="00255381"/>
    <w:rPr>
      <w:b/>
      <w:i/>
      <w:u w:val="none"/>
    </w:rPr>
  </w:style>
  <w:style w:type="paragraph" w:styleId="BalloonText">
    <w:name w:val="Balloon Text"/>
    <w:basedOn w:val="Normal"/>
    <w:link w:val="BalloonTextChar"/>
    <w:rsid w:val="00255381"/>
    <w:rPr>
      <w:rFonts w:ascii="Tahoma" w:hAnsi="Tahoma" w:cs="Tahoma"/>
      <w:sz w:val="16"/>
      <w:szCs w:val="16"/>
    </w:rPr>
  </w:style>
  <w:style w:type="character" w:customStyle="1" w:styleId="BalloonTextChar">
    <w:name w:val="Balloon Text Char"/>
    <w:basedOn w:val="DefaultParagraphFont"/>
    <w:link w:val="BalloonText"/>
    <w:rsid w:val="00255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3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381"/>
    <w:rPr>
      <w:b/>
      <w:color w:val="660033"/>
      <w:spacing w:val="0"/>
    </w:rPr>
  </w:style>
  <w:style w:type="paragraph" w:customStyle="1" w:styleId="Nameditemlist">
    <w:name w:val="Named item list"/>
    <w:basedOn w:val="BodyText"/>
    <w:qFormat/>
    <w:rsid w:val="002553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2271</Words>
  <Characters>14173</Characters>
  <Application>Microsoft Office Word</Application>
  <DocSecurity>0</DocSecurity>
  <Lines>598</Lines>
  <Paragraphs>233</Paragraphs>
  <ScaleCrop>false</ScaleCrop>
  <Company>Author-it Software Corporation Ltd.</Company>
  <LinksUpToDate>false</LinksUpToDate>
  <CharactersWithSpaces>16262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UETTDRTS03B Conduct evaluation of power system faults within a substation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2012-10-01T04:39:00Z</dcterms:created>
  <dcterms:modified xsi:type="dcterms:W3CDTF">2012-10-01T04:40:00Z</dcterms:modified>
</cp:coreProperties>
</file>