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41F4" w:rsidP="002B41F4">
      <w:pPr>
        <w:pStyle w:val="Title"/>
      </w:pPr>
      <w:bookmarkStart w:id="0" w:name="_GoBack"/>
      <w:bookmarkEnd w:id="0"/>
      <w:r>
        <w:fldChar w:fldCharType="begin"/>
      </w:r>
      <w:r>
        <w:instrText xml:space="preserve"> TITLE   \* MERGEFORMAT </w:instrText>
      </w:r>
      <w:r>
        <w:fldChar w:fldCharType="separate"/>
      </w:r>
      <w:r>
        <w:t>UETTDRTS02B Commission network protection and control systems (interdependent)</w:t>
      </w:r>
      <w:r>
        <w:fldChar w:fldCharType="end"/>
      </w:r>
    </w:p>
    <w:p w:rsidR="002B41F4" w:rsidP="002B41F4">
      <w:pPr>
        <w:pStyle w:val="Version"/>
        <w:sectPr w:rsidSect="007B29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99B" w:rsidP="007B299B">
      <w:pPr>
        <w:pStyle w:val="SuperHeading"/>
      </w:pPr>
      <w:r w:rsidRPr="007B299B">
        <w:t>UETTDRTS02B Commission network protection and control systems (interdependent)</w:t>
      </w:r>
    </w:p>
    <w:p w:rsidR="00000000" w:rsidRPr="007B299B" w:rsidP="007B299B">
      <w:pPr>
        <w:pStyle w:val="Heading1"/>
      </w:pPr>
      <w:bookmarkStart w:id="1" w:name="O_275572"/>
      <w:bookmarkEnd w:id="1"/>
      <w:r w:rsidRPr="007B299B">
        <w:t>Modification History</w:t>
      </w:r>
    </w:p>
    <w:p w:rsidR="00000000" w:rsidRPr="007B299B" w:rsidP="007B299B">
      <w:pPr>
        <w:pStyle w:val="BodyText"/>
      </w:pPr>
      <w:r w:rsidRPr="007B299B">
        <w:t>Not Applicable</w:t>
      </w:r>
    </w:p>
    <w:p w:rsidR="00000000" w:rsidRPr="007B299B" w:rsidP="007B299B">
      <w:pPr>
        <w:pStyle w:val="AllowPageBreak"/>
      </w:pPr>
    </w:p>
    <w:p w:rsidR="00000000" w:rsidRPr="007B299B" w:rsidP="007B299B">
      <w:pPr>
        <w:pStyle w:val="Heading1"/>
      </w:pPr>
      <w:bookmarkStart w:id="2" w:name="O_232152"/>
      <w:bookmarkEnd w:id="2"/>
      <w:r w:rsidRPr="007B299B">
        <w:t>Unit Descriptor</w:t>
      </w:r>
    </w:p>
    <w:tbl>
      <w:tblPr>
        <w:tblW w:w="0" w:type="auto"/>
        <w:tblLayout w:type="fixed"/>
        <w:tblCellMar>
          <w:left w:w="62" w:type="dxa"/>
          <w:right w:w="62" w:type="dxa"/>
        </w:tblCellMar>
        <w:tblLook w:val="0000"/>
      </w:tblPr>
      <w:tblGrid>
        <w:gridCol w:w="2758"/>
        <w:gridCol w:w="5882"/>
      </w:tblGrid>
      <w:tr w:rsidTr="002B41F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1</w:t>
            </w:r>
            <w:r w:rsidRPr="007B299B">
              <w:t xml:space="preserve">) </w:t>
            </w:r>
          </w:p>
          <w:p w:rsidR="00000000" w:rsidP="007B299B">
            <w:pPr>
              <w:pStyle w:val="BodyText"/>
              <w:rPr>
                <w:lang w:val="en-NZ"/>
              </w:rPr>
            </w:pPr>
            <w:r w:rsidRPr="007B299B">
              <w:rPr>
                <w:rStyle w:val="SpecialBold"/>
              </w:rPr>
              <w:t>1</w:t>
            </w:r>
            <w:r w:rsidRPr="007B299B">
              <w:t>.</w:t>
            </w:r>
            <w:r w:rsidRPr="007B299B">
              <w:rPr>
                <w:rStyle w:val="SpecialBold"/>
              </w:rPr>
              <w:t>1</w:t>
            </w:r>
            <w:r w:rsidRPr="007B299B">
              <w:t xml:space="preserve">) </w:t>
            </w:r>
            <w:r w:rsidRPr="007B299B">
              <w:rPr>
                <w:rStyle w:val="SpecialBold"/>
              </w:rPr>
              <w:t>Descriptor</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This Competency Standard Unit covers the commissioning of network protection and control systems in interdependent situations and includes isolation, inspection, monitoring, testing, adjustment, and repair, refurbishment and or overhaul and functional chec</w:t>
            </w:r>
            <w:r w:rsidRPr="007B299B">
              <w:t>ks. It also includes schemes such as, CB Fail, master controlled Earth Fault, impedance and differential relays intertripping, blocking, synchronising, pilot wire, phase comparison, load shedding, voltage control, parallel operation and load rejection. Thi</w:t>
            </w:r>
            <w:r w:rsidRPr="007B299B">
              <w:t>s includes commissioning of discrete and interdependent schemes.</w:t>
            </w:r>
          </w:p>
        </w:tc>
      </w:tr>
    </w:tbl>
    <w:p w:rsidR="002B41F4" w:rsidP="007B299B">
      <w:pPr>
        <w:pStyle w:val="BodyText"/>
      </w:pPr>
    </w:p>
    <w:p w:rsidR="002B41F4" w:rsidP="007B299B">
      <w:pPr>
        <w:pStyle w:val="BodyText"/>
      </w:pPr>
    </w:p>
    <w:p w:rsidR="00000000" w:rsidRPr="007B299B" w:rsidP="007B299B">
      <w:pPr>
        <w:pStyle w:val="Heading1"/>
      </w:pPr>
      <w:bookmarkStart w:id="3" w:name="O_232157"/>
      <w:bookmarkEnd w:id="3"/>
      <w:r w:rsidRPr="007B299B">
        <w:t>Application of the Unit</w:t>
      </w:r>
    </w:p>
    <w:tbl>
      <w:tblPr>
        <w:tblW w:w="0" w:type="auto"/>
        <w:tblLayout w:type="fixed"/>
        <w:tblCellMar>
          <w:left w:w="62" w:type="dxa"/>
          <w:right w:w="62" w:type="dxa"/>
        </w:tblCellMar>
        <w:tblLook w:val="0000"/>
      </w:tblPr>
      <w:tblGrid>
        <w:gridCol w:w="2758"/>
        <w:gridCol w:w="5882"/>
      </w:tblGrid>
      <w:tr w:rsidTr="002B41F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4</w:t>
            </w:r>
            <w:r w:rsidRPr="007B299B">
              <w:t>)</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This competency standards unit is intended to apply to any recognised development program that leads to the acquisitio</w:t>
            </w:r>
            <w:r w:rsidRPr="007B299B">
              <w:t>n of a formal award at AQF level 5 or higher.</w:t>
            </w:r>
          </w:p>
        </w:tc>
      </w:tr>
    </w:tbl>
    <w:p w:rsidR="002B41F4" w:rsidP="007B299B">
      <w:pPr>
        <w:pStyle w:val="BodyText"/>
      </w:pPr>
    </w:p>
    <w:p w:rsidR="002B41F4" w:rsidP="007B299B">
      <w:pPr>
        <w:pStyle w:val="BodyText"/>
      </w:pPr>
    </w:p>
    <w:p w:rsidR="00000000" w:rsidRPr="007B299B" w:rsidP="007B299B">
      <w:pPr>
        <w:pStyle w:val="Heading1"/>
      </w:pPr>
      <w:bookmarkStart w:id="4" w:name="O_232153"/>
      <w:bookmarkEnd w:id="4"/>
      <w:r w:rsidRPr="007B299B">
        <w:t>Licensing/Regulatory Information</w:t>
      </w:r>
    </w:p>
    <w:tbl>
      <w:tblPr>
        <w:tblW w:w="0" w:type="auto"/>
        <w:tblLayout w:type="fixed"/>
        <w:tblCellMar>
          <w:left w:w="62" w:type="dxa"/>
          <w:right w:w="62" w:type="dxa"/>
        </w:tblCellMar>
        <w:tblLook w:val="0000"/>
      </w:tblPr>
      <w:tblGrid>
        <w:gridCol w:w="8640"/>
      </w:tblGrid>
      <w:tr w:rsidTr="002B41F4">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1</w:t>
            </w:r>
            <w:r w:rsidRPr="007B299B">
              <w:t>.</w:t>
            </w:r>
            <w:r w:rsidRPr="007B299B">
              <w:rPr>
                <w:rStyle w:val="SpecialBold"/>
              </w:rPr>
              <w:t>2</w:t>
            </w:r>
            <w:r w:rsidRPr="007B299B">
              <w:t xml:space="preserve">) </w:t>
            </w:r>
            <w:r w:rsidRPr="007B299B">
              <w:rPr>
                <w:rStyle w:val="SpecialBold"/>
              </w:rPr>
              <w:t>License to practice</w:t>
            </w:r>
          </w:p>
        </w:tc>
      </w:tr>
      <w:tr w:rsidTr="002B41F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The skills and knowledge described in this unit may require a licence/registration to practice in the work place subject to regulations for undertaking of electrical work. Practice in workplace and during training is also subject to regulations directly re</w:t>
            </w:r>
            <w:r w:rsidRPr="007B299B">
              <w:t>lated to Occupational Health and Safety, electricity/telecommunications/gas/water industry safety and compliance, industrial relations, environmental protection, anti discrimination and training. Commonwealth, State/Territory or Local Government legislatio</w:t>
            </w:r>
            <w:r w:rsidRPr="007B299B">
              <w:t>n and regulations may exist that limits the age of operating certain equipment.</w:t>
            </w:r>
          </w:p>
        </w:tc>
      </w:tr>
    </w:tbl>
    <w:p w:rsidR="002B41F4" w:rsidP="007B299B">
      <w:pPr>
        <w:pStyle w:val="BodyText"/>
      </w:pPr>
    </w:p>
    <w:p w:rsidR="002B41F4" w:rsidP="007B299B">
      <w:pPr>
        <w:pStyle w:val="BodyText"/>
      </w:pPr>
    </w:p>
    <w:p w:rsidR="00000000" w:rsidRPr="007B299B" w:rsidP="007B299B">
      <w:pPr>
        <w:pStyle w:val="Heading1"/>
      </w:pPr>
      <w:bookmarkStart w:id="5" w:name="O_232154"/>
      <w:bookmarkEnd w:id="5"/>
      <w:r w:rsidRPr="007B299B">
        <w:t>Pre-Requisites</w:t>
      </w:r>
    </w:p>
    <w:tbl>
      <w:tblPr>
        <w:tblW w:w="0" w:type="auto"/>
        <w:tblLayout w:type="fixed"/>
        <w:tblCellMar>
          <w:left w:w="62" w:type="dxa"/>
          <w:right w:w="62" w:type="dxa"/>
        </w:tblCellMar>
        <w:tblLook w:val="0000"/>
      </w:tblPr>
      <w:tblGrid>
        <w:gridCol w:w="2758"/>
        <w:gridCol w:w="735"/>
        <w:gridCol w:w="2022"/>
        <w:gridCol w:w="3125"/>
      </w:tblGrid>
      <w:tr w:rsidTr="002B41F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Prerequisite Unit</w:t>
            </w:r>
            <w:r w:rsidRPr="007B299B">
              <w:t>(</w:t>
            </w:r>
            <w:r w:rsidRPr="007B299B">
              <w:rPr>
                <w:rStyle w:val="SpecialBold"/>
              </w:rPr>
              <w:t>s</w:t>
            </w:r>
            <w:r w:rsidRPr="007B299B">
              <w:t>)</w:t>
            </w:r>
          </w:p>
        </w:tc>
        <w:tc>
          <w:tcPr>
            <w:tcW w:w="5882" w:type="dxa"/>
            <w:gridSpan w:val="3"/>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2</w:t>
            </w:r>
            <w:r w:rsidRPr="007B299B">
              <w:t xml:space="preserve">) </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7B299B">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2</w:t>
            </w:r>
            <w:r w:rsidRPr="007B299B">
              <w:t>.</w:t>
            </w:r>
            <w:r w:rsidRPr="007B299B">
              <w:rPr>
                <w:rStyle w:val="SpecialBold"/>
              </w:rPr>
              <w:t>1</w:t>
            </w:r>
            <w:r w:rsidRPr="007B299B">
              <w:t xml:space="preserve">) </w:t>
            </w:r>
            <w:r w:rsidRPr="007B299B">
              <w:rPr>
                <w:rStyle w:val="SpecialBold"/>
              </w:rPr>
              <w:t>Competencies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Granting of competency in this unit shall be made only after</w:t>
            </w:r>
            <w:r w:rsidRPr="007B299B">
              <w:t xml:space="preserve"> competency in the following unit(s) has/have been confirmed:.</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UETTDRTS01B</w:t>
            </w:r>
          </w:p>
        </w:tc>
        <w:tc>
          <w:tcPr>
            <w:tcW w:w="3125"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Maintain network protection and control systems (interdependent)</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For the full prerequisite chain details for this unit please refer to Table 3 in Volume 1, Part 2</w:t>
            </w:r>
          </w:p>
        </w:tc>
      </w:tr>
    </w:tbl>
    <w:p w:rsidR="002B41F4" w:rsidP="007B299B">
      <w:pPr>
        <w:pStyle w:val="BodyText"/>
      </w:pPr>
    </w:p>
    <w:p w:rsidR="002B41F4" w:rsidP="007B299B">
      <w:pPr>
        <w:pStyle w:val="BodyText"/>
      </w:pPr>
    </w:p>
    <w:p w:rsidR="00000000" w:rsidRPr="007B299B" w:rsidP="007B299B">
      <w:pPr>
        <w:pStyle w:val="Heading1"/>
      </w:pPr>
      <w:bookmarkStart w:id="6" w:name="O_232156"/>
      <w:bookmarkEnd w:id="6"/>
      <w:r w:rsidRPr="007B299B">
        <w:t>Employability Skills Information</w:t>
      </w:r>
    </w:p>
    <w:tbl>
      <w:tblPr>
        <w:tblW w:w="0" w:type="auto"/>
        <w:tblLayout w:type="fixed"/>
        <w:tblCellMar>
          <w:left w:w="62" w:type="dxa"/>
          <w:right w:w="62" w:type="dxa"/>
        </w:tblCellMar>
        <w:tblLook w:val="0000"/>
      </w:tblPr>
      <w:tblGrid>
        <w:gridCol w:w="2758"/>
        <w:gridCol w:w="5882"/>
      </w:tblGrid>
      <w:tr w:rsidTr="002B41F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3</w:t>
            </w:r>
            <w:r w:rsidRPr="007B299B">
              <w:t>)</w:t>
            </w:r>
          </w:p>
          <w:p w:rsidR="00000000" w:rsidRPr="007B299B" w:rsidP="007B299B">
            <w:pPr>
              <w:pStyle w:val="BodyText"/>
            </w:pPr>
            <w:r w:rsidRPr="007B299B">
              <w:t xml:space="preserve">The required outcomes described in this unit of competency contain applicable facets of Employability Skills. The Employability Skills Summary of the qualification in which this unit </w:t>
            </w:r>
            <w:r w:rsidRPr="007B299B">
              <w:t>of competency is packaged will assist in identifying Employability Skill requirements.</w:t>
            </w:r>
          </w:p>
        </w:tc>
      </w:tr>
    </w:tbl>
    <w:p w:rsidR="002B41F4" w:rsidP="007B299B">
      <w:pPr>
        <w:pStyle w:val="BodyText"/>
      </w:pPr>
    </w:p>
    <w:p w:rsidR="002B41F4" w:rsidP="007B299B">
      <w:pPr>
        <w:pStyle w:val="BodyText"/>
      </w:pPr>
    </w:p>
    <w:p w:rsidR="00000000" w:rsidRPr="007B299B" w:rsidP="007B299B">
      <w:pPr>
        <w:pStyle w:val="Heading1"/>
      </w:pPr>
      <w:bookmarkStart w:id="7" w:name="O_293618"/>
      <w:bookmarkEnd w:id="7"/>
      <w:r w:rsidRPr="007B299B">
        <w:t>Elements and Performance Criteria Pre-Content</w:t>
      </w:r>
    </w:p>
    <w:tbl>
      <w:tblPr>
        <w:tblW w:w="0" w:type="auto"/>
        <w:tblLayout w:type="fixed"/>
        <w:tblCellMar>
          <w:left w:w="62" w:type="dxa"/>
          <w:right w:w="62" w:type="dxa"/>
        </w:tblCellMar>
        <w:tblLook w:val="0000"/>
      </w:tblPr>
      <w:tblGrid>
        <w:gridCol w:w="2758"/>
        <w:gridCol w:w="5882"/>
      </w:tblGrid>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6</w:t>
            </w:r>
            <w:r w:rsidRPr="007B299B">
              <w:t xml:space="preserve">) </w:t>
            </w:r>
            <w:r w:rsidRPr="007B299B">
              <w:rPr>
                <w:rStyle w:val="SpecialBold"/>
              </w:rPr>
              <w:t>Elements</w:t>
            </w:r>
            <w:r w:rsidRPr="007B299B">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Performance Criteria describe the required performance needed to demonstrate achievement of the element. Assessment of performance is to be consistent with the evidence guide.</w:t>
            </w:r>
          </w:p>
        </w:tc>
      </w:tr>
    </w:tbl>
    <w:p w:rsidR="00000000" w:rsidRPr="007B299B" w:rsidP="007B299B">
      <w:pPr>
        <w:pStyle w:val="BodyText"/>
      </w:pPr>
    </w:p>
    <w:p w:rsidR="00000000" w:rsidRPr="007B299B" w:rsidP="007B299B">
      <w:pPr>
        <w:pStyle w:val="AllowPageBreak"/>
      </w:pPr>
    </w:p>
    <w:p w:rsidR="00000000" w:rsidRPr="007B299B" w:rsidP="007B299B">
      <w:pPr>
        <w:pStyle w:val="Heading1"/>
      </w:pPr>
      <w:bookmarkStart w:id="8" w:name="O_240286"/>
      <w:bookmarkEnd w:id="8"/>
      <w:r w:rsidRPr="007B299B">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2B41F4">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PERFORMANCE CRITER</w:t>
            </w:r>
            <w:r w:rsidRPr="007B299B">
              <w:t>IA</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w:t>
            </w:r>
          </w:p>
        </w:tc>
        <w:tc>
          <w:tcPr>
            <w:tcW w:w="2344"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Plan for the commissioning of network protection and control systems (interdependent)</w:t>
            </w: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1.1</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 xml:space="preserve">OHS practices/procedures and environmental and sustainable energy procedures, which may influence the commissioning of, network protection </w:t>
            </w:r>
            <w:r w:rsidRPr="007B299B">
              <w:t>and control systems (interdependent) are reviewed and determined.</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1.2</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 xml:space="preserve">Purpose of the commissioning of network protection and control systems (interdependent) is established after data is analysed and expected outcomes of the work are confirmed with the </w:t>
            </w:r>
            <w:r w:rsidRPr="007B299B">
              <w:t>appropriate personnel.</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1.3</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Organisational established procedures on policies and specifications for the commissioning of network protection and control systems (interdependent) are obtained or established with the appropriate personnel.</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1.4</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 xml:space="preserve">Testing procedures are discussed with/directed to </w:t>
            </w:r>
            <w:r w:rsidRPr="007B299B">
              <w:t>the appropriate personnel in order to ascertain the project brief.</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1.5</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Testing parameters are established from organisational established procedures on policies and specifications.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1.6</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Equipment/tools</w:t>
            </w:r>
            <w:r w:rsidRPr="007B299B">
              <w:t xml:space="preserve"> and personal protective equipment is selected based on specified Performance Criteria and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1.7</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Work roles and tasks are allocated according to requirements and individuals' competencies.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1.8</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Wo</w:t>
            </w:r>
            <w:r w:rsidRPr="007B299B">
              <w:t>rk is prioritised and sequenced for the most efficient/effective outcome, completed within an acceptable timeframe to a quality standard and in accordance with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1.9</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Liaison and communication issues with other/authorised personnel,</w:t>
            </w:r>
            <w:r w:rsidRPr="007B299B">
              <w:t xml:space="preserve"> authorities, clients and land owners are resolved and activities coordinated to carry out work.</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1.10</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Risk control measures are identified, prioritised and evaluated against the work schedule.</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1.11</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 xml:space="preserve">Relevant work permits are secured to coordinate the </w:t>
            </w:r>
            <w:r w:rsidRPr="007B299B">
              <w:t>performance of work according to requirements and/or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w:t>
            </w:r>
          </w:p>
        </w:tc>
        <w:tc>
          <w:tcPr>
            <w:tcW w:w="2344" w:type="dxa"/>
            <w:vMerge w:val="restart"/>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Carry out the commissioning of network protection and control systems (interdependent)</w:t>
            </w: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2.1</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Circuit/systems modelling is used to evaluate alternative proposals as per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2.2</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OHS and sustainable energy principles, functionality and practices to reduce the incidents of accidents and minimise waste are incorporated into the p</w:t>
            </w:r>
            <w:r w:rsidRPr="007B299B">
              <w:t>roject in accordance with requirements and/or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2.3</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Commissioning of network protection and control systems (interdependent) decisions are made on the basis of safety and effective outcomes according to requirements and/or establis</w:t>
            </w:r>
            <w:r w:rsidRPr="007B299B">
              <w:t>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2.4</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Mathematical and/or engineering models of the schemes are used to analyse the effectiveness of the finished project as per requirements and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2.5</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Technical advice is given regarding potential hazards, safety risks and control measures so that monitoring and preventative action can be undertaken and/or appropriate authorities consulted, where necessary, in accordance with requirements and established</w:t>
            </w:r>
            <w:r w:rsidRPr="007B299B">
              <w:t xml:space="preserve">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2.6</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Essential knowledge and associated skills are applied to analyse specific data and compare it with compliance specifications to ensure completion of the project within an agreed timeframe according to requirements.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2.7</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Testing of net</w:t>
            </w:r>
            <w:r w:rsidRPr="007B299B">
              <w:t>work protection and control systems (interdependent) is undertaken according to requirements and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2.8</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Work teams/groups are arranged/coordinated/evaluated to ensure planned goals are met according to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2.9</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Solutions to non-routine problems are identified and actioned, using acquired essential knowledge and associated skills, according to requirements.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2.10</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Quality of work is monitored against personal performance agreement and/or established organisation</w:t>
            </w:r>
            <w:r w:rsidRPr="007B299B">
              <w:t>al and professional standards.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2.11</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Strategic plans are developed incorporating organisation initiatives as per established procedures.</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3</w:t>
            </w:r>
          </w:p>
        </w:tc>
        <w:tc>
          <w:tcPr>
            <w:tcW w:w="2344"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Complete the commissioning of network protection and control systems (interdependent)</w:t>
            </w: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3.1</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Final inspections of the</w:t>
            </w:r>
            <w:r w:rsidRPr="007B299B">
              <w:t xml:space="preserve"> network protection and control systems (interdependent) are undertaken to ensure they comply with all requirements and include all specifications and documentations needed to complete the project.</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3.2</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Appropriate personnel are notified of completion and reports and/or completion documents are finalised/commissioned.</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3.3</w:t>
            </w:r>
          </w:p>
        </w:tc>
        <w:tc>
          <w:tcPr>
            <w:tcW w:w="496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 xml:space="preserve">Reports and/or completion documents are submitted to relevant personnel/organisations for approval and, where applicable, statutory </w:t>
            </w:r>
            <w:r w:rsidRPr="007B299B">
              <w:t>or regulatory approval.</w:t>
            </w:r>
          </w:p>
        </w:tc>
      </w:tr>
      <w:tr w:rsidTr="002B41F4">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3.4</w:t>
            </w:r>
          </w:p>
        </w:tc>
        <w:tc>
          <w:tcPr>
            <w:tcW w:w="4963"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Approved copies of the commissioning of network protection and control systems (interdependent) documents are issues and records are updated in accordance with established procedures.</w:t>
            </w:r>
          </w:p>
        </w:tc>
      </w:tr>
    </w:tbl>
    <w:p w:rsidR="002B41F4" w:rsidP="007B299B">
      <w:pPr>
        <w:pStyle w:val="BodyText"/>
      </w:pPr>
    </w:p>
    <w:p w:rsidR="002B41F4" w:rsidP="007B299B">
      <w:pPr>
        <w:pStyle w:val="BodyText"/>
      </w:pPr>
    </w:p>
    <w:p w:rsidR="00000000" w:rsidRPr="007B299B" w:rsidP="007B299B">
      <w:pPr>
        <w:pStyle w:val="Heading1"/>
      </w:pPr>
      <w:bookmarkStart w:id="9" w:name="O_264077"/>
      <w:bookmarkEnd w:id="9"/>
      <w:r w:rsidRPr="007B299B">
        <w:t>Required Skills and K</w:t>
      </w:r>
      <w:r w:rsidRPr="007B299B">
        <w:t>nowledge</w:t>
      </w:r>
    </w:p>
    <w:tbl>
      <w:tblPr>
        <w:tblW w:w="0" w:type="auto"/>
        <w:tblLayout w:type="fixed"/>
        <w:tblCellMar>
          <w:left w:w="62" w:type="dxa"/>
          <w:right w:w="62" w:type="dxa"/>
        </w:tblCellMar>
        <w:tblLook w:val="0000"/>
      </w:tblPr>
      <w:tblGrid>
        <w:gridCol w:w="2758"/>
        <w:gridCol w:w="1103"/>
        <w:gridCol w:w="4779"/>
      </w:tblGrid>
      <w:tr w:rsidTr="002B41F4">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REQUIRED SKILLS AND KNOWLEDGE</w:t>
            </w:r>
          </w:p>
        </w:tc>
      </w:tr>
      <w:tr w:rsidTr="002B41F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7</w:t>
            </w:r>
            <w:r w:rsidRPr="007B299B">
              <w:t xml:space="preserve">) </w:t>
            </w:r>
            <w:r w:rsidRPr="007B299B">
              <w:rPr>
                <w:rStyle w:val="SpecialBold"/>
              </w:rPr>
              <w:t>Essential Knowledge and Associated Skills</w:t>
            </w:r>
            <w:r w:rsidRPr="007B299B">
              <w:t xml:space="preserve"> (</w:t>
            </w:r>
            <w:r w:rsidRPr="007B299B">
              <w:rPr>
                <w:rStyle w:val="SpecialBold"/>
              </w:rPr>
              <w:t>EKAS</w:t>
            </w:r>
            <w:r w:rsidRPr="007B299B">
              <w:t>): This describes the essential skills and knowledge and their level, required for this unit.</w:t>
            </w:r>
          </w:p>
        </w:tc>
      </w:tr>
      <w:tr w:rsidTr="002B41F4">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 xml:space="preserve">Evidence shall show that knowledge has been acquired of commissioning network protection and control systems (interdependent). </w:t>
            </w:r>
          </w:p>
          <w:p w:rsidR="00000000" w:rsidRPr="007B299B" w:rsidP="007B299B">
            <w:pPr>
              <w:pStyle w:val="BodyText"/>
            </w:pPr>
            <w:r w:rsidRPr="007B299B">
              <w:t>All knowledge and skills detailed in this unit should be contextualised to current industry practices and technologies.</w:t>
            </w:r>
          </w:p>
          <w:p w:rsidR="00000000" w:rsidP="007B299B">
            <w:pPr>
              <w:pStyle w:val="BodyText"/>
              <w:rPr>
                <w:lang w:val="en-NZ"/>
              </w:rPr>
            </w:pPr>
            <w:r w:rsidRPr="007B299B">
              <w:t>The exte</w:t>
            </w:r>
            <w:r w:rsidRPr="007B299B">
              <w:t>nt of the essential knowledge and associated skills (EKAS) required is given in Volume 2 - Part 2.2 EKAS. It forms an integral part of this unit.</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 xml:space="preserve">E2.18.1 </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Occupational Health and Safety principles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E2.18.2</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Electrical safe working practices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E2.18.8.2</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Occupational Health and Safety , - enterprise responsibilities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T2.3.3</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 xml:space="preserve">Statutory and safety considerations </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T2.3.4</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Electrical equipment - protection and control schemes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T2.3.5</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Discrete protection schemes - isolation and tagging procedures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T2.3.6</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 xml:space="preserve">Protection devices - maintenance and commissioning principles </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T2.3.7</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Protection devices - manufacturers requirements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T2.7.6</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Disposal procedures for insulating materials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T2.10.1</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Visual inspection procedures - substations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T2.10.2</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Surge relay operati</w:t>
            </w:r>
            <w:r w:rsidRPr="007B299B">
              <w:t>on and maintenance - substations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T2.10.3</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Commissioning of discrete protection devices - substations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T2.10.9</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Analyse and interpret results and measurements - substations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T2.10.17</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Static reactive plant principles - substations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T2.10.27</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Use of test equipment on discrete protection scheme - substation</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T2.11.18</w:t>
            </w:r>
          </w:p>
        </w:tc>
        <w:tc>
          <w:tcPr>
            <w:tcW w:w="4779"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Discrete protection systems</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T2.11.19</w:t>
            </w:r>
          </w:p>
        </w:tc>
        <w:tc>
          <w:tcPr>
            <w:tcW w:w="4779"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Interdependent protection systems</w:t>
            </w:r>
          </w:p>
        </w:tc>
      </w:tr>
    </w:tbl>
    <w:p w:rsidR="002B41F4" w:rsidP="007B299B">
      <w:pPr>
        <w:pStyle w:val="BodyText"/>
      </w:pPr>
    </w:p>
    <w:p w:rsidR="002B41F4" w:rsidP="007B299B">
      <w:pPr>
        <w:pStyle w:val="BodyText"/>
      </w:pPr>
    </w:p>
    <w:p w:rsidR="00000000" w:rsidRPr="007B299B" w:rsidP="007B299B">
      <w:pPr>
        <w:pStyle w:val="Heading1"/>
      </w:pPr>
      <w:bookmarkStart w:id="10" w:name="O_248269"/>
      <w:bookmarkEnd w:id="10"/>
      <w:r w:rsidRPr="007B299B">
        <w:t>Evidence Guide</w:t>
      </w:r>
    </w:p>
    <w:tbl>
      <w:tblPr>
        <w:tblW w:w="0" w:type="auto"/>
        <w:tblLayout w:type="fixed"/>
        <w:tblCellMar>
          <w:left w:w="62" w:type="dxa"/>
          <w:right w:w="62" w:type="dxa"/>
        </w:tblCellMar>
        <w:tblLook w:val="0000"/>
      </w:tblPr>
      <w:tblGrid>
        <w:gridCol w:w="2207"/>
        <w:gridCol w:w="735"/>
        <w:gridCol w:w="919"/>
        <w:gridCol w:w="1838"/>
        <w:gridCol w:w="2941"/>
      </w:tblGrid>
      <w:tr w:rsidTr="002B41F4">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EVIDENCE GUIDE</w:t>
            </w:r>
          </w:p>
        </w:tc>
      </w:tr>
      <w:tr w:rsidTr="002B41F4">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9</w:t>
            </w:r>
            <w:r w:rsidRPr="007B299B">
              <w:t>) This provides essential advice for assessment of the unit of competency and must be read in conjunction with the Performance Criteria and the Range Statement of the unit of competency and the Training Package Assessment Guidelines.</w:t>
            </w:r>
          </w:p>
        </w:tc>
      </w:tr>
      <w:tr w:rsidTr="002B41F4">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The Evidence Guide forms an integral part of this Competency Standard Unit and shall be used in conjunction with all component parts of this unit and, performed in accordance with the Assessment Guidelines of this Training Package.</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Overview of Assessm</w:t>
            </w:r>
            <w:r w:rsidRPr="007B299B">
              <w:rPr>
                <w:rStyle w:val="SpecialBold"/>
              </w:rPr>
              <w:t>ent</w:t>
            </w:r>
          </w:p>
        </w:tc>
        <w:tc>
          <w:tcPr>
            <w:tcW w:w="6433" w:type="dxa"/>
            <w:gridSpan w:val="4"/>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9</w:t>
            </w:r>
            <w:r w:rsidRPr="007B299B">
              <w:t>.</w:t>
            </w:r>
            <w:r w:rsidRPr="007B299B">
              <w:rPr>
                <w:rStyle w:val="SpecialBold"/>
              </w:rPr>
              <w:t>1</w:t>
            </w:r>
            <w:r w:rsidRPr="007B299B">
              <w:t xml:space="preserve">) </w:t>
            </w:r>
          </w:p>
          <w:p w:rsidR="00000000" w:rsidRPr="007B299B" w:rsidP="007B299B">
            <w:pPr>
              <w:pStyle w:val="BodyText"/>
            </w:pPr>
            <w:r w:rsidRPr="007B299B">
              <w:t xml:space="preserve">Longitudinal competency development approaches to assessment, such as Profiling, require data to be reliably gathered in a form that can be consistently interpreted over time. This approach is best utilised in Apprenticeship programs and reduces </w:t>
            </w:r>
            <w:r w:rsidRPr="007B299B">
              <w:t>assessment intervention. It is the Industry's preferred model for apprenticeships. However, where summative (or final) assessment is used it is to include the application of the competency in the normal work environment or, at a minimum, the application of</w:t>
            </w:r>
            <w:r w:rsidRPr="007B299B">
              <w:t xml:space="preserve">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7B299B" w:rsidP="007B299B">
            <w:pPr>
              <w:pStyle w:val="BodyText"/>
            </w:pPr>
            <w:r w:rsidRPr="007B299B">
              <w:t>Meth</w:t>
            </w:r>
            <w:r w:rsidRPr="007B299B">
              <w:t>ods chosen for a particular assessment will be influenced by various factors. These include the extent of the assessment, the most effective locations for the assessment activities to take place, access to physical resources, additional safety measures tha</w:t>
            </w:r>
            <w:r w:rsidRPr="007B299B">
              <w:t>t may be required and the critical nature of the competencies being assessed.</w:t>
            </w:r>
          </w:p>
          <w:p w:rsidR="00000000" w:rsidRPr="007B299B" w:rsidP="007B299B">
            <w:pPr>
              <w:pStyle w:val="BodyText"/>
            </w:pPr>
            <w:r w:rsidRPr="007B299B">
              <w:t>The critical safety nature of working with electricity, electrical equipment, gas or any other hazardous substance/material carries risk in deeming a person competent. Hence, sou</w:t>
            </w:r>
            <w:r w:rsidRPr="007B299B">
              <w:t>rces of evidence need to be 'rich' in nature so as to minimise error in judgment.</w:t>
            </w:r>
          </w:p>
          <w:p w:rsidR="00000000" w:rsidP="007B299B">
            <w:pPr>
              <w:pStyle w:val="BodyText"/>
              <w:rPr>
                <w:lang w:val="en-NZ"/>
              </w:rPr>
            </w:pPr>
            <w:r w:rsidRPr="007B299B">
              <w:t>Activities associated with normal every day work have a bearing on the decision as to how much and how detailed the data gathered will contribute to its 'richness'. Some skil</w:t>
            </w:r>
            <w:r w:rsidRPr="007B299B">
              <w:t>ls are more critical to safety and operational requirements while the same skills may be more or less frequently practiced. These points are raised for the assessors to consider when choosing an assessment method and developing assessment instruments. Samp</w:t>
            </w:r>
            <w:r w:rsidRPr="007B299B">
              <w:t>le assessment instruments are included for Assessors in the Assessment Guidelines of this Training Package.</w:t>
            </w:r>
          </w:p>
        </w:tc>
      </w:tr>
      <w:tr w:rsidTr="002B41F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 xml:space="preserve">Critical aspects of evidence required to demonstrate competency </w:t>
            </w:r>
            <w:r w:rsidRPr="007B299B">
              <w:rPr>
                <w:rStyle w:val="SpecialBold"/>
              </w:rPr>
              <w:t>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9</w:t>
            </w:r>
            <w:r w:rsidRPr="007B299B">
              <w:t>.</w:t>
            </w:r>
            <w:r w:rsidRPr="007B299B">
              <w:rPr>
                <w:rStyle w:val="SpecialBold"/>
              </w:rPr>
              <w:t>2</w:t>
            </w:r>
            <w:r w:rsidRPr="007B299B">
              <w:t xml:space="preserve">) </w:t>
            </w:r>
          </w:p>
          <w:p w:rsidR="00000000" w:rsidP="007B299B">
            <w:pPr>
              <w:pStyle w:val="BodyText"/>
              <w:rPr>
                <w:lang w:val="en-NZ"/>
              </w:rPr>
            </w:pPr>
            <w:r w:rsidRPr="007B299B">
              <w:t>Before the critical aspects of evidence are considered all prerequisites shall be met.</w:t>
            </w:r>
          </w:p>
        </w:tc>
      </w:tr>
      <w:tr w:rsidTr="002B41F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Evidence for competence in this unit shall be considered holistically. Each element and associated Performance Criteria shall be demonstrated on at least two occasi</w:t>
            </w:r>
            <w:r w:rsidRPr="007B299B">
              <w:t>ons in accordance with the "Assessment Guidelines - UET09". Evidence shall also comprise:</w:t>
            </w:r>
          </w:p>
          <w:p w:rsidR="00000000" w:rsidP="007B299B">
            <w:pPr>
              <w:pStyle w:val="ListBullet"/>
              <w:rPr>
                <w:lang w:val="en-NZ"/>
              </w:rPr>
            </w:pPr>
            <w:r w:rsidRPr="007B299B">
              <w:t>A representative body of Performance Criteria demonstrated within the timeframes typically expected of the discipline, work function and industrial environment. In pa</w:t>
            </w:r>
            <w:r w:rsidRPr="007B299B">
              <w:t>rticular this shall incorporate evidence that shows a candidate is able to:</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B299B" w:rsidP="007B299B">
            <w:pPr>
              <w:pStyle w:val="ListBullet2"/>
            </w:pPr>
            <w:r w:rsidRPr="007B299B">
              <w:t>Implement Occupational Health and Safety workplace procedures and practices including the use of risk control measures as specified in the Performance Criteria and range; and</w:t>
            </w:r>
          </w:p>
          <w:p w:rsidR="00000000" w:rsidRPr="007B299B" w:rsidP="007B299B">
            <w:pPr>
              <w:pStyle w:val="ListBullet2"/>
            </w:pPr>
            <w:r w:rsidRPr="007B299B">
              <w:t>Apply sustainable energy principles and practices as specified in the Performance Criteria and range; and</w:t>
            </w:r>
          </w:p>
          <w:p w:rsidR="00000000" w:rsidRPr="007B299B" w:rsidP="007B299B">
            <w:pPr>
              <w:pStyle w:val="ListBullet2"/>
            </w:pPr>
            <w:r w:rsidRPr="007B299B">
              <w:t>Demonstrate an understanding of the essential knowledge and associated skills as described in this unit to such an extent that the learner's performa</w:t>
            </w:r>
            <w:r w:rsidRPr="007B299B">
              <w:t>nce outcome is reported in accordance with the preferred approach; namely a percentile graded result, where required by the regulated environment; and</w:t>
            </w:r>
          </w:p>
          <w:p w:rsidR="00000000" w:rsidRPr="007B299B" w:rsidP="007B299B">
            <w:pPr>
              <w:pStyle w:val="ListBullet2"/>
            </w:pPr>
            <w:r w:rsidRPr="007B299B">
              <w:t>Demonstrate an appropriate level of employability skills; and</w:t>
            </w:r>
          </w:p>
          <w:p w:rsidR="00000000" w:rsidP="007B299B">
            <w:pPr>
              <w:pStyle w:val="ListBullet2"/>
              <w:rPr>
                <w:lang w:val="en-NZ"/>
              </w:rPr>
            </w:pPr>
            <w:r w:rsidRPr="007B299B">
              <w:t>Conduct work observing the relevant Anti di</w:t>
            </w:r>
            <w:r w:rsidRPr="007B299B">
              <w:t>scrimination legislation, regulations, policies and workplace procedures; and</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B299B">
            <w:pPr>
              <w:pStyle w:val="ListBullet"/>
              <w:rPr>
                <w:lang w:val="en-NZ"/>
              </w:rPr>
            </w:pPr>
            <w:r w:rsidRPr="007B299B">
              <w:t>Demonstrated performance across a representative range of contexts from the prescribed items below:</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B299B">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99B">
            <w:pPr>
              <w:pStyle w:val="BodyText"/>
              <w:rPr>
                <w:lang w:val="en-NZ"/>
              </w:rPr>
            </w:pPr>
            <w:r w:rsidRPr="007B299B">
              <w:rPr>
                <w:rStyle w:val="SpecialBold"/>
              </w:rPr>
              <w:t>Range of tools</w:t>
            </w:r>
            <w:r w:rsidRPr="007B299B">
              <w:t>/</w:t>
            </w:r>
            <w:r w:rsidRPr="007B299B">
              <w:rPr>
                <w:rStyle w:val="SpecialBold"/>
              </w:rPr>
              <w:t>equipment</w:t>
            </w:r>
            <w:r w:rsidRPr="007B299B">
              <w:t>/</w:t>
            </w:r>
            <w:r w:rsidRPr="007B299B">
              <w:rPr>
                <w:rStyle w:val="SpecialBold"/>
              </w:rPr>
              <w:t>materials</w:t>
            </w:r>
            <w:r w:rsidRPr="007B299B">
              <w:t>/</w:t>
            </w:r>
            <w:r w:rsidRPr="007B299B">
              <w:rPr>
                <w:rStyle w:val="SpecialBold"/>
              </w:rPr>
              <w:t>procedures</w:t>
            </w:r>
            <w:r w:rsidRPr="007B299B">
              <w:t>/</w:t>
            </w:r>
            <w:r w:rsidRPr="007B299B">
              <w:rPr>
                <w:rStyle w:val="SpecialBold"/>
              </w:rPr>
              <w:t>workplaces</w:t>
            </w:r>
            <w:r w:rsidRPr="007B299B">
              <w:t>/</w:t>
            </w:r>
            <w:r w:rsidRPr="007B299B">
              <w:rPr>
                <w:rStyle w:val="SpecialBold"/>
              </w:rPr>
              <w:t>other variables</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B299B">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99B" w:rsidP="007B299B">
            <w:pPr>
              <w:pStyle w:val="BodyText"/>
            </w:pPr>
            <w:r w:rsidRPr="007B299B">
              <w:rPr>
                <w:rStyle w:val="SpecialBold"/>
              </w:rPr>
              <w:t>Group No</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99B" w:rsidP="007B299B">
            <w:pPr>
              <w:pStyle w:val="BodyText"/>
            </w:pPr>
            <w:r w:rsidRPr="007B299B">
              <w:rPr>
                <w:rStyle w:val="SpecialBold"/>
              </w:rPr>
              <w:t>The minimum number of items on which skill is to be demonstrated</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99B">
            <w:pPr>
              <w:pStyle w:val="BodyText"/>
              <w:rPr>
                <w:lang w:val="en-NZ"/>
              </w:rPr>
            </w:pPr>
            <w:r w:rsidRPr="007B299B">
              <w:rPr>
                <w:rStyle w:val="SpecialBold"/>
              </w:rPr>
              <w:t>Item List</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99B">
            <w:pPr>
              <w:pStyle w:val="BodyText"/>
              <w:rPr>
                <w:lang w:val="en-NZ"/>
              </w:rPr>
            </w:pPr>
            <w:r w:rsidRPr="007B299B">
              <w:t>A</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99B">
            <w:pPr>
              <w:pStyle w:val="BodyText"/>
              <w:rPr>
                <w:lang w:val="en-NZ"/>
              </w:rPr>
            </w:pPr>
            <w:r w:rsidRPr="007B299B">
              <w:t>Demonstrate commissioning a protection and control system involving at least five (5) of the following:</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99B" w:rsidP="007B299B">
            <w:pPr>
              <w:pStyle w:val="BodyText"/>
            </w:pPr>
            <w:r w:rsidRPr="007B299B">
              <w:t>CB fail protection</w:t>
            </w:r>
          </w:p>
          <w:p w:rsidR="00000000" w:rsidRPr="007B299B" w:rsidP="007B299B">
            <w:pPr>
              <w:pStyle w:val="BodyText"/>
            </w:pPr>
            <w:r w:rsidRPr="007B299B">
              <w:t>Master controlled earth fault</w:t>
            </w:r>
          </w:p>
          <w:p w:rsidR="00000000" w:rsidRPr="007B299B" w:rsidP="007B299B">
            <w:pPr>
              <w:pStyle w:val="BodyText"/>
            </w:pPr>
            <w:r w:rsidRPr="007B299B">
              <w:t>Intertripping</w:t>
            </w:r>
          </w:p>
          <w:p w:rsidR="00000000" w:rsidRPr="007B299B" w:rsidP="007B299B">
            <w:pPr>
              <w:pStyle w:val="BodyText"/>
            </w:pPr>
            <w:r w:rsidRPr="007B299B">
              <w:t>Blocking</w:t>
            </w:r>
          </w:p>
          <w:p w:rsidR="00000000" w:rsidRPr="007B299B" w:rsidP="007B299B">
            <w:pPr>
              <w:pStyle w:val="BodyText"/>
            </w:pPr>
            <w:r w:rsidRPr="007B299B">
              <w:t>Synchronising</w:t>
            </w:r>
          </w:p>
          <w:p w:rsidR="00000000" w:rsidRPr="007B299B" w:rsidP="007B299B">
            <w:pPr>
              <w:pStyle w:val="BodyText"/>
            </w:pPr>
            <w:r w:rsidRPr="007B299B">
              <w:t>Pilot wire</w:t>
            </w:r>
          </w:p>
          <w:p w:rsidR="00000000" w:rsidRPr="007B299B" w:rsidP="007B299B">
            <w:pPr>
              <w:pStyle w:val="BodyText"/>
            </w:pPr>
            <w:r w:rsidRPr="007B299B">
              <w:t>Phase comparison</w:t>
            </w:r>
          </w:p>
          <w:p w:rsidR="00000000" w:rsidRPr="007B299B" w:rsidP="007B299B">
            <w:pPr>
              <w:pStyle w:val="BodyText"/>
            </w:pPr>
            <w:r w:rsidRPr="007B299B">
              <w:t>Load shedding</w:t>
            </w:r>
          </w:p>
          <w:p w:rsidR="00000000" w:rsidRPr="007B299B" w:rsidP="007B299B">
            <w:pPr>
              <w:pStyle w:val="BodyText"/>
            </w:pPr>
            <w:r w:rsidRPr="007B299B">
              <w:t>Voltage control protection</w:t>
            </w:r>
          </w:p>
          <w:p w:rsidR="00000000" w:rsidRPr="007B299B" w:rsidP="007B299B">
            <w:pPr>
              <w:pStyle w:val="BodyText"/>
            </w:pPr>
            <w:r w:rsidRPr="007B299B">
              <w:t>Frame leakage</w:t>
            </w:r>
          </w:p>
          <w:p w:rsidR="00000000" w:rsidRPr="007B299B" w:rsidP="007B299B">
            <w:pPr>
              <w:pStyle w:val="BodyText"/>
            </w:pPr>
            <w:r w:rsidRPr="007B299B">
              <w:t>Delta current</w:t>
            </w:r>
          </w:p>
          <w:p w:rsidR="00000000" w:rsidP="007B299B">
            <w:pPr>
              <w:pStyle w:val="BodyText"/>
              <w:rPr>
                <w:lang w:val="en-NZ"/>
              </w:rPr>
            </w:pPr>
            <w:r w:rsidRPr="007B299B">
              <w:t>Reverse power.</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99B">
            <w:pPr>
              <w:pStyle w:val="BodyText"/>
              <w:rPr>
                <w:lang w:val="en-NZ"/>
              </w:rPr>
            </w:pPr>
            <w:r w:rsidRPr="007B299B">
              <w:t>B</w:t>
            </w:r>
          </w:p>
        </w:tc>
        <w:tc>
          <w:tcPr>
            <w:tcW w:w="18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99B">
            <w:pPr>
              <w:pStyle w:val="BodyText"/>
              <w:rPr>
                <w:lang w:val="en-NZ"/>
              </w:rPr>
            </w:pPr>
            <w:r w:rsidRPr="007B299B">
              <w:t>At least one occasion</w:t>
            </w:r>
          </w:p>
        </w:tc>
        <w:tc>
          <w:tcPr>
            <w:tcW w:w="2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99B">
            <w:pPr>
              <w:pStyle w:val="BodyText"/>
              <w:rPr>
                <w:lang w:val="en-NZ"/>
              </w:rPr>
            </w:pPr>
            <w:r w:rsidRPr="007B299B">
              <w:t>Dealing with an unplanned event by drawing on essential knowledge and associated skills to provide appropriate solutions incorporated in the holistic assessment with the above listed items.</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9</w:t>
            </w:r>
            <w:r w:rsidRPr="007B299B">
              <w:t>.</w:t>
            </w:r>
            <w:r w:rsidRPr="007B299B">
              <w:rPr>
                <w:rStyle w:val="SpecialBold"/>
              </w:rPr>
              <w:t>3</w:t>
            </w:r>
            <w:r w:rsidRPr="007B299B">
              <w:t xml:space="preserve">) </w:t>
            </w:r>
          </w:p>
          <w:p w:rsidR="00000000" w:rsidRPr="007B299B" w:rsidP="007B299B">
            <w:pPr>
              <w:pStyle w:val="BodyText"/>
            </w:pPr>
            <w:r w:rsidRPr="007B299B">
              <w:t xml:space="preserve">This unit </w:t>
            </w:r>
            <w:r w:rsidRPr="007B299B">
              <w:t>should be assessed as it relates to normal work practice using procedures, information and resources typical of a workplace. This should include:</w:t>
            </w:r>
          </w:p>
          <w:p w:rsidR="00000000" w:rsidRPr="007B299B" w:rsidP="007B299B">
            <w:pPr>
              <w:pStyle w:val="ListBullet"/>
            </w:pPr>
            <w:r w:rsidRPr="007B299B">
              <w:t>OHS policy and work procedures and instructions.</w:t>
            </w:r>
          </w:p>
          <w:p w:rsidR="00000000" w:rsidRPr="007B299B" w:rsidP="007B299B">
            <w:pPr>
              <w:pStyle w:val="ListBullet"/>
            </w:pPr>
            <w:r w:rsidRPr="007B299B">
              <w:t>Suitable work environment, facilities, equipment and material</w:t>
            </w:r>
            <w:r w:rsidRPr="007B299B">
              <w:t>s to undertake actual commissioning of network protection and control systems (interdependent).</w:t>
            </w:r>
          </w:p>
          <w:p w:rsidR="00000000" w:rsidP="007B299B">
            <w:pPr>
              <w:pStyle w:val="ListBullet"/>
              <w:rPr>
                <w:lang w:val="en-NZ"/>
              </w:rPr>
            </w:pPr>
            <w:r w:rsidRPr="007B299B">
              <w:t>Operational access to relevant plant, protection equipment, scheme drawings and specialised testing equipment</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In addition to the resources listed above, in Context of and specific resources for assessment, evidence should show demonstrated competency working at realistic heights above ground i.e. above 3 metres, in limited spaces, with different structural/constru</w:t>
            </w:r>
            <w:r w:rsidRPr="007B299B">
              <w:t>ction types and method and in a variety of environments.</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9</w:t>
            </w:r>
            <w:r w:rsidRPr="007B299B">
              <w:t>.</w:t>
            </w:r>
            <w:r w:rsidRPr="007B299B">
              <w:rPr>
                <w:rStyle w:val="SpecialBold"/>
              </w:rPr>
              <w:t>4</w:t>
            </w:r>
            <w:r w:rsidRPr="007B299B">
              <w:t xml:space="preserve">) </w:t>
            </w:r>
          </w:p>
          <w:p w:rsidR="00000000" w:rsidRPr="007B299B" w:rsidP="007B299B">
            <w:pPr>
              <w:pStyle w:val="BodyText"/>
            </w:pPr>
            <w:r w:rsidRPr="007B299B">
              <w:t>This Competency Standard Unit shall be assessed by methods given in Volume 1, Part 3 "Assessment Guidelines".</w:t>
            </w:r>
          </w:p>
          <w:p w:rsidR="00000000" w:rsidP="007B299B">
            <w:pPr>
              <w:pStyle w:val="BodyText"/>
              <w:rPr>
                <w:lang w:val="en-NZ"/>
              </w:rPr>
            </w:pPr>
            <w:r w:rsidRPr="007B299B">
              <w:t>Note:</w:t>
            </w:r>
            <w:r w:rsidRPr="007B299B">
              <w:br/>
              <w:t>Competent performance with inherent safe working pra</w:t>
            </w:r>
            <w:r w:rsidRPr="007B299B">
              <w:t>ctices is expected in the Transmission, Distribution and Rail Traction Industry. This requires that the specified essential knowledge and associated skills are assessed in a structured environment which is primarily intended for learning/assessment and inc</w:t>
            </w:r>
            <w:r w:rsidRPr="007B299B">
              <w:t>orporates all necessary equipment and facilities for learners to develop and demonstrate the essential knowledge and associated skills described in this unit.</w:t>
            </w:r>
          </w:p>
        </w:tc>
      </w:tr>
      <w:tr w:rsidTr="002B41F4">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9</w:t>
            </w:r>
            <w:r w:rsidRPr="007B299B">
              <w:t>.</w:t>
            </w:r>
            <w:r w:rsidRPr="007B299B">
              <w:rPr>
                <w:rStyle w:val="SpecialBold"/>
              </w:rPr>
              <w:t>5</w:t>
            </w:r>
            <w:r w:rsidRPr="007B299B">
              <w:t>)</w:t>
            </w:r>
          </w:p>
        </w:tc>
      </w:tr>
      <w:tr w:rsidTr="002B41F4">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There are no concurrent assessment recommendations for this unit.</w:t>
            </w:r>
          </w:p>
        </w:tc>
      </w:tr>
    </w:tbl>
    <w:p w:rsidR="002B41F4" w:rsidP="007B299B">
      <w:pPr>
        <w:pStyle w:val="BodyText"/>
      </w:pPr>
    </w:p>
    <w:p w:rsidR="002B41F4" w:rsidP="007B299B">
      <w:pPr>
        <w:pStyle w:val="BodyText"/>
      </w:pPr>
    </w:p>
    <w:p w:rsidR="00000000" w:rsidRPr="007B299B" w:rsidP="007B299B">
      <w:pPr>
        <w:pStyle w:val="Heading1"/>
      </w:pPr>
      <w:bookmarkStart w:id="11" w:name="O_256253"/>
      <w:bookmarkEnd w:id="11"/>
      <w:r w:rsidRPr="007B299B">
        <w:t>Range Statement</w:t>
      </w:r>
    </w:p>
    <w:tbl>
      <w:tblPr>
        <w:tblW w:w="0" w:type="auto"/>
        <w:tblLayout w:type="fixed"/>
        <w:tblCellMar>
          <w:left w:w="62" w:type="dxa"/>
          <w:right w:w="62" w:type="dxa"/>
        </w:tblCellMar>
        <w:tblLook w:val="0000"/>
      </w:tblPr>
      <w:tblGrid>
        <w:gridCol w:w="2207"/>
        <w:gridCol w:w="6433"/>
      </w:tblGrid>
      <w:tr w:rsidTr="002B41F4">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RANGE STATEMENT</w:t>
            </w:r>
          </w:p>
        </w:tc>
      </w:tr>
      <w:tr w:rsidTr="002B41F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8</w:t>
            </w:r>
            <w:r w:rsidRPr="007B299B">
              <w:t xml:space="preserve">) This relates to the unit of competency as a whole providing the range of contexts and conditions </w:t>
            </w:r>
            <w:r w:rsidRPr="007B299B">
              <w:t>to which the Performance Criteria apply. It allows for different work environments and situations that will affect performance.</w:t>
            </w:r>
          </w:p>
        </w:tc>
      </w:tr>
      <w:tr w:rsidTr="002B41F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This Competency Standard Unit shall/may be demonstrated in relation to the commissioning of network protection and control sys</w:t>
            </w:r>
            <w:r w:rsidRPr="007B299B">
              <w:t>tems (interdependent) and may include the following:</w:t>
            </w:r>
          </w:p>
          <w:p w:rsidR="00000000" w:rsidRPr="007B299B" w:rsidP="007B299B">
            <w:pPr>
              <w:pStyle w:val="BodyText"/>
            </w:pPr>
            <w:r w:rsidRPr="007B299B">
              <w:t>Overcurrent, Frame leakage, Cooling, Bucholz, DC Supplies, Restricted Earth, Sensitive Earth Fault, CB Fail, Reclose, DC Frame leakage, CEL Fail, Under Frequency load shed</w:t>
            </w:r>
          </w:p>
          <w:p w:rsidR="00000000" w:rsidRPr="007B299B" w:rsidP="007B299B">
            <w:pPr>
              <w:pStyle w:val="BodyText"/>
            </w:pPr>
            <w:r w:rsidRPr="007B299B">
              <w:t>Instrument Transformers, Trip/C</w:t>
            </w:r>
            <w:r w:rsidRPr="007B299B">
              <w:t>ontrol circuits, Alarms, DC Supplies, CB Fail protection, Master controlled Earth Fault, Intertripping, Blocking, Synchronising, Pilot Wire, Phase Comparison, Load Shedding, Voltage control, parallel operation, load rejection, circuit isolations and restor</w:t>
            </w:r>
            <w:r w:rsidRPr="007B299B">
              <w:t>ations, mechanical adjustments, calibration, function tests, reporting, signals, thermals, contraphase, backup, reverse current</w:t>
            </w:r>
          </w:p>
          <w:p w:rsidR="00000000" w:rsidP="007B299B">
            <w:pPr>
              <w:pStyle w:val="BodyText"/>
              <w:rPr>
                <w:lang w:val="en-NZ"/>
              </w:rPr>
            </w:pPr>
            <w:r w:rsidRPr="007B299B">
              <w:t>The following constants and variables included in the element/Performance Criteria in this unit are fully described in the Defin</w:t>
            </w:r>
            <w:r w:rsidRPr="007B299B">
              <w:t>itions Section 1 of this volume and form an integral part of the Range Statement of this unit</w:t>
            </w:r>
          </w:p>
        </w:tc>
      </w:tr>
      <w:tr w:rsidTr="002B41F4">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7B299B" w:rsidP="007B299B">
            <w:pPr>
              <w:pStyle w:val="ListBullet"/>
            </w:pPr>
            <w:r w:rsidRPr="007B299B">
              <w:t>Appropriate and relevant persons (see Personnel)</w:t>
            </w:r>
          </w:p>
          <w:p w:rsidR="00000000" w:rsidRPr="007B299B" w:rsidP="007B299B">
            <w:pPr>
              <w:pStyle w:val="ListBullet"/>
            </w:pPr>
            <w:r w:rsidRPr="007B299B">
              <w:t>Appropriate authorities</w:t>
            </w:r>
          </w:p>
          <w:p w:rsidR="00000000" w:rsidRPr="007B299B" w:rsidP="007B299B">
            <w:pPr>
              <w:pStyle w:val="ListBullet"/>
            </w:pPr>
            <w:r w:rsidRPr="007B299B">
              <w:t>Appropriate work platform</w:t>
            </w:r>
          </w:p>
          <w:p w:rsidR="00000000" w:rsidRPr="007B299B" w:rsidP="007B299B">
            <w:pPr>
              <w:pStyle w:val="ListBullet"/>
            </w:pPr>
            <w:r w:rsidRPr="007B299B">
              <w:t>Assessing risk</w:t>
            </w:r>
          </w:p>
          <w:p w:rsidR="00000000" w:rsidRPr="007B299B" w:rsidP="007B299B">
            <w:pPr>
              <w:pStyle w:val="ListBullet"/>
            </w:pPr>
            <w:r w:rsidRPr="007B299B">
              <w:t>Assessment</w:t>
            </w:r>
          </w:p>
          <w:p w:rsidR="00000000" w:rsidRPr="007B299B" w:rsidP="007B299B">
            <w:pPr>
              <w:pStyle w:val="ListBullet"/>
            </w:pPr>
            <w:r w:rsidRPr="007B299B">
              <w:t>Authorisation</w:t>
            </w:r>
          </w:p>
          <w:p w:rsidR="00000000" w:rsidRPr="007B299B" w:rsidP="007B299B">
            <w:pPr>
              <w:pStyle w:val="ListBullet"/>
            </w:pPr>
            <w:r w:rsidRPr="007B299B">
              <w:t>Confined space</w:t>
            </w:r>
          </w:p>
          <w:p w:rsidR="00000000" w:rsidRPr="007B299B" w:rsidP="007B299B">
            <w:pPr>
              <w:pStyle w:val="ListBullet"/>
            </w:pPr>
            <w:r w:rsidRPr="007B299B">
              <w:t>Diagnostic, testing and restoration</w:t>
            </w:r>
          </w:p>
          <w:p w:rsidR="00000000" w:rsidRPr="007B299B" w:rsidP="007B299B">
            <w:pPr>
              <w:pStyle w:val="ListBullet"/>
            </w:pPr>
            <w:r w:rsidRPr="007B299B">
              <w:t>Documenting detail work events, record keeping and or storage of information</w:t>
            </w:r>
          </w:p>
          <w:p w:rsidR="00000000" w:rsidRPr="007B299B" w:rsidP="007B299B">
            <w:pPr>
              <w:pStyle w:val="ListBullet"/>
            </w:pPr>
            <w:r w:rsidRPr="007B299B">
              <w:t>Drawings and specifications</w:t>
            </w:r>
          </w:p>
          <w:p w:rsidR="00000000" w:rsidRPr="007B299B" w:rsidP="007B299B">
            <w:pPr>
              <w:pStyle w:val="ListBullet"/>
            </w:pPr>
            <w:r w:rsidRPr="007B299B">
              <w:t>Emergency</w:t>
            </w:r>
          </w:p>
          <w:p w:rsidR="00000000" w:rsidRPr="007B299B" w:rsidP="007B299B">
            <w:pPr>
              <w:pStyle w:val="ListBullet"/>
            </w:pPr>
            <w:r w:rsidRPr="007B299B">
              <w:t>Environmental and sustainable energy procedures</w:t>
            </w:r>
          </w:p>
          <w:p w:rsidR="00000000" w:rsidRPr="007B299B" w:rsidP="007B299B">
            <w:pPr>
              <w:pStyle w:val="ListBullet"/>
            </w:pPr>
            <w:r w:rsidRPr="007B299B">
              <w:t>Environmental legislation</w:t>
            </w:r>
          </w:p>
          <w:p w:rsidR="00000000" w:rsidRPr="007B299B" w:rsidP="007B299B">
            <w:pPr>
              <w:pStyle w:val="ListBullet"/>
            </w:pPr>
            <w:r w:rsidRPr="007B299B">
              <w:t>Environmental management docume</w:t>
            </w:r>
            <w:r w:rsidRPr="007B299B">
              <w:t>ntation</w:t>
            </w:r>
          </w:p>
          <w:p w:rsidR="00000000" w:rsidRPr="007B299B" w:rsidP="007B299B">
            <w:pPr>
              <w:pStyle w:val="ListBullet"/>
            </w:pPr>
            <w:r w:rsidRPr="007B299B">
              <w:t>Established procedures</w:t>
            </w:r>
          </w:p>
          <w:p w:rsidR="00000000" w:rsidRPr="007B299B" w:rsidP="007B299B">
            <w:pPr>
              <w:pStyle w:val="ListBullet"/>
            </w:pPr>
            <w:r w:rsidRPr="007B299B">
              <w:t>Fall prevention</w:t>
            </w:r>
          </w:p>
          <w:p w:rsidR="00000000" w:rsidRPr="007B299B" w:rsidP="007B299B">
            <w:pPr>
              <w:pStyle w:val="ListBullet"/>
            </w:pPr>
            <w:r w:rsidRPr="007B299B">
              <w:t>Hazards</w:t>
            </w:r>
          </w:p>
          <w:p w:rsidR="00000000" w:rsidRPr="007B299B" w:rsidP="007B299B">
            <w:pPr>
              <w:pStyle w:val="ListBullet"/>
            </w:pPr>
            <w:r w:rsidRPr="007B299B">
              <w:t>Identifying hazards</w:t>
            </w:r>
          </w:p>
          <w:p w:rsidR="00000000" w:rsidRPr="007B299B" w:rsidP="007B299B">
            <w:pPr>
              <w:pStyle w:val="ListBullet"/>
            </w:pPr>
            <w:r w:rsidRPr="007B299B">
              <w:t>Inspect</w:t>
            </w:r>
          </w:p>
          <w:p w:rsidR="00000000" w:rsidRPr="007B299B" w:rsidP="007B299B">
            <w:pPr>
              <w:pStyle w:val="ListBullet"/>
            </w:pPr>
            <w:r w:rsidRPr="007B299B">
              <w:t>Legislation</w:t>
            </w:r>
          </w:p>
          <w:p w:rsidR="00000000" w:rsidRPr="007B299B" w:rsidP="007B299B">
            <w:pPr>
              <w:pStyle w:val="ListBullet"/>
            </w:pPr>
            <w:r w:rsidRPr="007B299B">
              <w:t>MSDS</w:t>
            </w:r>
          </w:p>
          <w:p w:rsidR="00000000" w:rsidRPr="007B299B" w:rsidP="007B299B">
            <w:pPr>
              <w:pStyle w:val="ListBullet"/>
            </w:pPr>
            <w:r w:rsidRPr="007B299B">
              <w:t>Notification</w:t>
            </w:r>
          </w:p>
          <w:p w:rsidR="00000000" w:rsidRPr="007B299B" w:rsidP="007B299B">
            <w:pPr>
              <w:pStyle w:val="ListBullet"/>
            </w:pPr>
            <w:r w:rsidRPr="007B299B">
              <w:t>OHS practices</w:t>
            </w:r>
          </w:p>
          <w:p w:rsidR="00000000" w:rsidRPr="007B299B" w:rsidP="007B299B">
            <w:pPr>
              <w:pStyle w:val="ListBullet"/>
            </w:pPr>
            <w:r w:rsidRPr="007B299B">
              <w:t>OHS issues</w:t>
            </w:r>
          </w:p>
          <w:p w:rsidR="00000000" w:rsidRPr="007B299B" w:rsidP="007B299B">
            <w:pPr>
              <w:pStyle w:val="ListBullet"/>
            </w:pPr>
            <w:r w:rsidRPr="007B299B">
              <w:t>Permits and/or permits to work</w:t>
            </w:r>
          </w:p>
          <w:p w:rsidR="00000000" w:rsidRPr="007B299B" w:rsidP="007B299B">
            <w:pPr>
              <w:pStyle w:val="ListBullet"/>
            </w:pPr>
            <w:r w:rsidRPr="007B299B">
              <w:t>Personnel</w:t>
            </w:r>
          </w:p>
          <w:p w:rsidR="00000000" w:rsidRPr="007B299B" w:rsidP="007B299B">
            <w:pPr>
              <w:pStyle w:val="ListBullet"/>
            </w:pPr>
            <w:r w:rsidRPr="007B299B">
              <w:t>Quality assurance systems</w:t>
            </w:r>
          </w:p>
          <w:p w:rsidR="00000000" w:rsidRPr="007B299B" w:rsidP="007B299B">
            <w:pPr>
              <w:pStyle w:val="ListBullet"/>
            </w:pPr>
            <w:r w:rsidRPr="007B299B">
              <w:t>Requirements</w:t>
            </w:r>
          </w:p>
          <w:p w:rsidR="00000000" w:rsidRPr="007B299B" w:rsidP="007B299B">
            <w:pPr>
              <w:pStyle w:val="ListBullet"/>
            </w:pPr>
            <w:r w:rsidRPr="007B299B">
              <w:t>Testing procedures</w:t>
            </w:r>
          </w:p>
          <w:p w:rsidR="00000000" w:rsidRPr="007B299B" w:rsidP="007B299B">
            <w:pPr>
              <w:pStyle w:val="ListBullet"/>
            </w:pPr>
            <w:r w:rsidRPr="007B299B">
              <w:t>W</w:t>
            </w:r>
            <w:r w:rsidRPr="007B299B">
              <w:t>ork clearance systems</w:t>
            </w:r>
          </w:p>
        </w:tc>
      </w:tr>
    </w:tbl>
    <w:p w:rsidR="002B41F4" w:rsidP="007B299B">
      <w:pPr>
        <w:pStyle w:val="BodyText"/>
      </w:pPr>
    </w:p>
    <w:p w:rsidR="002B41F4" w:rsidP="007B299B">
      <w:pPr>
        <w:pStyle w:val="BodyText"/>
      </w:pPr>
    </w:p>
    <w:p w:rsidR="00000000" w:rsidRPr="007B299B" w:rsidP="007B299B">
      <w:pPr>
        <w:pStyle w:val="Heading1"/>
      </w:pPr>
      <w:bookmarkStart w:id="12" w:name="O_297266"/>
      <w:bookmarkEnd w:id="12"/>
      <w:r w:rsidRPr="007B299B">
        <w:t>Unit Sector(s)</w:t>
      </w:r>
    </w:p>
    <w:p w:rsidR="00000000" w:rsidRPr="007B299B" w:rsidP="007B299B">
      <w:pPr>
        <w:pStyle w:val="BodyText"/>
      </w:pPr>
      <w:r w:rsidRPr="007B299B">
        <w:t>Not Applicable</w:t>
      </w:r>
    </w:p>
    <w:p w:rsidR="00000000" w:rsidRPr="007B299B" w:rsidP="007B299B">
      <w:pPr>
        <w:pStyle w:val="AllowPageBreak"/>
      </w:pPr>
    </w:p>
    <w:p w:rsidR="00000000" w:rsidRPr="007B299B" w:rsidP="007B299B">
      <w:pPr>
        <w:pStyle w:val="Heading1"/>
      </w:pPr>
      <w:bookmarkStart w:id="13" w:name="O_232155"/>
      <w:bookmarkEnd w:id="13"/>
      <w:r w:rsidRPr="007B299B">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2B41F4">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2</w:t>
            </w:r>
            <w:r w:rsidRPr="007B299B">
              <w:t>.</w:t>
            </w:r>
            <w:r w:rsidRPr="007B299B">
              <w:rPr>
                <w:rStyle w:val="SpecialBold"/>
              </w:rPr>
              <w:t>2</w:t>
            </w:r>
            <w:r w:rsidRPr="007B299B">
              <w:t xml:space="preserve">) </w:t>
            </w:r>
            <w:r w:rsidRPr="007B299B">
              <w:rPr>
                <w:rStyle w:val="SpecialBold"/>
              </w:rPr>
              <w:t>Literacy and numeracy skills</w:t>
            </w:r>
          </w:p>
          <w:p w:rsidR="00000000" w:rsidP="007B299B">
            <w:pPr>
              <w:pStyle w:val="BodyText"/>
              <w:rPr>
                <w:lang w:val="en-NZ"/>
              </w:rPr>
            </w:pPr>
            <w:r w:rsidRPr="007B299B">
              <w:t>Participants are best equipped to achieve this unit if they have reading, writing and numeracy skil</w:t>
            </w:r>
            <w:r w:rsidRPr="007B299B">
              <w:t>ls indicated by the following scales. Description of each scale is given in Volume 2, Part 3 "Literacy and Numeracy"</w:t>
            </w:r>
          </w:p>
        </w:tc>
      </w:tr>
      <w:tr w:rsidTr="002B41F4">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Reading</w:t>
            </w:r>
          </w:p>
        </w:tc>
        <w:tc>
          <w:tcPr>
            <w:tcW w:w="1207"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5</w:t>
            </w:r>
          </w:p>
        </w:tc>
        <w:tc>
          <w:tcPr>
            <w:tcW w:w="1776"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Writing</w:t>
            </w:r>
          </w:p>
        </w:tc>
        <w:tc>
          <w:tcPr>
            <w:tcW w:w="1207"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5</w:t>
            </w:r>
          </w:p>
        </w:tc>
        <w:tc>
          <w:tcPr>
            <w:tcW w:w="1758"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t>Numeracy</w:t>
            </w:r>
          </w:p>
        </w:tc>
        <w:tc>
          <w:tcPr>
            <w:tcW w:w="1207"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5</w:t>
            </w:r>
          </w:p>
        </w:tc>
      </w:tr>
    </w:tbl>
    <w:p w:rsidR="002B41F4" w:rsidP="007B299B">
      <w:pPr>
        <w:pStyle w:val="BodyText"/>
      </w:pPr>
    </w:p>
    <w:p w:rsidR="002B41F4" w:rsidP="007B299B">
      <w:pPr>
        <w:pStyle w:val="BodyText"/>
      </w:pPr>
    </w:p>
    <w:p w:rsidR="00000000" w:rsidRPr="007B299B" w:rsidP="007B299B">
      <w:pPr>
        <w:pStyle w:val="Heading1"/>
      </w:pPr>
      <w:bookmarkStart w:id="14" w:name="O_232158"/>
      <w:bookmarkEnd w:id="14"/>
      <w:r w:rsidRPr="007B299B">
        <w:t>Competency Field</w:t>
      </w:r>
    </w:p>
    <w:tbl>
      <w:tblPr>
        <w:tblW w:w="0" w:type="auto"/>
        <w:tblLayout w:type="fixed"/>
        <w:tblCellMar>
          <w:left w:w="62" w:type="dxa"/>
          <w:right w:w="62" w:type="dxa"/>
        </w:tblCellMar>
        <w:tblLook w:val="0000"/>
      </w:tblPr>
      <w:tblGrid>
        <w:gridCol w:w="2758"/>
        <w:gridCol w:w="5882"/>
      </w:tblGrid>
      <w:tr w:rsidTr="002B41F4">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7B299B">
            <w:pPr>
              <w:pStyle w:val="BodyText"/>
              <w:rPr>
                <w:lang w:val="en-NZ"/>
              </w:rPr>
            </w:pPr>
            <w:r w:rsidRPr="007B299B">
              <w:rPr>
                <w:rStyle w:val="SpecialBold"/>
              </w:rPr>
              <w:t>5</w:t>
            </w:r>
            <w:r w:rsidRPr="007B299B">
              <w:t>)</w:t>
            </w:r>
          </w:p>
        </w:tc>
      </w:tr>
      <w:tr w:rsidTr="002B41F4">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B299B" w:rsidP="007B299B">
            <w:pPr>
              <w:pStyle w:val="BodyText"/>
            </w:pPr>
            <w:r w:rsidRPr="007B299B">
              <w:t>Testing Units</w:t>
            </w:r>
          </w:p>
        </w:tc>
      </w:tr>
    </w:tbl>
    <w:p w:rsidR="002B41F4" w:rsidP="007B299B">
      <w:pPr>
        <w:pStyle w:val="BodyText"/>
      </w:pPr>
    </w:p>
    <w:p w:rsidR="002B41F4" w:rsidP="007B299B">
      <w:pPr>
        <w:pStyle w:val="BodyText"/>
      </w:pPr>
    </w:p>
    <w:p w:rsidR="00000000" w:rsidRPr="007B299B" w:rsidP="007B299B"/>
    <w:sectPr w:rsidSect="007B29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41F4" w:rsidP="002B41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F4" w:rsidP="007B29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41F4" w:rsidP="007B29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B41F4" w:rsidP="007B29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9B" w:rsidRPr="002B41F4" w:rsidP="002B41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41F4" w:rsidRPr="002D2AF8" w:rsidP="007B299B">
    <w:pPr>
      <w:pStyle w:val="Header"/>
      <w:framePr w:wrap="around"/>
    </w:pPr>
    <w:r>
      <w:fldChar w:fldCharType="begin"/>
    </w:r>
    <w:r>
      <w:instrText xml:space="preserve"> TITLE   \* MERGEFORMAT </w:instrText>
    </w:r>
    <w:r>
      <w:fldChar w:fldCharType="separate"/>
    </w:r>
    <w:r>
      <w:t>UETTDRTS02B Commission network protection and control systems (interdependent)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2B41F4" w:rsidP="007B29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0CE4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250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0A2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9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99B"/>
    <w:pPr>
      <w:spacing w:before="360" w:after="60"/>
      <w:outlineLvl w:val="0"/>
    </w:pPr>
    <w:rPr>
      <w:sz w:val="32"/>
    </w:rPr>
  </w:style>
  <w:style w:type="paragraph" w:styleId="Heading2">
    <w:name w:val="heading 2"/>
    <w:basedOn w:val="HeadingBase"/>
    <w:next w:val="BodyText"/>
    <w:link w:val="Heading2Char"/>
    <w:qFormat/>
    <w:rsid w:val="007B299B"/>
    <w:pPr>
      <w:keepLines/>
      <w:spacing w:before="240" w:after="120"/>
      <w:outlineLvl w:val="1"/>
    </w:pPr>
    <w:rPr>
      <w:sz w:val="28"/>
      <w:szCs w:val="40"/>
    </w:rPr>
  </w:style>
  <w:style w:type="paragraph" w:styleId="Heading3">
    <w:name w:val="heading 3"/>
    <w:basedOn w:val="HeadingBase"/>
    <w:next w:val="BodyText"/>
    <w:link w:val="Heading3Char"/>
    <w:qFormat/>
    <w:rsid w:val="007B299B"/>
    <w:pPr>
      <w:spacing w:before="180" w:after="120"/>
      <w:outlineLvl w:val="2"/>
    </w:pPr>
    <w:rPr>
      <w:spacing w:val="-10"/>
      <w:kern w:val="32"/>
    </w:rPr>
  </w:style>
  <w:style w:type="paragraph" w:styleId="Heading4">
    <w:name w:val="heading 4"/>
    <w:basedOn w:val="HeadingBase"/>
    <w:next w:val="BodyText"/>
    <w:link w:val="Heading4Char"/>
    <w:qFormat/>
    <w:rsid w:val="007B299B"/>
    <w:pPr>
      <w:spacing w:before="160" w:after="120"/>
      <w:outlineLvl w:val="3"/>
    </w:pPr>
    <w:rPr>
      <w:sz w:val="22"/>
    </w:rPr>
  </w:style>
  <w:style w:type="paragraph" w:styleId="Heading5">
    <w:name w:val="heading 5"/>
    <w:basedOn w:val="HeadingBase"/>
    <w:next w:val="Normal"/>
    <w:link w:val="Heading5Char"/>
    <w:qFormat/>
    <w:rsid w:val="007B299B"/>
    <w:pPr>
      <w:spacing w:before="80"/>
      <w:outlineLvl w:val="4"/>
    </w:pPr>
    <w:rPr>
      <w:color w:val="918585"/>
      <w:sz w:val="20"/>
    </w:rPr>
  </w:style>
  <w:style w:type="paragraph" w:styleId="Heading6">
    <w:name w:val="heading 6"/>
    <w:basedOn w:val="HeadingBase"/>
    <w:next w:val="Normal"/>
    <w:link w:val="Heading6Char"/>
    <w:qFormat/>
    <w:rsid w:val="007B299B"/>
    <w:pPr>
      <w:spacing w:before="60"/>
      <w:outlineLvl w:val="5"/>
    </w:pPr>
    <w:rPr>
      <w:color w:val="918585"/>
      <w:sz w:val="20"/>
    </w:rPr>
  </w:style>
  <w:style w:type="paragraph" w:styleId="Heading7">
    <w:name w:val="heading 7"/>
    <w:basedOn w:val="Normal"/>
    <w:next w:val="Normal"/>
    <w:link w:val="Heading7Char"/>
    <w:qFormat/>
    <w:rsid w:val="007B299B"/>
    <w:pPr>
      <w:ind w:left="720"/>
      <w:outlineLvl w:val="6"/>
    </w:pPr>
    <w:rPr>
      <w:i/>
    </w:rPr>
  </w:style>
  <w:style w:type="paragraph" w:styleId="Heading8">
    <w:name w:val="heading 8"/>
    <w:basedOn w:val="Normal"/>
    <w:next w:val="Normal"/>
    <w:link w:val="Heading8Char"/>
    <w:qFormat/>
    <w:rsid w:val="007B299B"/>
    <w:pPr>
      <w:ind w:left="720"/>
      <w:outlineLvl w:val="7"/>
    </w:pPr>
    <w:rPr>
      <w:i/>
    </w:rPr>
  </w:style>
  <w:style w:type="paragraph" w:styleId="Heading9">
    <w:name w:val="heading 9"/>
    <w:basedOn w:val="Normal"/>
    <w:next w:val="Normal"/>
    <w:link w:val="Heading9Char"/>
    <w:qFormat/>
    <w:rsid w:val="007B299B"/>
    <w:pPr>
      <w:ind w:left="720"/>
      <w:outlineLvl w:val="8"/>
    </w:pPr>
    <w:rPr>
      <w:i/>
    </w:rPr>
  </w:style>
  <w:style w:type="character" w:default="1" w:styleId="DefaultParagraphFont">
    <w:name w:val="Default Paragraph Font"/>
    <w:uiPriority w:val="1"/>
    <w:unhideWhenUsed/>
    <w:rsid w:val="007B29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99B"/>
  </w:style>
  <w:style w:type="character" w:customStyle="1" w:styleId="Heading1Char">
    <w:name w:val="Heading 1 Char"/>
    <w:basedOn w:val="DefaultParagraphFont"/>
    <w:link w:val="Heading1"/>
    <w:rsid w:val="007B299B"/>
    <w:rPr>
      <w:rFonts w:ascii="Times New Roman" w:eastAsia="Times New Roman" w:hAnsi="Times New Roman" w:cs="Times New Roman"/>
      <w:b/>
      <w:sz w:val="32"/>
      <w:szCs w:val="20"/>
      <w:lang w:eastAsia="en-US"/>
    </w:rPr>
  </w:style>
  <w:style w:type="paragraph" w:styleId="BodyText">
    <w:name w:val="Body Text"/>
    <w:basedOn w:val="Normal"/>
    <w:link w:val="BodyTextChar"/>
    <w:rsid w:val="007B29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299B"/>
    <w:rPr>
      <w:rFonts w:ascii="Times New Roman" w:eastAsia="Times New Roman" w:hAnsi="Times New Roman" w:cs="Times New Roman"/>
      <w:sz w:val="24"/>
      <w:lang w:eastAsia="en-US"/>
    </w:rPr>
  </w:style>
  <w:style w:type="paragraph" w:styleId="Footer">
    <w:name w:val="footer"/>
    <w:basedOn w:val="Normal"/>
    <w:link w:val="FooterChar"/>
    <w:rsid w:val="007B29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99B"/>
    <w:rPr>
      <w:rFonts w:ascii="Times New Roman" w:eastAsia="Times New Roman" w:hAnsi="Times New Roman" w:cs="Times New Roman"/>
      <w:sz w:val="16"/>
      <w:lang w:eastAsia="en-US"/>
    </w:rPr>
  </w:style>
  <w:style w:type="paragraph" w:styleId="ListBullet">
    <w:name w:val="List Bullet"/>
    <w:basedOn w:val="List"/>
    <w:rsid w:val="007B299B"/>
    <w:pPr>
      <w:numPr>
        <w:numId w:val="13"/>
      </w:numPr>
      <w:tabs>
        <w:tab w:val="clear" w:pos="340"/>
      </w:tabs>
      <w:spacing w:before="40" w:after="40"/>
    </w:pPr>
  </w:style>
  <w:style w:type="character" w:customStyle="1" w:styleId="SpecialBold">
    <w:name w:val="Special Bold"/>
    <w:basedOn w:val="DefaultParagraphFont"/>
    <w:rsid w:val="007B299B"/>
    <w:rPr>
      <w:b/>
      <w:spacing w:val="0"/>
    </w:rPr>
  </w:style>
  <w:style w:type="paragraph" w:styleId="ListBullet2">
    <w:name w:val="List Bullet 2"/>
    <w:basedOn w:val="List2"/>
    <w:rsid w:val="007B299B"/>
    <w:pPr>
      <w:numPr>
        <w:numId w:val="14"/>
      </w:numPr>
      <w:tabs>
        <w:tab w:val="clear" w:pos="680"/>
      </w:tabs>
    </w:pPr>
  </w:style>
  <w:style w:type="paragraph" w:customStyle="1" w:styleId="SuperHeading">
    <w:name w:val="SuperHeading"/>
    <w:basedOn w:val="Normal"/>
    <w:rsid w:val="007B299B"/>
    <w:pPr>
      <w:spacing w:before="240" w:after="120"/>
      <w:outlineLvl w:val="0"/>
    </w:pPr>
    <w:rPr>
      <w:rFonts w:ascii="Times New Roman" w:hAnsi="Times New Roman"/>
      <w:b/>
      <w:sz w:val="28"/>
    </w:rPr>
  </w:style>
  <w:style w:type="paragraph" w:customStyle="1" w:styleId="AllowPageBreak">
    <w:name w:val="AllowPageBreak"/>
    <w:rsid w:val="007B29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9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9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9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9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9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9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9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99B"/>
    <w:rPr>
      <w:rFonts w:ascii="Courier New" w:eastAsia="Times New Roman" w:hAnsi="Courier New" w:cs="Times New Roman"/>
      <w:i/>
      <w:szCs w:val="20"/>
      <w:lang w:eastAsia="en-US"/>
    </w:rPr>
  </w:style>
  <w:style w:type="paragraph" w:customStyle="1" w:styleId="HeadingBase">
    <w:name w:val="Heading Base"/>
    <w:rsid w:val="007B29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99B"/>
    <w:pPr>
      <w:tabs>
        <w:tab w:val="right" w:leader="dot" w:pos="9072"/>
      </w:tabs>
      <w:ind w:left="567"/>
    </w:pPr>
    <w:rPr>
      <w:szCs w:val="22"/>
    </w:rPr>
  </w:style>
  <w:style w:type="paragraph" w:customStyle="1" w:styleId="TOCBase">
    <w:name w:val="TOC Base"/>
    <w:rsid w:val="007B29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99B"/>
    <w:pPr>
      <w:tabs>
        <w:tab w:val="right" w:leader="dot" w:pos="9072"/>
      </w:tabs>
      <w:spacing w:before="40" w:after="40"/>
      <w:ind w:left="284"/>
    </w:pPr>
    <w:rPr>
      <w:rFonts w:ascii="Times New Roman" w:hAnsi="Times New Roman"/>
    </w:rPr>
  </w:style>
  <w:style w:type="paragraph" w:styleId="TOC1">
    <w:name w:val="toc 1"/>
    <w:basedOn w:val="TOCBase"/>
    <w:next w:val="Normal"/>
    <w:rsid w:val="007B29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299B"/>
    <w:pPr>
      <w:spacing w:before="5040"/>
      <w:jc w:val="center"/>
    </w:pPr>
    <w:rPr>
      <w:sz w:val="48"/>
      <w:szCs w:val="72"/>
      <w:lang w:val="en-US"/>
    </w:rPr>
  </w:style>
  <w:style w:type="character" w:customStyle="1" w:styleId="TitleChar">
    <w:name w:val="Title Char"/>
    <w:basedOn w:val="DefaultParagraphFont"/>
    <w:link w:val="Title"/>
    <w:rsid w:val="007B29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99B"/>
    <w:pPr>
      <w:tabs>
        <w:tab w:val="left" w:pos="3600"/>
        <w:tab w:val="left" w:pos="3958"/>
      </w:tabs>
    </w:pPr>
  </w:style>
  <w:style w:type="paragraph" w:styleId="List">
    <w:name w:val="List"/>
    <w:basedOn w:val="BodyText"/>
    <w:next w:val="BodyText"/>
    <w:rsid w:val="007B299B"/>
    <w:pPr>
      <w:tabs>
        <w:tab w:val="left" w:pos="340"/>
      </w:tabs>
      <w:spacing w:before="60" w:after="60"/>
      <w:ind w:left="340" w:hanging="340"/>
    </w:pPr>
  </w:style>
  <w:style w:type="paragraph" w:customStyle="1" w:styleId="Note">
    <w:name w:val="Note"/>
    <w:basedOn w:val="BodyText"/>
    <w:rsid w:val="007B29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99B"/>
    <w:pPr>
      <w:framePr w:wrap="auto" w:hAnchor="text" w:y="6049"/>
    </w:pPr>
    <w:rPr>
      <w:color w:val="000000"/>
      <w:sz w:val="40"/>
    </w:rPr>
  </w:style>
  <w:style w:type="paragraph" w:customStyle="1" w:styleId="TOCTitle">
    <w:name w:val="TOCTitle"/>
    <w:basedOn w:val="Heading1"/>
    <w:rsid w:val="007B299B"/>
    <w:pPr>
      <w:spacing w:after="240"/>
      <w:jc w:val="center"/>
      <w:outlineLvl w:val="9"/>
    </w:pPr>
    <w:rPr>
      <w:caps/>
    </w:rPr>
  </w:style>
  <w:style w:type="paragraph" w:customStyle="1" w:styleId="Version">
    <w:name w:val="Version"/>
    <w:rsid w:val="007B29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299B"/>
    <w:pPr>
      <w:keepNext w:val="0"/>
      <w:tabs>
        <w:tab w:val="right" w:pos="4176"/>
      </w:tabs>
      <w:ind w:left="198" w:hanging="198"/>
    </w:pPr>
    <w:rPr>
      <w:rFonts w:ascii="Garamond" w:hAnsi="Garamond"/>
    </w:rPr>
  </w:style>
  <w:style w:type="paragraph" w:styleId="IndexHeading">
    <w:name w:val="index heading"/>
    <w:basedOn w:val="Normal"/>
    <w:next w:val="Index1"/>
    <w:semiHidden/>
    <w:rsid w:val="007B299B"/>
    <w:pPr>
      <w:spacing w:before="120" w:after="120"/>
    </w:pPr>
    <w:rPr>
      <w:rFonts w:ascii="Arial" w:hAnsi="Arial"/>
      <w:b/>
      <w:color w:val="918585"/>
      <w:sz w:val="24"/>
    </w:rPr>
  </w:style>
  <w:style w:type="paragraph" w:styleId="Header">
    <w:name w:val="header"/>
    <w:basedOn w:val="Normal"/>
    <w:link w:val="HeaderChar"/>
    <w:rsid w:val="007B29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99B"/>
    <w:rPr>
      <w:rFonts w:ascii="Times New Roman" w:eastAsia="Times New Roman" w:hAnsi="Times New Roman" w:cs="Times New Roman"/>
      <w:sz w:val="16"/>
      <w:szCs w:val="20"/>
      <w:lang w:val="en-GB" w:eastAsia="en-US"/>
    </w:rPr>
  </w:style>
  <w:style w:type="paragraph" w:customStyle="1" w:styleId="Chapter">
    <w:name w:val="Chapter"/>
    <w:basedOn w:val="Normal"/>
    <w:rsid w:val="007B299B"/>
    <w:pPr>
      <w:spacing w:before="240"/>
    </w:pPr>
    <w:rPr>
      <w:rFonts w:ascii="Times New Roman" w:hAnsi="Times New Roman"/>
      <w:smallCaps/>
      <w:spacing w:val="80"/>
      <w:sz w:val="28"/>
    </w:rPr>
  </w:style>
  <w:style w:type="paragraph" w:customStyle="1" w:styleId="InChapter">
    <w:name w:val="InChapter"/>
    <w:basedOn w:val="Heading3"/>
    <w:rsid w:val="007B299B"/>
    <w:pPr>
      <w:spacing w:after="240"/>
      <w:outlineLvl w:val="9"/>
    </w:pPr>
    <w:rPr>
      <w:noProof/>
    </w:rPr>
  </w:style>
  <w:style w:type="paragraph" w:styleId="Index2">
    <w:name w:val="index 2"/>
    <w:basedOn w:val="Normal"/>
    <w:next w:val="Normal"/>
    <w:semiHidden/>
    <w:rsid w:val="007B299B"/>
    <w:pPr>
      <w:tabs>
        <w:tab w:val="right" w:pos="4176"/>
      </w:tabs>
      <w:ind w:left="568" w:hanging="284"/>
    </w:pPr>
    <w:rPr>
      <w:rFonts w:ascii="Garamond" w:hAnsi="Garamond"/>
    </w:rPr>
  </w:style>
  <w:style w:type="paragraph" w:customStyle="1" w:styleId="Byline">
    <w:name w:val="Byline"/>
    <w:rsid w:val="007B29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99B"/>
    <w:pPr>
      <w:tabs>
        <w:tab w:val="clear" w:pos="3600"/>
        <w:tab w:val="clear" w:pos="3958"/>
      </w:tabs>
      <w:jc w:val="right"/>
    </w:pPr>
  </w:style>
  <w:style w:type="character" w:styleId="Emphasis">
    <w:name w:val="Emphasis"/>
    <w:basedOn w:val="DefaultParagraphFont"/>
    <w:qFormat/>
    <w:rsid w:val="007B299B"/>
    <w:rPr>
      <w:i/>
    </w:rPr>
  </w:style>
  <w:style w:type="paragraph" w:styleId="Caption">
    <w:name w:val="caption"/>
    <w:basedOn w:val="BodyText"/>
    <w:next w:val="Normal"/>
    <w:qFormat/>
    <w:rsid w:val="007B299B"/>
    <w:pPr>
      <w:framePr w:w="2268" w:hSpace="181" w:vSpace="181" w:wrap="around" w:vAnchor="text" w:hAnchor="page" w:x="1135" w:y="285" w:anchorLock="1"/>
    </w:pPr>
    <w:rPr>
      <w:i/>
    </w:rPr>
  </w:style>
  <w:style w:type="paragraph" w:customStyle="1" w:styleId="MiniTOCTitle">
    <w:name w:val="MiniTOCTitle"/>
    <w:basedOn w:val="Heading4"/>
    <w:rsid w:val="007B299B"/>
    <w:pPr>
      <w:spacing w:before="240"/>
      <w:outlineLvl w:val="9"/>
    </w:pPr>
    <w:rPr>
      <w:noProof/>
      <w:sz w:val="24"/>
    </w:rPr>
  </w:style>
  <w:style w:type="paragraph" w:customStyle="1" w:styleId="MiniTOCItem">
    <w:name w:val="MiniTOCItem"/>
    <w:basedOn w:val="ListBullet"/>
    <w:rsid w:val="007B299B"/>
    <w:pPr>
      <w:numPr>
        <w:numId w:val="0"/>
      </w:numPr>
      <w:tabs>
        <w:tab w:val="right" w:leader="dot" w:pos="6521"/>
      </w:tabs>
      <w:spacing w:before="0" w:after="0"/>
    </w:pPr>
  </w:style>
  <w:style w:type="paragraph" w:customStyle="1" w:styleId="TOFTitle">
    <w:name w:val="TOFTitle"/>
    <w:basedOn w:val="TOCTitle"/>
    <w:rsid w:val="007B299B"/>
  </w:style>
  <w:style w:type="paragraph" w:styleId="TableofFigures">
    <w:name w:val="table of figures"/>
    <w:basedOn w:val="Normal"/>
    <w:next w:val="Normal"/>
    <w:semiHidden/>
    <w:rsid w:val="007B299B"/>
    <w:pPr>
      <w:tabs>
        <w:tab w:val="right" w:leader="dot" w:pos="9072"/>
      </w:tabs>
      <w:ind w:left="970" w:hanging="403"/>
    </w:pPr>
    <w:rPr>
      <w:rFonts w:ascii="Times New Roman" w:hAnsi="Times New Roman"/>
      <w:b/>
    </w:rPr>
  </w:style>
  <w:style w:type="paragraph" w:styleId="ListNumber">
    <w:name w:val="List Number"/>
    <w:basedOn w:val="List"/>
    <w:rsid w:val="007B299B"/>
    <w:pPr>
      <w:numPr>
        <w:numId w:val="11"/>
      </w:numPr>
    </w:pPr>
  </w:style>
  <w:style w:type="character" w:customStyle="1" w:styleId="WingdingSymbols">
    <w:name w:val="Wingding Symbols"/>
    <w:rsid w:val="007B299B"/>
    <w:rPr>
      <w:rFonts w:ascii="Wingdings" w:hAnsi="Wingdings"/>
    </w:rPr>
  </w:style>
  <w:style w:type="paragraph" w:customStyle="1" w:styleId="TableHeading">
    <w:name w:val="Table Heading"/>
    <w:basedOn w:val="HeadingBase"/>
    <w:rsid w:val="007B299B"/>
    <w:pPr>
      <w:keepLines/>
      <w:pBdr>
        <w:bottom w:val="single" w:sz="6" w:space="1" w:color="918585"/>
      </w:pBdr>
      <w:spacing w:before="240"/>
    </w:pPr>
  </w:style>
  <w:style w:type="character" w:customStyle="1" w:styleId="HotSpot">
    <w:name w:val="HotSpot"/>
    <w:rsid w:val="007B299B"/>
    <w:rPr>
      <w:color w:val="0033CC"/>
      <w:u w:val="none"/>
    </w:rPr>
  </w:style>
  <w:style w:type="paragraph" w:customStyle="1" w:styleId="BodyTextRight">
    <w:name w:val="Body Text Right"/>
    <w:basedOn w:val="BodyText"/>
    <w:rsid w:val="007B299B"/>
    <w:pPr>
      <w:spacing w:before="0" w:after="0"/>
      <w:jc w:val="right"/>
    </w:pPr>
  </w:style>
  <w:style w:type="paragraph" w:styleId="Index3">
    <w:name w:val="index 3"/>
    <w:basedOn w:val="ListNumber2"/>
    <w:next w:val="Normal"/>
    <w:semiHidden/>
    <w:rsid w:val="007B299B"/>
    <w:pPr>
      <w:numPr>
        <w:numId w:val="0"/>
      </w:numPr>
      <w:tabs>
        <w:tab w:val="right" w:leader="dot" w:pos="4176"/>
      </w:tabs>
    </w:pPr>
  </w:style>
  <w:style w:type="paragraph" w:styleId="ListNumber2">
    <w:name w:val="List Number 2"/>
    <w:basedOn w:val="List2"/>
    <w:rsid w:val="007B299B"/>
    <w:pPr>
      <w:numPr>
        <w:numId w:val="10"/>
      </w:numPr>
      <w:tabs>
        <w:tab w:val="clear" w:pos="1060"/>
      </w:tabs>
    </w:pPr>
  </w:style>
  <w:style w:type="paragraph" w:customStyle="1" w:styleId="MarginNote">
    <w:name w:val="Margin Note"/>
    <w:basedOn w:val="BodyText"/>
    <w:rsid w:val="007B29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9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9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99B"/>
    <w:rPr>
      <w:sz w:val="32"/>
    </w:rPr>
  </w:style>
  <w:style w:type="paragraph" w:customStyle="1" w:styleId="HeadingProcedure">
    <w:name w:val="Heading Procedure"/>
    <w:basedOn w:val="HeadingBase"/>
    <w:next w:val="Normal"/>
    <w:rsid w:val="007B299B"/>
    <w:pPr>
      <w:tabs>
        <w:tab w:val="left" w:pos="0"/>
      </w:tabs>
      <w:spacing w:before="120" w:after="60"/>
    </w:pPr>
    <w:rPr>
      <w:i/>
      <w:color w:val="918585"/>
      <w:sz w:val="22"/>
    </w:rPr>
  </w:style>
  <w:style w:type="paragraph" w:customStyle="1" w:styleId="TableBodyText">
    <w:name w:val="Table Body Text"/>
    <w:basedOn w:val="BodyText"/>
    <w:rsid w:val="007B299B"/>
    <w:pPr>
      <w:spacing w:before="60" w:after="60"/>
    </w:pPr>
  </w:style>
  <w:style w:type="paragraph" w:styleId="ListContinue">
    <w:name w:val="List Continue"/>
    <w:basedOn w:val="List"/>
    <w:rsid w:val="007B299B"/>
    <w:pPr>
      <w:ind w:firstLine="0"/>
    </w:pPr>
  </w:style>
  <w:style w:type="paragraph" w:customStyle="1" w:styleId="ListNote">
    <w:name w:val="List Note"/>
    <w:basedOn w:val="List"/>
    <w:rsid w:val="007B299B"/>
    <w:pPr>
      <w:pBdr>
        <w:top w:val="single" w:sz="6" w:space="2" w:color="918585"/>
        <w:bottom w:val="single" w:sz="6" w:space="2" w:color="918585"/>
      </w:pBdr>
      <w:tabs>
        <w:tab w:val="left" w:pos="1021"/>
      </w:tabs>
      <w:ind w:firstLine="0"/>
    </w:pPr>
  </w:style>
  <w:style w:type="paragraph" w:customStyle="1" w:styleId="Warning">
    <w:name w:val="Warning"/>
    <w:basedOn w:val="BodyText"/>
    <w:rsid w:val="007B299B"/>
    <w:pPr>
      <w:shd w:val="clear" w:color="auto" w:fill="D9D9D9"/>
      <w:tabs>
        <w:tab w:val="left" w:pos="992"/>
      </w:tabs>
      <w:ind w:left="119" w:right="119"/>
    </w:pPr>
    <w:rPr>
      <w:sz w:val="20"/>
    </w:rPr>
  </w:style>
  <w:style w:type="paragraph" w:customStyle="1" w:styleId="MarginIcons">
    <w:name w:val="Margin Icons"/>
    <w:basedOn w:val="BodyText"/>
    <w:rsid w:val="007B29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99B"/>
    <w:rPr>
      <w:rFonts w:ascii="Courier New" w:hAnsi="Courier New"/>
    </w:rPr>
  </w:style>
  <w:style w:type="paragraph" w:customStyle="1" w:styleId="NoteBullet">
    <w:name w:val="Note Bullet"/>
    <w:basedOn w:val="Note"/>
    <w:rsid w:val="007B299B"/>
    <w:pPr>
      <w:tabs>
        <w:tab w:val="clear" w:pos="680"/>
      </w:tabs>
      <w:spacing w:before="60" w:after="60"/>
    </w:pPr>
  </w:style>
  <w:style w:type="paragraph" w:customStyle="1" w:styleId="SubHeading2">
    <w:name w:val="SubHeading2"/>
    <w:basedOn w:val="HeadingBase"/>
    <w:rsid w:val="007B299B"/>
    <w:pPr>
      <w:spacing w:before="240" w:after="60"/>
    </w:pPr>
    <w:rPr>
      <w:sz w:val="20"/>
    </w:rPr>
  </w:style>
  <w:style w:type="paragraph" w:customStyle="1" w:styleId="SubHeading1">
    <w:name w:val="SubHeading1"/>
    <w:basedOn w:val="HeadingBase"/>
    <w:rsid w:val="007B299B"/>
    <w:pPr>
      <w:spacing w:before="240" w:after="60"/>
    </w:pPr>
    <w:rPr>
      <w:color w:val="918585"/>
      <w:sz w:val="22"/>
    </w:rPr>
  </w:style>
  <w:style w:type="paragraph" w:customStyle="1" w:styleId="SideHeading">
    <w:name w:val="Side Heading"/>
    <w:basedOn w:val="HeadingBase"/>
    <w:rsid w:val="007B29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99B"/>
    <w:pPr>
      <w:numPr>
        <w:numId w:val="12"/>
      </w:numPr>
    </w:pPr>
  </w:style>
  <w:style w:type="paragraph" w:styleId="PlainText">
    <w:name w:val="Plain Text"/>
    <w:basedOn w:val="Normal"/>
    <w:link w:val="PlainTextChar"/>
    <w:rsid w:val="007B299B"/>
    <w:rPr>
      <w:sz w:val="20"/>
    </w:rPr>
  </w:style>
  <w:style w:type="character" w:customStyle="1" w:styleId="PlainTextChar">
    <w:name w:val="Plain Text Char"/>
    <w:basedOn w:val="DefaultParagraphFont"/>
    <w:link w:val="PlainText"/>
    <w:rsid w:val="007B299B"/>
    <w:rPr>
      <w:rFonts w:ascii="Courier New" w:eastAsia="Times New Roman" w:hAnsi="Courier New" w:cs="Times New Roman"/>
      <w:sz w:val="20"/>
      <w:szCs w:val="20"/>
      <w:lang w:eastAsia="en-US"/>
    </w:rPr>
  </w:style>
  <w:style w:type="character" w:customStyle="1" w:styleId="MenuOption">
    <w:name w:val="Menu Option"/>
    <w:basedOn w:val="DefaultParagraphFont"/>
    <w:rsid w:val="007B299B"/>
    <w:rPr>
      <w:b/>
      <w:smallCaps/>
    </w:rPr>
  </w:style>
  <w:style w:type="paragraph" w:customStyle="1" w:styleId="TableListNumber">
    <w:name w:val="Table List Number"/>
    <w:basedOn w:val="ListNumber"/>
    <w:rsid w:val="007B299B"/>
    <w:pPr>
      <w:numPr>
        <w:numId w:val="0"/>
      </w:numPr>
    </w:pPr>
  </w:style>
  <w:style w:type="paragraph" w:styleId="TOC4">
    <w:name w:val="toc 4"/>
    <w:basedOn w:val="TOCBase"/>
    <w:next w:val="Normal"/>
    <w:semiHidden/>
    <w:rsid w:val="007B299B"/>
    <w:pPr>
      <w:tabs>
        <w:tab w:val="right" w:leader="dot" w:pos="9071"/>
      </w:tabs>
      <w:ind w:left="1701"/>
    </w:pPr>
  </w:style>
  <w:style w:type="paragraph" w:customStyle="1" w:styleId="ListAlpha">
    <w:name w:val="List Alpha"/>
    <w:basedOn w:val="List"/>
    <w:rsid w:val="007B299B"/>
    <w:pPr>
      <w:numPr>
        <w:numId w:val="9"/>
      </w:numPr>
    </w:pPr>
  </w:style>
  <w:style w:type="paragraph" w:customStyle="1" w:styleId="ListAlpha2">
    <w:name w:val="List Alpha 2"/>
    <w:basedOn w:val="List2"/>
    <w:rsid w:val="007B299B"/>
    <w:pPr>
      <w:numPr>
        <w:numId w:val="8"/>
      </w:numPr>
    </w:pPr>
  </w:style>
  <w:style w:type="paragraph" w:styleId="List2">
    <w:name w:val="List 2"/>
    <w:basedOn w:val="BodyText"/>
    <w:rsid w:val="007B299B"/>
    <w:pPr>
      <w:tabs>
        <w:tab w:val="left" w:pos="680"/>
      </w:tabs>
      <w:spacing w:before="60" w:after="60"/>
      <w:ind w:left="680" w:hanging="340"/>
    </w:pPr>
  </w:style>
  <w:style w:type="paragraph" w:styleId="List3">
    <w:name w:val="List 3"/>
    <w:basedOn w:val="BodyText"/>
    <w:rsid w:val="007B299B"/>
    <w:pPr>
      <w:tabs>
        <w:tab w:val="left" w:pos="1021"/>
      </w:tabs>
      <w:spacing w:before="60" w:after="60"/>
      <w:ind w:left="1020" w:hanging="340"/>
    </w:pPr>
  </w:style>
  <w:style w:type="paragraph" w:styleId="List4">
    <w:name w:val="List 4"/>
    <w:basedOn w:val="BodyText"/>
    <w:rsid w:val="007B299B"/>
    <w:pPr>
      <w:tabs>
        <w:tab w:val="left" w:pos="1361"/>
      </w:tabs>
      <w:spacing w:before="60" w:after="60"/>
      <w:ind w:left="1361" w:hanging="340"/>
    </w:pPr>
  </w:style>
  <w:style w:type="paragraph" w:styleId="List5">
    <w:name w:val="List 5"/>
    <w:basedOn w:val="BodyText"/>
    <w:rsid w:val="007B299B"/>
    <w:pPr>
      <w:tabs>
        <w:tab w:val="left" w:pos="1701"/>
      </w:tabs>
      <w:spacing w:before="60" w:after="60"/>
      <w:ind w:left="1701" w:hanging="340"/>
    </w:pPr>
  </w:style>
  <w:style w:type="paragraph" w:styleId="ListBullet3">
    <w:name w:val="List Bullet 3"/>
    <w:basedOn w:val="List3"/>
    <w:rsid w:val="007B299B"/>
    <w:pPr>
      <w:numPr>
        <w:numId w:val="15"/>
      </w:numPr>
      <w:tabs>
        <w:tab w:val="clear" w:pos="1021"/>
      </w:tabs>
      <w:ind w:left="1037" w:hanging="357"/>
    </w:pPr>
  </w:style>
  <w:style w:type="paragraph" w:styleId="ListBullet4">
    <w:name w:val="List Bullet 4"/>
    <w:basedOn w:val="List4"/>
    <w:rsid w:val="007B299B"/>
    <w:pPr>
      <w:numPr>
        <w:numId w:val="3"/>
      </w:numPr>
    </w:pPr>
  </w:style>
  <w:style w:type="paragraph" w:styleId="ListBullet5">
    <w:name w:val="List Bullet 5"/>
    <w:basedOn w:val="List5"/>
    <w:rsid w:val="007B299B"/>
    <w:pPr>
      <w:numPr>
        <w:numId w:val="4"/>
      </w:numPr>
    </w:pPr>
  </w:style>
  <w:style w:type="paragraph" w:styleId="ListContinue2">
    <w:name w:val="List Continue 2"/>
    <w:basedOn w:val="List2"/>
    <w:rsid w:val="007B299B"/>
    <w:pPr>
      <w:ind w:firstLine="0"/>
    </w:pPr>
  </w:style>
  <w:style w:type="paragraph" w:styleId="ListContinue3">
    <w:name w:val="List Continue 3"/>
    <w:basedOn w:val="List3"/>
    <w:rsid w:val="007B299B"/>
    <w:pPr>
      <w:ind w:left="1021" w:firstLine="0"/>
    </w:pPr>
  </w:style>
  <w:style w:type="paragraph" w:styleId="ListContinue4">
    <w:name w:val="List Continue 4"/>
    <w:basedOn w:val="List4"/>
    <w:rsid w:val="007B299B"/>
    <w:pPr>
      <w:ind w:firstLine="0"/>
    </w:pPr>
  </w:style>
  <w:style w:type="paragraph" w:styleId="ListContinue5">
    <w:name w:val="List Continue 5"/>
    <w:basedOn w:val="List5"/>
    <w:rsid w:val="007B299B"/>
    <w:pPr>
      <w:ind w:firstLine="0"/>
    </w:pPr>
  </w:style>
  <w:style w:type="paragraph" w:styleId="ListNumber3">
    <w:name w:val="List Number 3"/>
    <w:basedOn w:val="List3"/>
    <w:rsid w:val="007B299B"/>
    <w:pPr>
      <w:numPr>
        <w:numId w:val="5"/>
      </w:numPr>
    </w:pPr>
  </w:style>
  <w:style w:type="paragraph" w:styleId="ListNumber4">
    <w:name w:val="List Number 4"/>
    <w:basedOn w:val="List4"/>
    <w:rsid w:val="007B299B"/>
    <w:pPr>
      <w:numPr>
        <w:numId w:val="6"/>
      </w:numPr>
    </w:pPr>
  </w:style>
  <w:style w:type="paragraph" w:styleId="ListNumber5">
    <w:name w:val="List Number 5"/>
    <w:basedOn w:val="List5"/>
    <w:rsid w:val="007B299B"/>
    <w:pPr>
      <w:numPr>
        <w:numId w:val="7"/>
      </w:numPr>
    </w:pPr>
  </w:style>
  <w:style w:type="paragraph" w:styleId="BlockText">
    <w:name w:val="Block Text"/>
    <w:basedOn w:val="Normal"/>
    <w:rsid w:val="007B299B"/>
    <w:pPr>
      <w:spacing w:after="120"/>
      <w:ind w:left="1440" w:right="1440"/>
    </w:pPr>
  </w:style>
  <w:style w:type="character" w:customStyle="1" w:styleId="Subscript">
    <w:name w:val="Subscript"/>
    <w:basedOn w:val="DefaultParagraphFont"/>
    <w:rsid w:val="007B299B"/>
    <w:rPr>
      <w:sz w:val="16"/>
      <w:vertAlign w:val="subscript"/>
    </w:rPr>
  </w:style>
  <w:style w:type="character" w:customStyle="1" w:styleId="Superscript">
    <w:name w:val="Superscript"/>
    <w:basedOn w:val="DefaultParagraphFont"/>
    <w:rsid w:val="007B299B"/>
    <w:rPr>
      <w:sz w:val="16"/>
      <w:vertAlign w:val="superscript"/>
    </w:rPr>
  </w:style>
  <w:style w:type="character" w:customStyle="1" w:styleId="Symbols">
    <w:name w:val="Symbols"/>
    <w:basedOn w:val="DefaultParagraphFont"/>
    <w:rsid w:val="007B299B"/>
    <w:rPr>
      <w:rFonts w:ascii="Symbol" w:hAnsi="Symbol"/>
    </w:rPr>
  </w:style>
  <w:style w:type="character" w:customStyle="1" w:styleId="MenuOptions">
    <w:name w:val="Menu Options"/>
    <w:basedOn w:val="DefaultParagraphFont"/>
    <w:rsid w:val="007B299B"/>
    <w:rPr>
      <w:rFonts w:ascii="Arial Narrow" w:hAnsi="Arial Narrow"/>
      <w:smallCaps/>
    </w:rPr>
  </w:style>
  <w:style w:type="character" w:customStyle="1" w:styleId="Buttons">
    <w:name w:val="Buttons"/>
    <w:basedOn w:val="DefaultParagraphFont"/>
    <w:rsid w:val="007B299B"/>
    <w:rPr>
      <w:b/>
    </w:rPr>
  </w:style>
  <w:style w:type="character" w:customStyle="1" w:styleId="Underlined">
    <w:name w:val="Underlined"/>
    <w:basedOn w:val="DefaultParagraphFont"/>
    <w:rsid w:val="007B299B"/>
    <w:rPr>
      <w:u w:val="single"/>
    </w:rPr>
  </w:style>
  <w:style w:type="paragraph" w:customStyle="1" w:styleId="TableBodyTextRight">
    <w:name w:val="Table Body Text Right"/>
    <w:basedOn w:val="TableBodyText"/>
    <w:rsid w:val="007B299B"/>
    <w:pPr>
      <w:widowControl w:val="0"/>
      <w:autoSpaceDE w:val="0"/>
      <w:autoSpaceDN w:val="0"/>
      <w:adjustRightInd w:val="0"/>
      <w:jc w:val="right"/>
    </w:pPr>
    <w:rPr>
      <w:rFonts w:cs="Arial"/>
      <w:szCs w:val="18"/>
    </w:rPr>
  </w:style>
  <w:style w:type="paragraph" w:customStyle="1" w:styleId="CopyrightText">
    <w:name w:val="Copyright Text"/>
    <w:basedOn w:val="BodyText"/>
    <w:rsid w:val="007B299B"/>
    <w:rPr>
      <w:sz w:val="18"/>
    </w:rPr>
  </w:style>
  <w:style w:type="paragraph" w:customStyle="1" w:styleId="BodySmallRight">
    <w:name w:val="Body Small Right"/>
    <w:basedOn w:val="BodyTextRight"/>
    <w:rsid w:val="007B299B"/>
    <w:rPr>
      <w:sz w:val="18"/>
      <w:szCs w:val="18"/>
    </w:rPr>
  </w:style>
  <w:style w:type="paragraph" w:customStyle="1" w:styleId="MarginEdition">
    <w:name w:val="Margin Edition"/>
    <w:basedOn w:val="MarginNote"/>
    <w:rsid w:val="007B299B"/>
    <w:pPr>
      <w:spacing w:before="0" w:after="0"/>
    </w:pPr>
    <w:rPr>
      <w:rFonts w:ascii="Times New Roman" w:hAnsi="Times New Roman"/>
      <w:color w:val="999999"/>
    </w:rPr>
  </w:style>
  <w:style w:type="paragraph" w:customStyle="1" w:styleId="Spacer">
    <w:name w:val="Spacer"/>
    <w:basedOn w:val="Normal"/>
    <w:rsid w:val="007B299B"/>
    <w:rPr>
      <w:sz w:val="2"/>
      <w:szCs w:val="2"/>
    </w:rPr>
  </w:style>
  <w:style w:type="character" w:customStyle="1" w:styleId="Small">
    <w:name w:val="Small"/>
    <w:basedOn w:val="DefaultParagraphFont"/>
    <w:rsid w:val="007B299B"/>
    <w:rPr>
      <w:sz w:val="16"/>
    </w:rPr>
  </w:style>
  <w:style w:type="paragraph" w:customStyle="1" w:styleId="WideTable">
    <w:name w:val="Wide Table"/>
    <w:basedOn w:val="Normal"/>
    <w:rsid w:val="007B299B"/>
    <w:pPr>
      <w:ind w:left="-1418"/>
    </w:pPr>
    <w:rPr>
      <w:sz w:val="2"/>
      <w:szCs w:val="2"/>
    </w:rPr>
  </w:style>
  <w:style w:type="character" w:styleId="PageNumber">
    <w:name w:val="page number"/>
    <w:basedOn w:val="DefaultParagraphFont"/>
    <w:rsid w:val="007B299B"/>
  </w:style>
  <w:style w:type="paragraph" w:styleId="Quote">
    <w:name w:val="Quote"/>
    <w:basedOn w:val="Heading1"/>
    <w:link w:val="QuoteChar"/>
    <w:qFormat/>
    <w:rsid w:val="007B299B"/>
    <w:rPr>
      <w:b w:val="0"/>
      <w:sz w:val="72"/>
      <w:szCs w:val="72"/>
      <w:lang w:val="en-NZ"/>
    </w:rPr>
  </w:style>
  <w:style w:type="character" w:customStyle="1" w:styleId="QuoteChar">
    <w:name w:val="Quote Char"/>
    <w:basedOn w:val="DefaultParagraphFont"/>
    <w:link w:val="Quote"/>
    <w:rsid w:val="007B29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99B"/>
    <w:pPr>
      <w:pageBreakBefore/>
    </w:pPr>
  </w:style>
  <w:style w:type="paragraph" w:customStyle="1" w:styleId="Border">
    <w:name w:val="Border"/>
    <w:basedOn w:val="Normal"/>
    <w:qFormat/>
    <w:rsid w:val="007B29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99B"/>
    <w:rPr>
      <w:b/>
      <w:bCs/>
      <w:i/>
      <w:iCs/>
      <w:color w:val="auto"/>
    </w:rPr>
  </w:style>
  <w:style w:type="paragraph" w:styleId="IntenseQuote">
    <w:name w:val="Intense Quote"/>
    <w:basedOn w:val="Normal"/>
    <w:next w:val="Normal"/>
    <w:link w:val="IntenseQuoteChar"/>
    <w:uiPriority w:val="30"/>
    <w:qFormat/>
    <w:rsid w:val="007B29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9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99B"/>
    <w:rPr>
      <w:smallCaps/>
      <w:color w:val="auto"/>
      <w:u w:val="single"/>
    </w:rPr>
  </w:style>
  <w:style w:type="character" w:styleId="IntenseReference">
    <w:name w:val="Intense Reference"/>
    <w:basedOn w:val="DefaultParagraphFont"/>
    <w:uiPriority w:val="32"/>
    <w:qFormat/>
    <w:rsid w:val="007B299B"/>
    <w:rPr>
      <w:b/>
      <w:bCs/>
      <w:smallCaps/>
      <w:color w:val="auto"/>
      <w:spacing w:val="5"/>
      <w:u w:val="single"/>
    </w:rPr>
  </w:style>
  <w:style w:type="paragraph" w:customStyle="1" w:styleId="2ColumnHeading">
    <w:name w:val="2Column Heading"/>
    <w:basedOn w:val="BodyText"/>
    <w:qFormat/>
    <w:rsid w:val="007B299B"/>
    <w:pPr>
      <w:spacing w:after="60"/>
      <w:ind w:left="-2268"/>
    </w:pPr>
    <w:rPr>
      <w:b/>
    </w:rPr>
  </w:style>
  <w:style w:type="paragraph" w:customStyle="1" w:styleId="Heading1TOC">
    <w:name w:val="Heading1 TOC"/>
    <w:basedOn w:val="Normal"/>
    <w:qFormat/>
    <w:rsid w:val="007B299B"/>
    <w:pPr>
      <w:spacing w:before="240" w:after="120"/>
    </w:pPr>
    <w:rPr>
      <w:rFonts w:ascii="Times New Roman" w:hAnsi="Times New Roman"/>
      <w:b/>
      <w:sz w:val="32"/>
    </w:rPr>
  </w:style>
  <w:style w:type="paragraph" w:customStyle="1" w:styleId="Heading2TOC">
    <w:name w:val="Heading2 TOC"/>
    <w:basedOn w:val="Normal"/>
    <w:qFormat/>
    <w:rsid w:val="007B299B"/>
    <w:pPr>
      <w:spacing w:before="240" w:after="60"/>
    </w:pPr>
    <w:rPr>
      <w:rFonts w:ascii="Times New Roman" w:hAnsi="Times New Roman"/>
      <w:b/>
      <w:sz w:val="28"/>
    </w:rPr>
  </w:style>
  <w:style w:type="character" w:customStyle="1" w:styleId="Underline">
    <w:name w:val="Underline"/>
    <w:basedOn w:val="DefaultParagraphFont"/>
    <w:qFormat/>
    <w:rsid w:val="007B299B"/>
    <w:rPr>
      <w:u w:val="single"/>
    </w:rPr>
  </w:style>
  <w:style w:type="character" w:customStyle="1" w:styleId="BoldandItalics">
    <w:name w:val="Bold and Italics"/>
    <w:qFormat/>
    <w:rsid w:val="007B299B"/>
    <w:rPr>
      <w:b/>
      <w:i/>
      <w:u w:val="none"/>
    </w:rPr>
  </w:style>
  <w:style w:type="paragraph" w:styleId="BalloonText">
    <w:name w:val="Balloon Text"/>
    <w:basedOn w:val="Normal"/>
    <w:link w:val="BalloonTextChar"/>
    <w:rsid w:val="007B299B"/>
    <w:rPr>
      <w:rFonts w:ascii="Tahoma" w:hAnsi="Tahoma" w:cs="Tahoma"/>
      <w:sz w:val="16"/>
      <w:szCs w:val="16"/>
    </w:rPr>
  </w:style>
  <w:style w:type="character" w:customStyle="1" w:styleId="BalloonTextChar">
    <w:name w:val="Balloon Text Char"/>
    <w:basedOn w:val="DefaultParagraphFont"/>
    <w:link w:val="BalloonText"/>
    <w:rsid w:val="007B29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9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29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99B"/>
    <w:rPr>
      <w:b/>
      <w:color w:val="660033"/>
      <w:spacing w:val="0"/>
    </w:rPr>
  </w:style>
  <w:style w:type="paragraph" w:customStyle="1" w:styleId="Nameditemlist">
    <w:name w:val="Named item list"/>
    <w:basedOn w:val="BodyText"/>
    <w:qFormat/>
    <w:rsid w:val="007B29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2348</Words>
  <Characters>15007</Characters>
  <Application>Microsoft Office Word</Application>
  <DocSecurity>0</DocSecurity>
  <Lines>606</Lines>
  <Paragraphs>241</Paragraphs>
  <ScaleCrop>false</ScaleCrop>
  <Company>Author-it Software Corporation Ltd.</Company>
  <LinksUpToDate>false</LinksUpToDate>
  <CharactersWithSpaces>17163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UETTDRTS02B Commission network protection and control systems (interdependent)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2012-10-01T04:40:00Z</dcterms:created>
  <dcterms:modified xsi:type="dcterms:W3CDTF">2012-10-01T04:40:00Z</dcterms:modified>
</cp:coreProperties>
</file>