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17B" w:rsidP="0023117B">
      <w:pPr>
        <w:pStyle w:val="Title"/>
      </w:pPr>
      <w:bookmarkStart w:id="0" w:name="_GoBack"/>
      <w:bookmarkEnd w:id="0"/>
      <w:r>
        <w:fldChar w:fldCharType="begin"/>
      </w:r>
      <w:r>
        <w:instrText xml:space="preserve"> TITLE   \* MERGEFORMAT </w:instrText>
      </w:r>
      <w:r>
        <w:fldChar w:fldCharType="separate"/>
      </w:r>
      <w:r>
        <w:t>UETTDRTS01B Maintain network protection and control systems (interdependent)</w:t>
      </w:r>
      <w:r>
        <w:fldChar w:fldCharType="end"/>
      </w:r>
    </w:p>
    <w:p w:rsidR="0023117B" w:rsidP="0023117B">
      <w:pPr>
        <w:pStyle w:val="Version"/>
        <w:sectPr w:rsidSect="000D28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824" w:rsidP="000D2824">
      <w:pPr>
        <w:pStyle w:val="SuperHeading"/>
      </w:pPr>
      <w:r w:rsidRPr="000D2824">
        <w:t>UETTDRTS01B Maintain network protection and control systems (interdependent)</w:t>
      </w:r>
    </w:p>
    <w:p w:rsidR="00000000" w:rsidRPr="000D2824" w:rsidP="000D2824">
      <w:pPr>
        <w:pStyle w:val="Heading1"/>
      </w:pPr>
      <w:bookmarkStart w:id="1" w:name="O_275571"/>
      <w:bookmarkEnd w:id="1"/>
      <w:r w:rsidRPr="000D2824">
        <w:t>Modification History</w:t>
      </w:r>
    </w:p>
    <w:p w:rsidR="00000000" w:rsidRPr="000D2824" w:rsidP="000D2824">
      <w:pPr>
        <w:pStyle w:val="BodyText"/>
      </w:pPr>
      <w:r w:rsidRPr="000D2824">
        <w:t>Not Applicable</w:t>
      </w:r>
    </w:p>
    <w:p w:rsidR="00000000" w:rsidRPr="000D2824" w:rsidP="000D2824">
      <w:pPr>
        <w:pStyle w:val="AllowPageBreak"/>
      </w:pPr>
    </w:p>
    <w:p w:rsidR="00000000" w:rsidRPr="000D2824" w:rsidP="000D2824">
      <w:pPr>
        <w:pStyle w:val="Heading1"/>
      </w:pPr>
      <w:bookmarkStart w:id="2" w:name="O_232145"/>
      <w:bookmarkEnd w:id="2"/>
      <w:r w:rsidRPr="000D2824">
        <w:t>Unit Descriptor</w:t>
      </w:r>
    </w:p>
    <w:tbl>
      <w:tblPr>
        <w:tblW w:w="0" w:type="auto"/>
        <w:tblLayout w:type="fixed"/>
        <w:tblCellMar>
          <w:left w:w="62" w:type="dxa"/>
          <w:right w:w="62" w:type="dxa"/>
        </w:tblCellMar>
        <w:tblLook w:val="0000"/>
      </w:tblPr>
      <w:tblGrid>
        <w:gridCol w:w="2700"/>
        <w:gridCol w:w="5940"/>
      </w:tblGrid>
      <w:tr w:rsidTr="002311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1</w:t>
            </w:r>
            <w:r w:rsidRPr="000D2824">
              <w:t xml:space="preserve">) </w:t>
            </w:r>
          </w:p>
          <w:p w:rsidR="00000000" w:rsidP="000D2824">
            <w:pPr>
              <w:pStyle w:val="BodyText"/>
              <w:rPr>
                <w:lang w:val="en-NZ"/>
              </w:rPr>
            </w:pPr>
            <w:r w:rsidRPr="000D2824">
              <w:rPr>
                <w:rStyle w:val="SpecialBold"/>
              </w:rPr>
              <w:t>1</w:t>
            </w:r>
            <w:r w:rsidRPr="000D2824">
              <w:t>.</w:t>
            </w:r>
            <w:r w:rsidRPr="000D2824">
              <w:rPr>
                <w:rStyle w:val="SpecialBold"/>
              </w:rPr>
              <w:t>1</w:t>
            </w:r>
            <w:r w:rsidRPr="000D2824">
              <w:t xml:space="preserve">) </w:t>
            </w:r>
            <w:r w:rsidRPr="000D2824">
              <w:rPr>
                <w:rStyle w:val="SpecialBold"/>
              </w:rPr>
              <w:t>Descriptor</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t>This Competency Standard Unit covers the maintenance of network protection and control in interdependent situations and includes isolation, inspection, monitoring, testing, adjustment, and repair, refurbishment and or overhaul and functional checks of inte</w:t>
            </w:r>
            <w:r w:rsidRPr="000D2824">
              <w:t>rdependent network protection and control systems. It includes the requirements to prove the functionality of interdependent and discrete schemes such as, CB Fail, master controlled Earth Fault, inter-tripping, blocking, synchronising, pilot wire, phase co</w:t>
            </w:r>
            <w:r w:rsidRPr="000D2824">
              <w:t>mparison, load shedding, voltage control, parallel operation and load rejection.</w:t>
            </w:r>
          </w:p>
        </w:tc>
      </w:tr>
    </w:tbl>
    <w:p w:rsidR="0023117B" w:rsidP="000D2824">
      <w:pPr>
        <w:pStyle w:val="BodyText"/>
      </w:pPr>
    </w:p>
    <w:p w:rsidR="0023117B" w:rsidP="000D2824">
      <w:pPr>
        <w:pStyle w:val="BodyText"/>
      </w:pPr>
    </w:p>
    <w:p w:rsidR="00000000" w:rsidRPr="000D2824" w:rsidP="000D2824">
      <w:pPr>
        <w:pStyle w:val="Heading1"/>
      </w:pPr>
      <w:bookmarkStart w:id="3" w:name="O_232150"/>
      <w:bookmarkEnd w:id="3"/>
      <w:r w:rsidRPr="000D2824">
        <w:t>Application of the Unit</w:t>
      </w:r>
    </w:p>
    <w:tbl>
      <w:tblPr>
        <w:tblW w:w="0" w:type="auto"/>
        <w:tblLayout w:type="fixed"/>
        <w:tblCellMar>
          <w:left w:w="62" w:type="dxa"/>
          <w:right w:w="62" w:type="dxa"/>
        </w:tblCellMar>
        <w:tblLook w:val="0000"/>
      </w:tblPr>
      <w:tblGrid>
        <w:gridCol w:w="2700"/>
        <w:gridCol w:w="5940"/>
      </w:tblGrid>
      <w:tr w:rsidTr="002311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rPr>
                <w:rStyle w:val="SpecialBold"/>
              </w:rPr>
              <w:t>4</w:t>
            </w:r>
            <w:r w:rsidRPr="000D2824">
              <w:t>)</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t>This competency standards unit is intended to apply to any recognised development program that leads t</w:t>
            </w:r>
            <w:r w:rsidRPr="000D2824">
              <w:t>o the acquisition of a formal award at AQF level 5 or higher.</w:t>
            </w:r>
          </w:p>
        </w:tc>
      </w:tr>
    </w:tbl>
    <w:p w:rsidR="0023117B" w:rsidP="000D2824">
      <w:pPr>
        <w:pStyle w:val="BodyText"/>
      </w:pPr>
    </w:p>
    <w:p w:rsidR="0023117B" w:rsidP="000D2824">
      <w:pPr>
        <w:pStyle w:val="BodyText"/>
      </w:pPr>
    </w:p>
    <w:p w:rsidR="00000000" w:rsidRPr="000D2824" w:rsidP="000D2824">
      <w:pPr>
        <w:pStyle w:val="Heading1"/>
      </w:pPr>
      <w:bookmarkStart w:id="4" w:name="O_232146"/>
      <w:bookmarkEnd w:id="4"/>
      <w:r w:rsidRPr="000D2824">
        <w:t>Licensing/Regulatory Information</w:t>
      </w:r>
    </w:p>
    <w:tbl>
      <w:tblPr>
        <w:tblW w:w="0" w:type="auto"/>
        <w:tblLayout w:type="fixed"/>
        <w:tblCellMar>
          <w:left w:w="62" w:type="dxa"/>
          <w:right w:w="62" w:type="dxa"/>
        </w:tblCellMar>
        <w:tblLook w:val="0000"/>
      </w:tblPr>
      <w:tblGrid>
        <w:gridCol w:w="8640"/>
      </w:tblGrid>
      <w:tr w:rsidTr="0023117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rPr>
                <w:rStyle w:val="SpecialBold"/>
              </w:rPr>
              <w:t>1</w:t>
            </w:r>
            <w:r w:rsidRPr="000D2824">
              <w:t>.</w:t>
            </w:r>
            <w:r w:rsidRPr="000D2824">
              <w:rPr>
                <w:rStyle w:val="SpecialBold"/>
              </w:rPr>
              <w:t>2</w:t>
            </w:r>
            <w:r w:rsidRPr="000D2824">
              <w:t xml:space="preserve">) </w:t>
            </w:r>
            <w:r w:rsidRPr="000D2824">
              <w:rPr>
                <w:rStyle w:val="SpecialBold"/>
              </w:rPr>
              <w:t>License to practice</w:t>
            </w:r>
          </w:p>
        </w:tc>
      </w:tr>
      <w:tr w:rsidTr="002311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t>The skills and knowledge described in this unit may require a licence/registration to practice in the work place subject to regulations for undertaking of electrical work. Practice in workplace and during training is also subject to regulations directly re</w:t>
            </w:r>
            <w:r w:rsidRPr="000D2824">
              <w:t>lated to Occupational Health and Safety, electricity/telecommunications/gas/water industry safety and compliance, industrial relations, environmental protection, anti discrimination and training. Commonwealth, State/Territory or Local Government legislatio</w:t>
            </w:r>
            <w:r w:rsidRPr="000D2824">
              <w:t>n and regulations may exist that limits the age of operating certain equipment.</w:t>
            </w:r>
          </w:p>
        </w:tc>
      </w:tr>
    </w:tbl>
    <w:p w:rsidR="0023117B" w:rsidP="000D2824">
      <w:pPr>
        <w:pStyle w:val="BodyText"/>
      </w:pPr>
    </w:p>
    <w:p w:rsidR="0023117B" w:rsidP="000D2824">
      <w:pPr>
        <w:pStyle w:val="BodyText"/>
      </w:pPr>
    </w:p>
    <w:p w:rsidR="00000000" w:rsidRPr="000D2824" w:rsidP="000D2824">
      <w:pPr>
        <w:pStyle w:val="Heading1"/>
      </w:pPr>
      <w:bookmarkStart w:id="5" w:name="O_232147"/>
      <w:bookmarkEnd w:id="5"/>
      <w:r w:rsidRPr="000D2824">
        <w:t>Pre-Requisites</w:t>
      </w:r>
    </w:p>
    <w:tbl>
      <w:tblPr>
        <w:tblW w:w="0" w:type="auto"/>
        <w:tblLayout w:type="fixed"/>
        <w:tblCellMar>
          <w:left w:w="62" w:type="dxa"/>
          <w:right w:w="62" w:type="dxa"/>
        </w:tblCellMar>
        <w:tblLook w:val="0000"/>
      </w:tblPr>
      <w:tblGrid>
        <w:gridCol w:w="2700"/>
        <w:gridCol w:w="720"/>
        <w:gridCol w:w="1980"/>
        <w:gridCol w:w="3240"/>
      </w:tblGrid>
      <w:tr w:rsidTr="002311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Prerequisite Unit</w:t>
            </w:r>
            <w:r w:rsidRPr="000D2824">
              <w:t>(</w:t>
            </w:r>
            <w:r w:rsidRPr="000D2824">
              <w:rPr>
                <w:rStyle w:val="SpecialBold"/>
              </w:rPr>
              <w:t>s</w:t>
            </w:r>
            <w:r w:rsidRPr="000D2824">
              <w:t>)</w:t>
            </w:r>
          </w:p>
        </w:tc>
        <w:tc>
          <w:tcPr>
            <w:tcW w:w="5940" w:type="dxa"/>
            <w:gridSpan w:val="3"/>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rPr>
                <w:rStyle w:val="SpecialBold"/>
              </w:rPr>
              <w:t>2</w:t>
            </w:r>
            <w:r w:rsidRPr="000D2824">
              <w:t xml:space="preserve">) </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D2824">
            <w:pPr>
              <w:pStyle w:val="BodyText"/>
              <w:keepNext w:val="0"/>
              <w:keepLines w:val="0"/>
              <w:contextualSpacing w:val="0"/>
            </w:pPr>
          </w:p>
        </w:tc>
        <w:tc>
          <w:tcPr>
            <w:tcW w:w="5940" w:type="dxa"/>
            <w:gridSpan w:val="3"/>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rPr>
                <w:rStyle w:val="SpecialBold"/>
              </w:rPr>
              <w:t>2</w:t>
            </w:r>
            <w:r w:rsidRPr="000D2824">
              <w:t>.</w:t>
            </w:r>
            <w:r w:rsidRPr="000D2824">
              <w:rPr>
                <w:rStyle w:val="SpecialBold"/>
              </w:rPr>
              <w:t>1</w:t>
            </w:r>
            <w:r w:rsidRPr="000D2824">
              <w:t xml:space="preserve">) </w:t>
            </w:r>
            <w:r w:rsidRPr="000D2824">
              <w:rPr>
                <w:rStyle w:val="SpecialBold"/>
              </w:rPr>
              <w:t>Competencies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 xml:space="preserve">Granting of competency in this unit shall be </w:t>
            </w:r>
            <w:r w:rsidRPr="000D2824">
              <w:t>made only after competency in the following unit(s) has/have been confirmed:.</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UETTDRTS09B</w:t>
            </w:r>
          </w:p>
        </w:tc>
        <w:tc>
          <w:tcPr>
            <w:tcW w:w="32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Develop secondary isolation instructional documents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t>For the full prerequisite chain details for this unit please refer to Table 3 in Volume 1, Part 2</w:t>
            </w:r>
          </w:p>
        </w:tc>
      </w:tr>
    </w:tbl>
    <w:p w:rsidR="0023117B" w:rsidP="000D2824">
      <w:pPr>
        <w:pStyle w:val="BodyText"/>
      </w:pPr>
    </w:p>
    <w:p w:rsidR="0023117B" w:rsidP="000D2824">
      <w:pPr>
        <w:pStyle w:val="BodyText"/>
      </w:pPr>
    </w:p>
    <w:p w:rsidR="00000000" w:rsidRPr="000D2824" w:rsidP="000D2824">
      <w:pPr>
        <w:pStyle w:val="Heading1"/>
      </w:pPr>
      <w:bookmarkStart w:id="6" w:name="O_232149"/>
      <w:bookmarkEnd w:id="6"/>
      <w:r w:rsidRPr="000D2824">
        <w:t>Employability Skills Information</w:t>
      </w:r>
    </w:p>
    <w:tbl>
      <w:tblPr>
        <w:tblW w:w="0" w:type="auto"/>
        <w:tblLayout w:type="fixed"/>
        <w:tblCellMar>
          <w:left w:w="62" w:type="dxa"/>
          <w:right w:w="62" w:type="dxa"/>
        </w:tblCellMar>
        <w:tblLook w:val="0000"/>
      </w:tblPr>
      <w:tblGrid>
        <w:gridCol w:w="2700"/>
        <w:gridCol w:w="5940"/>
      </w:tblGrid>
      <w:tr w:rsidTr="002311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Employability Skills</w:t>
            </w:r>
          </w:p>
        </w:tc>
        <w:tc>
          <w:tcPr>
            <w:tcW w:w="594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3</w:t>
            </w:r>
            <w:r w:rsidRPr="000D2824">
              <w:t>)</w:t>
            </w:r>
          </w:p>
          <w:p w:rsidR="00000000" w:rsidRPr="000D2824" w:rsidP="000D2824">
            <w:pPr>
              <w:pStyle w:val="BodyText"/>
            </w:pPr>
            <w:r w:rsidRPr="000D2824">
              <w:t xml:space="preserve">The required outcomes described in this unit of competency contain applicable facets of Employability Skills. The Employability Skills Summary of the qualification in which this unit </w:t>
            </w:r>
            <w:r w:rsidRPr="000D2824">
              <w:t>of competency is packaged will assist in identifying Employability Skill requirements.</w:t>
            </w:r>
          </w:p>
        </w:tc>
      </w:tr>
    </w:tbl>
    <w:p w:rsidR="0023117B" w:rsidP="000D2824">
      <w:pPr>
        <w:pStyle w:val="BodyText"/>
      </w:pPr>
    </w:p>
    <w:p w:rsidR="0023117B" w:rsidP="000D2824">
      <w:pPr>
        <w:pStyle w:val="BodyText"/>
      </w:pPr>
    </w:p>
    <w:p w:rsidR="00000000" w:rsidRPr="000D2824" w:rsidP="000D2824">
      <w:pPr>
        <w:pStyle w:val="Heading1"/>
      </w:pPr>
      <w:bookmarkStart w:id="7" w:name="O_293617"/>
      <w:bookmarkEnd w:id="7"/>
      <w:r w:rsidRPr="000D2824">
        <w:t>Elements and Performance Criteria Pre-Content</w:t>
      </w:r>
    </w:p>
    <w:tbl>
      <w:tblPr>
        <w:tblW w:w="0" w:type="auto"/>
        <w:tblLayout w:type="fixed"/>
        <w:tblCellMar>
          <w:left w:w="62" w:type="dxa"/>
          <w:right w:w="62" w:type="dxa"/>
        </w:tblCellMar>
        <w:tblLook w:val="0000"/>
      </w:tblPr>
      <w:tblGrid>
        <w:gridCol w:w="2700"/>
        <w:gridCol w:w="5940"/>
      </w:tblGrid>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rPr>
                <w:rStyle w:val="SpecialBold"/>
              </w:rPr>
              <w:t>6</w:t>
            </w:r>
            <w:r w:rsidRPr="000D2824">
              <w:t xml:space="preserve">) </w:t>
            </w:r>
            <w:r w:rsidRPr="000D2824">
              <w:rPr>
                <w:rStyle w:val="SpecialBold"/>
              </w:rPr>
              <w:t>Elements</w:t>
            </w:r>
            <w:r w:rsidRPr="000D2824">
              <w:t>: 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t>Performance Criteria describe the required performance needed to demonstrate achievement of the element. Assessment of performance is to be consistent with the evidence guide.</w:t>
            </w:r>
          </w:p>
        </w:tc>
      </w:tr>
    </w:tbl>
    <w:p w:rsidR="00000000" w:rsidRPr="000D2824" w:rsidP="000D2824">
      <w:pPr>
        <w:pStyle w:val="BodyText"/>
      </w:pPr>
    </w:p>
    <w:p w:rsidR="00000000" w:rsidRPr="000D2824" w:rsidP="000D2824">
      <w:pPr>
        <w:pStyle w:val="AllowPageBreak"/>
      </w:pPr>
    </w:p>
    <w:p w:rsidR="00000000" w:rsidRPr="000D2824" w:rsidP="000D2824">
      <w:pPr>
        <w:pStyle w:val="Heading1"/>
      </w:pPr>
      <w:bookmarkStart w:id="8" w:name="O_240285"/>
      <w:bookmarkEnd w:id="8"/>
      <w:r w:rsidRPr="000D2824">
        <w:t>Elements and Performance Criteria</w:t>
      </w:r>
    </w:p>
    <w:tbl>
      <w:tblPr>
        <w:tblW w:w="0" w:type="auto"/>
        <w:tblLayout w:type="fixed"/>
        <w:tblCellMar>
          <w:left w:w="62" w:type="dxa"/>
          <w:right w:w="62" w:type="dxa"/>
        </w:tblCellMar>
        <w:tblLook w:val="0000"/>
      </w:tblPr>
      <w:tblGrid>
        <w:gridCol w:w="404"/>
        <w:gridCol w:w="2296"/>
        <w:gridCol w:w="900"/>
        <w:gridCol w:w="5040"/>
      </w:tblGrid>
      <w:tr w:rsidTr="0023117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PERFORMANCE CRITER</w:t>
            </w:r>
            <w:r w:rsidRPr="000D2824">
              <w:t>IA</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1</w:t>
            </w:r>
          </w:p>
        </w:tc>
        <w:tc>
          <w:tcPr>
            <w:tcW w:w="2296"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Plan for the maintenance of network protection and control systems (interdependent)</w:t>
            </w: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1.1</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 xml:space="preserve">OHS practices/procedures and Environmental and sustainable energy procedures, which may influence the maintenance of, network protection and </w:t>
            </w:r>
            <w:r w:rsidRPr="000D2824">
              <w:t>control systems (interdependent) are reviewed and determined.</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1.2</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Purpose of the maintenance of network protection and control systems (interdependent) is established after data is analysed and expected outcomes of the work are confirmed with the approp</w:t>
            </w:r>
            <w:r w:rsidRPr="000D2824">
              <w:t>riate personnel.</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1.3</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Organisational established procedures on policies and specifications for the maintenance of network protection and control systems (interdependent) are obtained or established with the appropriate personnel.</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1.4</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Testing procedures are discussed with/directed to the appropriate personnel in order to ascertain the project brief.</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1.5</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Testing parameters are established from organisational established procedures on policies and specifications.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1.6</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Equipment/tools</w:t>
            </w:r>
            <w:r w:rsidRPr="000D2824">
              <w:t xml:space="preserve"> and personal protective equipment are selected based on specified Performance Criteria and established procedures.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1.7</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Work roles and tasks are allocated according to requirements and individuals' competencies.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1.8</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Work is</w:t>
            </w:r>
            <w:r w:rsidRPr="000D2824">
              <w:t xml:space="preserve"> prioritised and sequenced for the most efficient/effective outcome, completed within an acceptable timeframe to a quality standard and in accordance with established procedures.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1.9</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Liaison and communication issues with other/authorised personnel, auth</w:t>
            </w:r>
            <w:r w:rsidRPr="000D2824">
              <w:t>orities, clients and land owners are resolved and activities coordinated to carry out work.</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1.10</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Risk control measures are identified, prioritised and evaluated against the work schedule.</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1.11</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Relevant work permits are secured to coordinate the perfo</w:t>
            </w:r>
            <w:r w:rsidRPr="000D2824">
              <w:t>rmance of work according to requirements and/or established procedures.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2</w:t>
            </w:r>
          </w:p>
        </w:tc>
        <w:tc>
          <w:tcPr>
            <w:tcW w:w="2296" w:type="dxa"/>
            <w:vMerge w:val="restart"/>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Carry out the maintenance of network protection and control systems (interdependent)</w:t>
            </w: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2.1</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Circuit/systems modelling is used to evaluate alternative proposals as per established procedures.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2.2</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OHS and sustainable energy principles, functionality and practices to reduce the incidents of accidents and minimise waste are incorporated into the p</w:t>
            </w:r>
            <w:r w:rsidRPr="000D2824">
              <w:t>roject in accordance with requirements and/or established procedures.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2.3</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Maintenance of network protection and control systems (interdependent) decisions are made on the basis of safety and effective outcomes according to requirements and/or establishe</w:t>
            </w:r>
            <w:r w:rsidRPr="000D2824">
              <w:t>d procedures.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2.4</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Mathematical and/or engineering models of the scheme are used to analyse the effectiveness of the finished project as per requirements and established procedures.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2.5</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Technical advice is given regarding potential hazards, safety risks and control measures so that monitoring and preventative action can be undertaken and/or appropriate authorities consulted, where necessary, in accordance with requirements and established</w:t>
            </w:r>
            <w:r w:rsidRPr="000D2824">
              <w:t xml:space="preserve"> procedures.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2.6</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Essential knowledge and associated skills are applied to analyse specific data and compare it with compliance specifications to ensure completion of the project within an agreed timeframe according to requirements.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2.7</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Testing of net</w:t>
            </w:r>
            <w:r w:rsidRPr="000D2824">
              <w:t>work protection and control systems (interdependent) is undertaken according to requirements and established procedures.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2.8</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Work teams/groups are arranged/coordinated/evaluated to ensure planned goals are met according to established procedures.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2.9</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Solutions to non-routine problems are identified and actioned, using acquired essential knowledge and associated skills, according to requirements.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2.10</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Quality of work is monitored against personal performance agreement and/or established organisation</w:t>
            </w:r>
            <w:r w:rsidRPr="000D2824">
              <w:t>al and professional standards.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2.11</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Strategic plans are developed incorporating organisation initiatives as per established procedures.</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3</w:t>
            </w:r>
          </w:p>
        </w:tc>
        <w:tc>
          <w:tcPr>
            <w:tcW w:w="2296"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Complete the maintenance of network protection and control systems (interdependent)</w:t>
            </w: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3.1</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Final inspections of the n</w:t>
            </w:r>
            <w:r w:rsidRPr="000D2824">
              <w:t>etwork protection and control systems (interdependent) are undertaken to ensure they comply with all requirements and include all specifications and documentations needed to complete the project.</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3.2</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Appropriate personnel are notified of completion and reports and/or completion documents are finalised/commissioned.</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3.3</w:t>
            </w:r>
          </w:p>
        </w:tc>
        <w:tc>
          <w:tcPr>
            <w:tcW w:w="50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 xml:space="preserve">Reports and/or completion documents are submitted to relevant personnel/organisations for approval and, where applicable, statutory </w:t>
            </w:r>
            <w:r w:rsidRPr="000D2824">
              <w:t>or regulatory approval.</w:t>
            </w:r>
          </w:p>
        </w:tc>
      </w:tr>
      <w:tr w:rsidTr="002311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3.4</w:t>
            </w:r>
          </w:p>
        </w:tc>
        <w:tc>
          <w:tcPr>
            <w:tcW w:w="504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t>Approved copies of the maintenance of network protection and control systems (interdependent) documents are issues and records are updated in accordance with established procedures.</w:t>
            </w:r>
          </w:p>
        </w:tc>
      </w:tr>
    </w:tbl>
    <w:p w:rsidR="0023117B" w:rsidP="000D2824">
      <w:pPr>
        <w:pStyle w:val="BodyText"/>
      </w:pPr>
    </w:p>
    <w:p w:rsidR="0023117B" w:rsidP="000D2824">
      <w:pPr>
        <w:pStyle w:val="BodyText"/>
      </w:pPr>
    </w:p>
    <w:p w:rsidR="00000000" w:rsidRPr="000D2824" w:rsidP="000D2824">
      <w:pPr>
        <w:pStyle w:val="Heading1"/>
      </w:pPr>
      <w:bookmarkStart w:id="9" w:name="O_264076"/>
      <w:bookmarkEnd w:id="9"/>
      <w:r w:rsidRPr="000D2824">
        <w:t>Required Skills and Kno</w:t>
      </w:r>
      <w:r w:rsidRPr="000D2824">
        <w:t>wledge</w:t>
      </w:r>
    </w:p>
    <w:tbl>
      <w:tblPr>
        <w:tblW w:w="0" w:type="auto"/>
        <w:tblLayout w:type="fixed"/>
        <w:tblCellMar>
          <w:left w:w="62" w:type="dxa"/>
          <w:right w:w="62" w:type="dxa"/>
        </w:tblCellMar>
        <w:tblLook w:val="0000"/>
      </w:tblPr>
      <w:tblGrid>
        <w:gridCol w:w="2700"/>
        <w:gridCol w:w="1080"/>
        <w:gridCol w:w="4860"/>
      </w:tblGrid>
      <w:tr w:rsidTr="0023117B">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rPr>
                <w:rStyle w:val="SpecialBold"/>
              </w:rPr>
              <w:t>REQUIRED SKILLS AND KNOWLEDGE</w:t>
            </w:r>
          </w:p>
        </w:tc>
      </w:tr>
      <w:tr w:rsidTr="0023117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rPr>
                <w:rStyle w:val="SpecialBold"/>
              </w:rPr>
              <w:t>7</w:t>
            </w:r>
            <w:r w:rsidRPr="000D2824">
              <w:t xml:space="preserve">) </w:t>
            </w:r>
            <w:r w:rsidRPr="000D2824">
              <w:rPr>
                <w:rStyle w:val="SpecialBold"/>
              </w:rPr>
              <w:t>Essential Knowledge and Associated Skills</w:t>
            </w:r>
            <w:r w:rsidRPr="000D2824">
              <w:t xml:space="preserve"> (</w:t>
            </w:r>
            <w:r w:rsidRPr="000D2824">
              <w:rPr>
                <w:rStyle w:val="SpecialBold"/>
              </w:rPr>
              <w:t>EKAS</w:t>
            </w:r>
            <w:r w:rsidRPr="000D2824">
              <w:t>): This describes the essential skills and knowledge and their level, required for this unit.</w:t>
            </w:r>
          </w:p>
        </w:tc>
      </w:tr>
      <w:tr w:rsidTr="0023117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t xml:space="preserve">Evidence shall show that knowledge has been acquired of maintaining network protection and control systems (interdependent). </w:t>
            </w:r>
          </w:p>
          <w:p w:rsidR="00000000" w:rsidRPr="000D2824" w:rsidP="000D2824">
            <w:pPr>
              <w:pStyle w:val="BodyText"/>
            </w:pPr>
            <w:r w:rsidRPr="000D2824">
              <w:t>All knowledge and skills detailed in this unit should be contextualised to current industry practices and technologies.</w:t>
            </w:r>
          </w:p>
          <w:p w:rsidR="00000000" w:rsidP="000D2824">
            <w:pPr>
              <w:pStyle w:val="BodyText"/>
              <w:rPr>
                <w:lang w:val="en-NZ"/>
              </w:rPr>
            </w:pPr>
            <w:r w:rsidRPr="000D2824">
              <w:t>The extent</w:t>
            </w:r>
            <w:r w:rsidRPr="000D2824">
              <w:t xml:space="preserve"> of the essential knowledge and associated skills (EKAS) required is given in Volume 2 - Part 2.2 EKAS. It forms an integral part of this unit.</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 xml:space="preserve">E2.18.1 </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Occupational Health and Safety principles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E2.18.2</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Electrical safe working practices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E2.18.8.2</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Occupational Health and Safety , - enterprise responsibilities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T2.3.3</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 xml:space="preserve">Statutory and safety considerations </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T2.3.4</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Electrical equipment - protection and control schemes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T2.3.5</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Discrete protection devices - isolation and tagging procedures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T2.3.6</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Protection devices - maintenance and commissioning principles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T2.3.7</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Protection devices - manufacturers requirements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T2.7.6</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Disposal procedures for insulating materials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T2.10.1</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Visual inspection procedures - substations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T2.10.2</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Surge relay operatio</w:t>
            </w:r>
            <w:r w:rsidRPr="000D2824">
              <w:t>n and maintenance - substations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T2.10.9</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Analyse and interpret results and measurements - substations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T2.10.23</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Infrared imaging principles - substations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T2.10.25</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Commissioning of distribution protection and control systems - substations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T2.10.26</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Voltage regulation scheme principles - substations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T2.10.27</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 xml:space="preserve">Use of test equipment on discrete protection scheme - substations </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T2.10.28</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Electrical equipment - distribution field device protection and control schemes - substations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T2.11.2</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Circuit breaker auxiliary systems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T2.11.18</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Discrete protection systems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T2.11.19</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Interdependent protection systems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T2.11.23</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Locate and rectify faults in electrical equipment</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T2.11.36</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Disconnect and reconnect fixed wiring electrical equipment fundame</w:t>
            </w:r>
            <w:r w:rsidRPr="000D2824">
              <w:t>nts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T2.11.38</w:t>
            </w:r>
          </w:p>
        </w:tc>
        <w:tc>
          <w:tcPr>
            <w:tcW w:w="48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Disconnect and reconnect fixed wiring electrical equipment procedures</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T2.11.40</w:t>
            </w:r>
          </w:p>
        </w:tc>
        <w:tc>
          <w:tcPr>
            <w:tcW w:w="486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t>Harmonics</w:t>
            </w:r>
          </w:p>
        </w:tc>
      </w:tr>
    </w:tbl>
    <w:p w:rsidR="0023117B" w:rsidP="000D2824">
      <w:pPr>
        <w:pStyle w:val="BodyText"/>
      </w:pPr>
    </w:p>
    <w:p w:rsidR="0023117B" w:rsidP="000D2824">
      <w:pPr>
        <w:pStyle w:val="BodyText"/>
      </w:pPr>
    </w:p>
    <w:p w:rsidR="00000000" w:rsidRPr="000D2824" w:rsidP="000D2824">
      <w:pPr>
        <w:pStyle w:val="Heading1"/>
      </w:pPr>
      <w:bookmarkStart w:id="10" w:name="O_248268"/>
      <w:bookmarkEnd w:id="10"/>
      <w:r w:rsidRPr="000D2824">
        <w:t>Evidence Guide</w:t>
      </w:r>
    </w:p>
    <w:tbl>
      <w:tblPr>
        <w:tblW w:w="0" w:type="auto"/>
        <w:tblLayout w:type="fixed"/>
        <w:tblCellMar>
          <w:left w:w="62" w:type="dxa"/>
          <w:right w:w="62" w:type="dxa"/>
        </w:tblCellMar>
        <w:tblLook w:val="0000"/>
      </w:tblPr>
      <w:tblGrid>
        <w:gridCol w:w="2160"/>
        <w:gridCol w:w="540"/>
        <w:gridCol w:w="1080"/>
        <w:gridCol w:w="1620"/>
        <w:gridCol w:w="3240"/>
      </w:tblGrid>
      <w:tr w:rsidTr="0023117B">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rPr>
                <w:rStyle w:val="SpecialBold"/>
              </w:rPr>
              <w:t>EVIDENCE GUIDE</w:t>
            </w:r>
          </w:p>
        </w:tc>
      </w:tr>
      <w:tr w:rsidTr="0023117B">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9</w:t>
            </w:r>
            <w:r w:rsidRPr="000D2824">
              <w:t>) This provides essential advice for asses</w:t>
            </w:r>
            <w:r w:rsidRPr="000D2824">
              <w:t>sment of the unit of competency and must be read in conjunction with the Performance Criteria and the Range Statement of the unit of competency and the Training Package Assessment Guidelines.</w:t>
            </w:r>
          </w:p>
          <w:p w:rsidR="00000000" w:rsidP="000D2824">
            <w:pPr>
              <w:pStyle w:val="BodyText"/>
              <w:rPr>
                <w:lang w:val="en-NZ"/>
              </w:rPr>
            </w:pPr>
            <w:r w:rsidRPr="000D2824">
              <w:t>The Evidence Guide forms an integral part of this Competency Sta</w:t>
            </w:r>
            <w:r w:rsidRPr="000D2824">
              <w:t>ndard Unit and shall be used in conjunction with all component parts of this unit and, performed in accordance with the Assessment Guidelines of this Training Package.</w:t>
            </w:r>
          </w:p>
        </w:tc>
      </w:tr>
      <w:tr w:rsidTr="002311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Overview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9</w:t>
            </w:r>
            <w:r w:rsidRPr="000D2824">
              <w:t>.</w:t>
            </w:r>
            <w:r w:rsidRPr="000D2824">
              <w:rPr>
                <w:rStyle w:val="SpecialBold"/>
              </w:rPr>
              <w:t>1</w:t>
            </w:r>
            <w:r w:rsidRPr="000D2824">
              <w:t xml:space="preserve">) </w:t>
            </w:r>
          </w:p>
          <w:p w:rsidR="00000000" w:rsidRPr="000D2824" w:rsidP="000D2824">
            <w:pPr>
              <w:pStyle w:val="BodyText"/>
            </w:pPr>
            <w:r w:rsidRPr="000D2824">
              <w:t>Longitudinal competency development approaches to asse</w:t>
            </w:r>
            <w:r w:rsidRPr="000D2824">
              <w:t>ssment, such as Profiling, require data to be reliably gathered in a form that can be consistently interpreted over time. This approach is best utilised in Apprenticeship programs and reduces assessment intervention. It is the Industry's preferred model fo</w:t>
            </w:r>
            <w:r w:rsidRPr="000D2824">
              <w:t>r apprenticeships. However, where summative (or final) assessment is used it is to include the application of the competency in the normal work environment or, at a minimum, the application of the competency in a realistically simulated work environment. I</w:t>
            </w:r>
            <w:r w:rsidRPr="000D2824">
              <w:t>t is recognised that, in some circumstances, assessment in part or full can occur outside the workplace. However, it must be in accord with Industry and, Regulatory policy in this regard.</w:t>
            </w:r>
          </w:p>
          <w:p w:rsidR="00000000" w:rsidRPr="000D2824" w:rsidP="000D2824">
            <w:pPr>
              <w:pStyle w:val="BodyText"/>
            </w:pPr>
            <w:r w:rsidRPr="000D2824">
              <w:t>Methods chosen for a particular assessment will be influenced by var</w:t>
            </w:r>
            <w:r w:rsidRPr="000D2824">
              <w:t>ious factors. These include the extent of the assessment, the most effective locations for the assessment activities to take place, access to physical resources, additional safety measures that may be required and the critical nature of the competencies be</w:t>
            </w:r>
            <w:r w:rsidRPr="000D2824">
              <w:t>ing assessed.</w:t>
            </w:r>
          </w:p>
          <w:p w:rsidR="00000000" w:rsidRPr="000D2824" w:rsidP="000D2824">
            <w:pPr>
              <w:pStyle w:val="BodyText"/>
            </w:pPr>
            <w:r w:rsidRPr="000D2824">
              <w:t>The critical safety nature of working with electricity, electrical equipment, gas or any other hazardous substance/material carries risk in deeming a person competent. Hence, sources of evidence need to be 'rich' in nature so as to minimise e</w:t>
            </w:r>
            <w:r w:rsidRPr="000D2824">
              <w:t>rror in judgment.</w:t>
            </w:r>
          </w:p>
          <w:p w:rsidR="00000000" w:rsidP="000D2824">
            <w:pPr>
              <w:pStyle w:val="BodyText"/>
              <w:rPr>
                <w:lang w:val="en-NZ"/>
              </w:rPr>
            </w:pPr>
            <w:r w:rsidRPr="000D2824">
              <w:t>Activities associated with normal every day work have a bearing on the decision as to how much and how detailed the data gathered will contribute to its 'richness'. Some skills are more critical to safety and operational requirements whil</w:t>
            </w:r>
            <w:r w:rsidRPr="000D2824">
              <w:t>e the same skills may be more or less frequently practiced. These points are raised for the assessors to consider when choosing an assessment method and developing assessment instruments. Sample assessment instruments are included for Assessors in the Asse</w:t>
            </w:r>
            <w:r w:rsidRPr="000D2824">
              <w:t>ssment Guidelines of this Training Package.</w:t>
            </w:r>
          </w:p>
        </w:tc>
      </w:tr>
      <w:tr w:rsidTr="0023117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Critical aspects of evidence required to demonstrate competency in this unit</w:t>
            </w:r>
          </w:p>
        </w:tc>
        <w:tc>
          <w:tcPr>
            <w:tcW w:w="6480" w:type="dxa"/>
            <w:gridSpan w:val="4"/>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9</w:t>
            </w:r>
            <w:r w:rsidRPr="000D2824">
              <w:t>.</w:t>
            </w:r>
            <w:r w:rsidRPr="000D2824">
              <w:rPr>
                <w:rStyle w:val="SpecialBold"/>
              </w:rPr>
              <w:t>2</w:t>
            </w:r>
            <w:r w:rsidRPr="000D2824">
              <w:t xml:space="preserve">) </w:t>
            </w:r>
          </w:p>
          <w:p w:rsidR="00000000" w:rsidP="000D2824">
            <w:pPr>
              <w:pStyle w:val="BodyText"/>
              <w:rPr>
                <w:lang w:val="en-NZ"/>
              </w:rPr>
            </w:pPr>
            <w:r w:rsidRPr="000D2824">
              <w:t>Before the critical aspects of evidence are considered all prerequisites shall be met.</w:t>
            </w:r>
          </w:p>
        </w:tc>
      </w:tr>
      <w:tr w:rsidTr="0023117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0D2824">
            <w:pPr>
              <w:pStyle w:val="ListBullet"/>
              <w:rPr>
                <w:lang w:val="en-NZ"/>
              </w:rPr>
            </w:pPr>
            <w:r w:rsidRPr="000D2824">
              <w:t xml:space="preserve">A </w:t>
            </w:r>
            <w:r w:rsidRPr="000D2824">
              <w:t>representative body of Performance Criteria demonstrated within the timeframes typically expected of the discipline, work function and industrial environment. In particular this shall incorporate evidence that shows a candidate is able to:</w:t>
            </w:r>
          </w:p>
        </w:tc>
      </w:tr>
      <w:tr w:rsidTr="002311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0D2824" w:rsidP="000D2824">
            <w:pPr>
              <w:pStyle w:val="ListBullet3"/>
            </w:pPr>
            <w:r w:rsidRPr="000D2824">
              <w:t>Implement Occupational Health and Safety workplace procedures and practices including the use of risk control measures as specified in the Performance Criteria and range; and</w:t>
            </w:r>
          </w:p>
          <w:p w:rsidR="00000000" w:rsidRPr="000D2824" w:rsidP="000D2824">
            <w:pPr>
              <w:pStyle w:val="ListBullet3"/>
            </w:pPr>
            <w:r w:rsidRPr="000D2824">
              <w:t>Apply sustainable energy principles and practices as specified in the Performance</w:t>
            </w:r>
            <w:r w:rsidRPr="000D2824">
              <w:t xml:space="preserve"> Criteria and range; and</w:t>
            </w:r>
          </w:p>
          <w:p w:rsidR="00000000" w:rsidRPr="000D2824" w:rsidP="000D2824">
            <w:pPr>
              <w:pStyle w:val="ListBullet3"/>
            </w:pPr>
            <w:r w:rsidRPr="000D2824">
              <w:t>Demonstrate an understanding of the essential knowledge and associated skills as described in this unit to such an extent that the learner's performance outcome is reported in accordance with the preferred approach; namely a percen</w:t>
            </w:r>
            <w:r w:rsidRPr="000D2824">
              <w:t>tile graded result, where required by the regulated environment; and</w:t>
            </w:r>
          </w:p>
          <w:p w:rsidR="00000000" w:rsidRPr="000D2824" w:rsidP="000D2824">
            <w:pPr>
              <w:pStyle w:val="ListBullet3"/>
            </w:pPr>
            <w:r w:rsidRPr="000D2824">
              <w:t>Demonstrate an appropriate level of employability skills; and</w:t>
            </w:r>
          </w:p>
          <w:p w:rsidR="00000000" w:rsidP="000D2824">
            <w:pPr>
              <w:pStyle w:val="ListBullet3"/>
              <w:rPr>
                <w:lang w:val="en-NZ"/>
              </w:rPr>
            </w:pPr>
            <w:r w:rsidRPr="000D2824">
              <w:t>Conduct work observing the relevant Anti discrimination legislation, regulations, policies and workplace procedures; and</w:t>
            </w:r>
          </w:p>
        </w:tc>
      </w:tr>
      <w:tr w:rsidTr="002311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0D2824">
            <w:pPr>
              <w:pStyle w:val="ListBullet"/>
              <w:rPr>
                <w:lang w:val="en-NZ"/>
              </w:rPr>
            </w:pPr>
            <w:r w:rsidRPr="000D2824">
              <w:t>Demonstrated performance across a representative range of contexts from the prescribed items below:</w:t>
            </w:r>
          </w:p>
        </w:tc>
      </w:tr>
      <w:tr w:rsidTr="002311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0D2824">
            <w:pPr>
              <w:pStyle w:val="BodyText"/>
              <w:keepNext w:val="0"/>
              <w:keepLines w:val="0"/>
              <w:contextualSpacing w:val="0"/>
            </w:pPr>
          </w:p>
        </w:tc>
        <w:tc>
          <w:tcPr>
            <w:tcW w:w="59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24">
            <w:pPr>
              <w:pStyle w:val="BodyText"/>
              <w:rPr>
                <w:lang w:val="en-NZ"/>
              </w:rPr>
            </w:pPr>
            <w:r w:rsidRPr="000D2824">
              <w:rPr>
                <w:rStyle w:val="SpecialBold"/>
              </w:rPr>
              <w:t>Range of tools</w:t>
            </w:r>
            <w:r w:rsidRPr="000D2824">
              <w:t>/</w:t>
            </w:r>
            <w:r w:rsidRPr="000D2824">
              <w:rPr>
                <w:rStyle w:val="SpecialBold"/>
              </w:rPr>
              <w:t>equipment</w:t>
            </w:r>
            <w:r w:rsidRPr="000D2824">
              <w:t>/</w:t>
            </w:r>
            <w:r w:rsidRPr="000D2824">
              <w:rPr>
                <w:rStyle w:val="SpecialBold"/>
              </w:rPr>
              <w:t>materials</w:t>
            </w:r>
            <w:r w:rsidRPr="000D2824">
              <w:t>/</w:t>
            </w:r>
            <w:r w:rsidRPr="000D2824">
              <w:rPr>
                <w:rStyle w:val="SpecialBold"/>
              </w:rPr>
              <w:t>procedures</w:t>
            </w:r>
            <w:r w:rsidRPr="000D2824">
              <w:t>/</w:t>
            </w:r>
            <w:r w:rsidRPr="000D2824">
              <w:rPr>
                <w:rStyle w:val="SpecialBold"/>
              </w:rPr>
              <w:t>workplaces</w:t>
            </w:r>
            <w:r w:rsidRPr="000D2824">
              <w:t>/</w:t>
            </w:r>
            <w:r w:rsidRPr="000D2824">
              <w:rPr>
                <w:rStyle w:val="SpecialBold"/>
              </w:rPr>
              <w:t>other variables</w:t>
            </w:r>
          </w:p>
        </w:tc>
      </w:tr>
      <w:tr w:rsidTr="002311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0D2824">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24" w:rsidP="000D2824">
            <w:pPr>
              <w:pStyle w:val="BodyText"/>
            </w:pPr>
            <w:r w:rsidRPr="000D2824">
              <w:rPr>
                <w:rStyle w:val="SpecialBold"/>
              </w:rPr>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24" w:rsidP="000D2824">
            <w:pPr>
              <w:pStyle w:val="BodyText"/>
            </w:pPr>
            <w:r w:rsidRPr="000D2824">
              <w:rPr>
                <w:rStyle w:val="SpecialBold"/>
              </w:rPr>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24">
            <w:pPr>
              <w:pStyle w:val="BodyText"/>
              <w:rPr>
                <w:lang w:val="en-NZ"/>
              </w:rPr>
            </w:pPr>
            <w:r w:rsidRPr="000D2824">
              <w:rPr>
                <w:rStyle w:val="SpecialBold"/>
              </w:rPr>
              <w:t>Item List</w:t>
            </w:r>
          </w:p>
        </w:tc>
      </w:tr>
      <w:tr w:rsidTr="002311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24">
            <w:pPr>
              <w:pStyle w:val="BodyText"/>
              <w:rPr>
                <w:lang w:val="en-NZ"/>
              </w:rPr>
            </w:pPr>
            <w:r w:rsidRPr="000D2824">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24">
            <w:pPr>
              <w:pStyle w:val="BodyText"/>
              <w:rPr>
                <w:lang w:val="en-NZ"/>
              </w:rPr>
            </w:pPr>
            <w:r w:rsidRPr="000D2824">
              <w:t>Demonstrate five (5) times each of the following activities:</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824" w:rsidP="000D2824">
            <w:pPr>
              <w:pStyle w:val="BodyText"/>
            </w:pPr>
            <w:r w:rsidRPr="000D2824">
              <w:t>Isolate protection, control and alarms associated with interdependent protection and control schemes. Five of the protection groups as stated in the Range Statement of this unit must be included.</w:t>
            </w:r>
          </w:p>
          <w:p w:rsidR="00000000" w:rsidRPr="000D2824" w:rsidP="000D2824">
            <w:pPr>
              <w:pStyle w:val="BodyText"/>
            </w:pPr>
            <w:r w:rsidRPr="000D2824">
              <w:t xml:space="preserve">Calibrate interdependent protection and control relays from </w:t>
            </w:r>
            <w:r w:rsidRPr="000D2824">
              <w:t>at least 5 of the protection groups as stated in the Range Statement of this unit;</w:t>
            </w:r>
          </w:p>
          <w:p w:rsidR="00000000" w:rsidRPr="000D2824" w:rsidP="000D2824">
            <w:pPr>
              <w:pStyle w:val="BodyText"/>
            </w:pPr>
            <w:r w:rsidRPr="000D2824">
              <w:t>Carry out function tests (trips, alarms etc.) on interdependent protection and control schemes. Five of the protection groups as stated in the Range Statement of this unit m</w:t>
            </w:r>
            <w:r w:rsidRPr="000D2824">
              <w:t>ust be included.</w:t>
            </w:r>
          </w:p>
          <w:p w:rsidR="00000000" w:rsidRPr="000D2824" w:rsidP="000D2824">
            <w:pPr>
              <w:pStyle w:val="BodyText"/>
            </w:pPr>
            <w:r w:rsidRPr="000D2824">
              <w:t xml:space="preserve">Write reports on performance of interdependent protection and control schemes. Five of the protection groups as stated in the Range Statement of this unit must be included </w:t>
            </w:r>
          </w:p>
          <w:p w:rsidR="00000000" w:rsidP="000D2824">
            <w:pPr>
              <w:pStyle w:val="BodyText"/>
              <w:rPr>
                <w:lang w:val="en-NZ"/>
              </w:rPr>
            </w:pPr>
            <w:r w:rsidRPr="000D2824">
              <w:t>Isolate 'in service' current transformers</w:t>
            </w:r>
          </w:p>
        </w:tc>
      </w:tr>
      <w:tr w:rsidTr="002311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24">
            <w:pPr>
              <w:pStyle w:val="BodyText"/>
              <w:rPr>
                <w:lang w:val="en-NZ"/>
              </w:rPr>
            </w:pPr>
            <w:r w:rsidRPr="000D2824">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24">
            <w:pPr>
              <w:pStyle w:val="BodyText"/>
              <w:rPr>
                <w:lang w:val="en-NZ"/>
              </w:rPr>
            </w:pPr>
            <w:r w:rsidRPr="000D2824">
              <w:t>At least one occasi</w:t>
            </w:r>
            <w:r w:rsidRPr="000D2824">
              <w:t>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824">
            <w:pPr>
              <w:pStyle w:val="BodyText"/>
              <w:rPr>
                <w:lang w:val="en-NZ"/>
              </w:rPr>
            </w:pPr>
            <w:r w:rsidRPr="000D2824">
              <w:t>Dealing with an unplanned event by drawing on essential knowledge and associated skills to provide appropriate solutions incorporated in the holistic assessment with the above listed items.</w:t>
            </w:r>
          </w:p>
        </w:tc>
      </w:tr>
      <w:tr w:rsidTr="002311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Context of and specific resources for assessment</w:t>
            </w:r>
          </w:p>
        </w:tc>
        <w:tc>
          <w:tcPr>
            <w:tcW w:w="6480" w:type="dxa"/>
            <w:gridSpan w:val="4"/>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9</w:t>
            </w:r>
            <w:r w:rsidRPr="000D2824">
              <w:t>.</w:t>
            </w:r>
            <w:r w:rsidRPr="000D2824">
              <w:rPr>
                <w:rStyle w:val="SpecialBold"/>
              </w:rPr>
              <w:t>3</w:t>
            </w:r>
            <w:r w:rsidRPr="000D2824">
              <w:t xml:space="preserve">) </w:t>
            </w:r>
          </w:p>
          <w:p w:rsidR="00000000" w:rsidRPr="000D2824" w:rsidP="000D2824">
            <w:pPr>
              <w:pStyle w:val="BodyText"/>
            </w:pPr>
            <w:r w:rsidRPr="000D2824">
              <w:t>This un</w:t>
            </w:r>
            <w:r w:rsidRPr="000D2824">
              <w:t>it should be assessed as it relates to normal work practice using procedures, information and resources typical of a workplace. This should include:</w:t>
            </w:r>
          </w:p>
          <w:p w:rsidR="00000000" w:rsidRPr="000D2824" w:rsidP="000D2824">
            <w:pPr>
              <w:pStyle w:val="ListBullet"/>
            </w:pPr>
            <w:r w:rsidRPr="000D2824">
              <w:t>OHS policy and work procedures and instructions.</w:t>
            </w:r>
          </w:p>
          <w:p w:rsidR="00000000" w:rsidRPr="000D2824" w:rsidP="000D2824">
            <w:pPr>
              <w:pStyle w:val="ListBullet"/>
            </w:pPr>
            <w:r w:rsidRPr="000D2824">
              <w:t>Suitable work envir</w:t>
            </w:r>
            <w:r w:rsidRPr="000D2824">
              <w:t>onment, facilities, equipment and materials to undertake actual maintenance of network protection and control systems (interdependent).</w:t>
            </w:r>
          </w:p>
          <w:p w:rsidR="00000000" w:rsidP="000D2824">
            <w:pPr>
              <w:pStyle w:val="ListBullet"/>
              <w:rPr>
                <w:lang w:val="en-NZ"/>
              </w:rPr>
            </w:pPr>
            <w:r w:rsidRPr="000D2824">
              <w:t>Operational access to relevant plant, protection equipment, scheme drawings and specialised testing equipment</w:t>
            </w:r>
          </w:p>
        </w:tc>
      </w:tr>
      <w:tr w:rsidTr="002311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In ad</w:t>
            </w:r>
            <w:r w:rsidRPr="000D2824">
              <w:t>dition to the resources listed above, in Context of and specific resources for assessment, evidence should show demonstrated competency working at realistic heights above ground i.e. above 3 metres, in limited spaces, with different structural/construction</w:t>
            </w:r>
            <w:r w:rsidRPr="000D2824">
              <w:t xml:space="preserve"> types and method and in a variety of environments.</w:t>
            </w:r>
          </w:p>
        </w:tc>
      </w:tr>
      <w:tr w:rsidTr="002311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Method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9</w:t>
            </w:r>
            <w:r w:rsidRPr="000D2824">
              <w:t>.</w:t>
            </w:r>
            <w:r w:rsidRPr="000D2824">
              <w:rPr>
                <w:rStyle w:val="SpecialBold"/>
              </w:rPr>
              <w:t>4</w:t>
            </w:r>
            <w:r w:rsidRPr="000D2824">
              <w:t xml:space="preserve">) </w:t>
            </w:r>
          </w:p>
          <w:p w:rsidR="00000000" w:rsidRPr="000D2824" w:rsidP="000D2824">
            <w:pPr>
              <w:pStyle w:val="BodyText"/>
            </w:pPr>
            <w:r w:rsidRPr="000D2824">
              <w:t>This Competency Standard Unit shall be assessed by methods given in Volume 1, Part 3 "Assessment Guidelines".</w:t>
            </w:r>
          </w:p>
          <w:p w:rsidR="00000000" w:rsidP="000D2824">
            <w:pPr>
              <w:pStyle w:val="BodyText"/>
              <w:rPr>
                <w:lang w:val="en-NZ"/>
              </w:rPr>
            </w:pPr>
            <w:r w:rsidRPr="000D2824">
              <w:t>Note:</w:t>
            </w:r>
            <w:r w:rsidRPr="000D2824">
              <w:br/>
              <w:t>Competent performance with inherent safe working practice</w:t>
            </w:r>
            <w:r w:rsidRPr="000D2824">
              <w:t>s is expected in the Transmission, Distribution and Rail Traction Industry. This requires that the specified essential knowledge and associated skills are assessed in a structured environment which is primarily intended for learning/assessment and incorpor</w:t>
            </w:r>
            <w:r w:rsidRPr="000D2824">
              <w:t>ates all necessary equipment and facilities for learners to develop and demonstrate the essential knowledge and associated skills described in this unit.</w:t>
            </w:r>
          </w:p>
        </w:tc>
      </w:tr>
      <w:tr w:rsidTr="0023117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Concurrent assessment and relationship with other units</w:t>
            </w:r>
          </w:p>
        </w:tc>
        <w:tc>
          <w:tcPr>
            <w:tcW w:w="6480" w:type="dxa"/>
            <w:gridSpan w:val="4"/>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rPr>
                <w:rStyle w:val="SpecialBold"/>
              </w:rPr>
              <w:t>9</w:t>
            </w:r>
            <w:r w:rsidRPr="000D2824">
              <w:t>.</w:t>
            </w:r>
            <w:r w:rsidRPr="000D2824">
              <w:rPr>
                <w:rStyle w:val="SpecialBold"/>
              </w:rPr>
              <w:t>5</w:t>
            </w:r>
            <w:r w:rsidRPr="000D2824">
              <w:t>)</w:t>
            </w:r>
          </w:p>
        </w:tc>
      </w:tr>
      <w:tr w:rsidTr="0023117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t>There are no concurrent assessment recommendations for this unit.</w:t>
            </w:r>
          </w:p>
        </w:tc>
      </w:tr>
    </w:tbl>
    <w:p w:rsidR="0023117B" w:rsidP="000D2824">
      <w:pPr>
        <w:pStyle w:val="BodyText"/>
      </w:pPr>
    </w:p>
    <w:p w:rsidR="0023117B" w:rsidP="000D2824">
      <w:pPr>
        <w:pStyle w:val="BodyText"/>
      </w:pPr>
    </w:p>
    <w:p w:rsidR="00000000" w:rsidRPr="000D2824" w:rsidP="000D2824">
      <w:pPr>
        <w:pStyle w:val="Heading1"/>
      </w:pPr>
      <w:bookmarkStart w:id="11" w:name="O_256252"/>
      <w:bookmarkEnd w:id="11"/>
      <w:r w:rsidRPr="000D2824">
        <w:t>Range Statement</w:t>
      </w:r>
    </w:p>
    <w:tbl>
      <w:tblPr>
        <w:tblW w:w="0" w:type="auto"/>
        <w:tblLayout w:type="fixed"/>
        <w:tblCellMar>
          <w:left w:w="62" w:type="dxa"/>
          <w:right w:w="62" w:type="dxa"/>
        </w:tblCellMar>
        <w:tblLook w:val="0000"/>
      </w:tblPr>
      <w:tblGrid>
        <w:gridCol w:w="2160"/>
        <w:gridCol w:w="6480"/>
      </w:tblGrid>
      <w:tr w:rsidTr="0023117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rPr>
                <w:rStyle w:val="SpecialBold"/>
              </w:rPr>
              <w:t>RANGE STATEMENT</w:t>
            </w:r>
          </w:p>
        </w:tc>
      </w:tr>
      <w:tr w:rsidTr="0023117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rPr>
                <w:rStyle w:val="SpecialBold"/>
              </w:rPr>
              <w:t>8</w:t>
            </w:r>
            <w:r w:rsidRPr="000D2824">
              <w:t xml:space="preserve">) This relates to the unit of competency as a whole providing the range of contexts and conditions </w:t>
            </w:r>
            <w:r w:rsidRPr="000D2824">
              <w:t>to which the Performance Criteria apply. It allows for different work environments and situations that will affect performance.</w:t>
            </w:r>
          </w:p>
        </w:tc>
      </w:tr>
      <w:tr w:rsidTr="0023117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t>This Competency Standard Unit shall/may be demo</w:t>
            </w:r>
            <w:r w:rsidRPr="000D2824">
              <w:t>nstrated in relation to the maintenance of network protection and control systems (interdependent) and may include the following:</w:t>
            </w:r>
          </w:p>
          <w:p w:rsidR="00000000" w:rsidRPr="000D2824" w:rsidP="000D2824">
            <w:pPr>
              <w:pStyle w:val="BodyText"/>
            </w:pPr>
            <w:r w:rsidRPr="000D2824">
              <w:t>Overcurrent, Frame leakage, Cooling, Bucholz, DC Supplies, Restricted Earth, Sensitive Earth Fault, CB Fail, Reclose, DC Frame</w:t>
            </w:r>
            <w:r w:rsidRPr="000D2824">
              <w:t xml:space="preserve"> leakage, CEL Fail, Under Frequency load shed</w:t>
            </w:r>
          </w:p>
          <w:p w:rsidR="00000000" w:rsidRPr="000D2824" w:rsidP="000D2824">
            <w:pPr>
              <w:pStyle w:val="BodyText"/>
            </w:pPr>
            <w:r w:rsidRPr="000D2824">
              <w:t>Instrument Transformers, Trip/Control circuits, Alarms, DC Supplies, CB Fail protection, Master controlled Earth Fault, Intertripping, Blocking, Synchronising, Pilot Wire, Phase Comparison, Load Shedding, Volta</w:t>
            </w:r>
            <w:r w:rsidRPr="000D2824">
              <w:t>ge control, parallel operation, load rejection, circuit isolations and restorations, mechanical adjustments, calibration, function tests, reporting, signals, thermals, contraphase, backup, reverse current</w:t>
            </w:r>
          </w:p>
          <w:p w:rsidR="00000000" w:rsidP="000D2824">
            <w:pPr>
              <w:pStyle w:val="BodyText"/>
              <w:rPr>
                <w:lang w:val="en-NZ"/>
              </w:rPr>
            </w:pPr>
            <w:r w:rsidRPr="000D2824">
              <w:t>The following constants and variables included in t</w:t>
            </w:r>
            <w:r w:rsidRPr="000D2824">
              <w:t>he element/Performance Criteria in this unit are fully described in the Definitions Section 1 of this volume and form an integral part of the Range Statement of this unit:</w:t>
            </w:r>
          </w:p>
        </w:tc>
      </w:tr>
      <w:tr w:rsidTr="002311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0D2824" w:rsidP="000D2824">
            <w:pPr>
              <w:pStyle w:val="ListBullet"/>
            </w:pPr>
            <w:r w:rsidRPr="000D2824">
              <w:t>Appropriate and relevant persons (see Personnel)</w:t>
            </w:r>
          </w:p>
          <w:p w:rsidR="00000000" w:rsidRPr="000D2824" w:rsidP="000D2824">
            <w:pPr>
              <w:pStyle w:val="ListBullet"/>
            </w:pPr>
            <w:r w:rsidRPr="000D2824">
              <w:t xml:space="preserve">Appropriate authorities </w:t>
            </w:r>
          </w:p>
          <w:p w:rsidR="00000000" w:rsidRPr="000D2824" w:rsidP="000D2824">
            <w:pPr>
              <w:pStyle w:val="ListBullet"/>
            </w:pPr>
            <w:r w:rsidRPr="000D2824">
              <w:t>Appropr</w:t>
            </w:r>
            <w:r w:rsidRPr="000D2824">
              <w:t>iate work platform</w:t>
            </w:r>
          </w:p>
          <w:p w:rsidR="00000000" w:rsidRPr="000D2824" w:rsidP="000D2824">
            <w:pPr>
              <w:pStyle w:val="ListBullet"/>
            </w:pPr>
            <w:r w:rsidRPr="000D2824">
              <w:t>Assessing risk</w:t>
            </w:r>
          </w:p>
          <w:p w:rsidR="00000000" w:rsidRPr="000D2824" w:rsidP="000D2824">
            <w:pPr>
              <w:pStyle w:val="ListBullet"/>
            </w:pPr>
            <w:r w:rsidRPr="000D2824">
              <w:t>Assessment</w:t>
            </w:r>
          </w:p>
          <w:p w:rsidR="00000000" w:rsidRPr="000D2824" w:rsidP="000D2824">
            <w:pPr>
              <w:pStyle w:val="ListBullet"/>
            </w:pPr>
            <w:r w:rsidRPr="000D2824">
              <w:t>Authorisation</w:t>
            </w:r>
          </w:p>
          <w:p w:rsidR="00000000" w:rsidRPr="000D2824" w:rsidP="000D2824">
            <w:pPr>
              <w:pStyle w:val="ListBullet"/>
            </w:pPr>
            <w:r w:rsidRPr="000D2824">
              <w:t>Confined space</w:t>
            </w:r>
          </w:p>
          <w:p w:rsidR="00000000" w:rsidRPr="000D2824" w:rsidP="000D2824">
            <w:pPr>
              <w:pStyle w:val="ListBullet"/>
            </w:pPr>
            <w:r w:rsidRPr="000D2824">
              <w:t>Diagnostic, testing and restoration</w:t>
            </w:r>
          </w:p>
          <w:p w:rsidR="00000000" w:rsidRPr="000D2824" w:rsidP="000D2824">
            <w:pPr>
              <w:pStyle w:val="ListBullet"/>
            </w:pPr>
            <w:r w:rsidRPr="000D2824">
              <w:t>Documenting detail work events, record keeping and or storage of information</w:t>
            </w:r>
          </w:p>
          <w:p w:rsidR="00000000" w:rsidRPr="000D2824" w:rsidP="000D2824">
            <w:pPr>
              <w:pStyle w:val="ListBullet"/>
            </w:pPr>
            <w:r w:rsidRPr="000D2824">
              <w:t>Drawings and specifications</w:t>
            </w:r>
          </w:p>
          <w:p w:rsidR="00000000" w:rsidRPr="000D2824" w:rsidP="000D2824">
            <w:pPr>
              <w:pStyle w:val="ListBullet"/>
            </w:pPr>
            <w:r w:rsidRPr="000D2824">
              <w:t>Emergency</w:t>
            </w:r>
          </w:p>
          <w:p w:rsidR="00000000" w:rsidRPr="000D2824" w:rsidP="000D2824">
            <w:pPr>
              <w:pStyle w:val="ListBullet"/>
            </w:pPr>
            <w:r w:rsidRPr="000D2824">
              <w:t>Environmental and sustainable energy procedures</w:t>
            </w:r>
          </w:p>
          <w:p w:rsidR="00000000" w:rsidRPr="000D2824" w:rsidP="000D2824">
            <w:pPr>
              <w:pStyle w:val="ListBullet"/>
            </w:pPr>
            <w:r w:rsidRPr="000D2824">
              <w:t>Environmental legislation</w:t>
            </w:r>
          </w:p>
          <w:p w:rsidR="00000000" w:rsidRPr="000D2824" w:rsidP="000D2824">
            <w:pPr>
              <w:pStyle w:val="ListBullet"/>
            </w:pPr>
            <w:r w:rsidRPr="000D2824">
              <w:t>Environmental management documentation</w:t>
            </w:r>
          </w:p>
          <w:p w:rsidR="00000000" w:rsidRPr="000D2824" w:rsidP="000D2824">
            <w:pPr>
              <w:pStyle w:val="ListBullet"/>
            </w:pPr>
            <w:r w:rsidRPr="000D2824">
              <w:t>Established procedures</w:t>
            </w:r>
          </w:p>
          <w:p w:rsidR="00000000" w:rsidRPr="000D2824" w:rsidP="000D2824">
            <w:pPr>
              <w:pStyle w:val="ListBullet"/>
            </w:pPr>
            <w:r w:rsidRPr="000D2824">
              <w:t>Fall prevention</w:t>
            </w:r>
          </w:p>
          <w:p w:rsidR="00000000" w:rsidRPr="000D2824" w:rsidP="000D2824">
            <w:pPr>
              <w:pStyle w:val="ListBullet"/>
            </w:pPr>
            <w:r w:rsidRPr="000D2824">
              <w:t>Hazards</w:t>
            </w:r>
          </w:p>
          <w:p w:rsidR="00000000" w:rsidRPr="000D2824" w:rsidP="000D2824">
            <w:pPr>
              <w:pStyle w:val="ListBullet"/>
            </w:pPr>
            <w:r w:rsidRPr="000D2824">
              <w:t>Identifying hazards</w:t>
            </w:r>
          </w:p>
          <w:p w:rsidR="00000000" w:rsidRPr="000D2824" w:rsidP="000D2824">
            <w:pPr>
              <w:pStyle w:val="ListBullet"/>
            </w:pPr>
            <w:r w:rsidRPr="000D2824">
              <w:t>Inspect</w:t>
            </w:r>
          </w:p>
          <w:p w:rsidR="00000000" w:rsidRPr="000D2824" w:rsidP="000D2824">
            <w:pPr>
              <w:pStyle w:val="ListBullet"/>
            </w:pPr>
            <w:r w:rsidRPr="000D2824">
              <w:t>Legislation</w:t>
            </w:r>
          </w:p>
          <w:p w:rsidR="00000000" w:rsidRPr="000D2824" w:rsidP="000D2824">
            <w:pPr>
              <w:pStyle w:val="ListBullet"/>
            </w:pPr>
            <w:r w:rsidRPr="000D2824">
              <w:t>MSDS</w:t>
            </w:r>
          </w:p>
          <w:p w:rsidR="00000000" w:rsidRPr="000D2824" w:rsidP="000D2824">
            <w:pPr>
              <w:pStyle w:val="ListBullet"/>
            </w:pPr>
            <w:r w:rsidRPr="000D2824">
              <w:t>Notification</w:t>
            </w:r>
          </w:p>
          <w:p w:rsidR="00000000" w:rsidRPr="000D2824" w:rsidP="000D2824">
            <w:pPr>
              <w:pStyle w:val="ListBullet"/>
            </w:pPr>
            <w:r w:rsidRPr="000D2824">
              <w:t>OHS practices</w:t>
            </w:r>
          </w:p>
          <w:p w:rsidR="00000000" w:rsidRPr="000D2824" w:rsidP="000D2824">
            <w:pPr>
              <w:pStyle w:val="ListBullet"/>
            </w:pPr>
            <w:r w:rsidRPr="000D2824">
              <w:t>OHS issues</w:t>
            </w:r>
          </w:p>
          <w:p w:rsidR="00000000" w:rsidRPr="000D2824" w:rsidP="000D2824">
            <w:pPr>
              <w:pStyle w:val="ListBullet"/>
            </w:pPr>
            <w:r w:rsidRPr="000D2824">
              <w:t>Permits and/o</w:t>
            </w:r>
            <w:r w:rsidRPr="000D2824">
              <w:t>r permits to work</w:t>
            </w:r>
          </w:p>
          <w:p w:rsidR="00000000" w:rsidRPr="000D2824" w:rsidP="000D2824">
            <w:pPr>
              <w:pStyle w:val="ListBullet"/>
            </w:pPr>
            <w:r w:rsidRPr="000D2824">
              <w:t>Personnel</w:t>
            </w:r>
          </w:p>
          <w:p w:rsidR="00000000" w:rsidRPr="000D2824" w:rsidP="000D2824">
            <w:pPr>
              <w:pStyle w:val="ListBullet"/>
            </w:pPr>
            <w:r w:rsidRPr="000D2824">
              <w:t>Quality assurance systems.</w:t>
            </w:r>
          </w:p>
          <w:p w:rsidR="00000000" w:rsidRPr="000D2824" w:rsidP="000D2824">
            <w:pPr>
              <w:pStyle w:val="ListBullet"/>
            </w:pPr>
            <w:r w:rsidRPr="000D2824">
              <w:t>Requirements</w:t>
            </w:r>
          </w:p>
          <w:p w:rsidR="00000000" w:rsidRPr="000D2824" w:rsidP="000D2824">
            <w:pPr>
              <w:pStyle w:val="ListBullet"/>
            </w:pPr>
            <w:r w:rsidRPr="000D2824">
              <w:t>Testing procedures</w:t>
            </w:r>
          </w:p>
          <w:p w:rsidR="00000000" w:rsidRPr="000D2824" w:rsidP="000D2824">
            <w:pPr>
              <w:pStyle w:val="ListBullet"/>
            </w:pPr>
            <w:r w:rsidRPr="000D2824">
              <w:t>Work clearance systems</w:t>
            </w:r>
          </w:p>
        </w:tc>
      </w:tr>
    </w:tbl>
    <w:p w:rsidR="0023117B" w:rsidP="000D2824">
      <w:pPr>
        <w:pStyle w:val="BodyText"/>
      </w:pPr>
    </w:p>
    <w:p w:rsidR="0023117B" w:rsidP="000D2824">
      <w:pPr>
        <w:pStyle w:val="BodyText"/>
      </w:pPr>
    </w:p>
    <w:p w:rsidR="00000000" w:rsidRPr="000D2824" w:rsidP="000D2824">
      <w:pPr>
        <w:pStyle w:val="Heading1"/>
      </w:pPr>
      <w:bookmarkStart w:id="12" w:name="O_297265"/>
      <w:bookmarkEnd w:id="12"/>
      <w:r w:rsidRPr="000D2824">
        <w:t>Unit Sector(s)</w:t>
      </w:r>
    </w:p>
    <w:p w:rsidR="00000000" w:rsidRPr="000D2824" w:rsidP="000D2824">
      <w:pPr>
        <w:pStyle w:val="BodyText"/>
      </w:pPr>
      <w:r w:rsidRPr="000D2824">
        <w:t>Not Applicable</w:t>
      </w:r>
    </w:p>
    <w:p w:rsidR="00000000" w:rsidRPr="000D2824" w:rsidP="000D2824">
      <w:pPr>
        <w:pStyle w:val="AllowPageBreak"/>
      </w:pPr>
    </w:p>
    <w:p w:rsidR="00000000" w:rsidRPr="000D2824" w:rsidP="000D2824">
      <w:pPr>
        <w:pStyle w:val="Heading1"/>
      </w:pPr>
      <w:bookmarkStart w:id="13" w:name="O_232148"/>
      <w:bookmarkEnd w:id="13"/>
      <w:r w:rsidRPr="000D2824">
        <w:t>Custom Content Section</w:t>
      </w:r>
    </w:p>
    <w:tbl>
      <w:tblPr>
        <w:tblW w:w="0" w:type="auto"/>
        <w:tblLayout w:type="fixed"/>
        <w:tblCellMar>
          <w:left w:w="62" w:type="dxa"/>
          <w:right w:w="62" w:type="dxa"/>
        </w:tblCellMar>
        <w:tblLook w:val="0000"/>
      </w:tblPr>
      <w:tblGrid>
        <w:gridCol w:w="1438"/>
        <w:gridCol w:w="1171"/>
        <w:gridCol w:w="1722"/>
        <w:gridCol w:w="1171"/>
        <w:gridCol w:w="1705"/>
        <w:gridCol w:w="1433"/>
      </w:tblGrid>
      <w:tr w:rsidTr="0023117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2</w:t>
            </w:r>
            <w:r w:rsidRPr="000D2824">
              <w:t>.</w:t>
            </w:r>
            <w:r w:rsidRPr="000D2824">
              <w:rPr>
                <w:rStyle w:val="SpecialBold"/>
              </w:rPr>
              <w:t>2</w:t>
            </w:r>
            <w:r w:rsidRPr="000D2824">
              <w:t xml:space="preserve">) </w:t>
            </w:r>
            <w:r w:rsidRPr="000D2824">
              <w:rPr>
                <w:rStyle w:val="SpecialBold"/>
              </w:rPr>
              <w:t>Literacy and numeracy skills</w:t>
            </w:r>
          </w:p>
          <w:p w:rsidR="00000000" w:rsidP="000D2824">
            <w:pPr>
              <w:pStyle w:val="BodyText"/>
              <w:rPr>
                <w:lang w:val="en-NZ"/>
              </w:rPr>
            </w:pPr>
            <w:r w:rsidRPr="000D2824">
              <w:t>Participants are best equipped to achieve this unit if they have reading, writing and numeracy skills indicated by the following scales. Description of each scale is given in Volume 2, Part 3 "Literacy and Numeracy"</w:t>
            </w:r>
          </w:p>
        </w:tc>
      </w:tr>
      <w:tr w:rsidTr="0023117B">
        <w:tblPrEx>
          <w:tblW w:w="0" w:type="auto"/>
          <w:tblLayout w:type="fixed"/>
          <w:tblCellMar>
            <w:left w:w="62" w:type="dxa"/>
            <w:right w:w="62" w:type="dxa"/>
          </w:tblCellMar>
          <w:tblLook w:val="0000"/>
        </w:tblPrEx>
        <w:tc>
          <w:tcPr>
            <w:tcW w:w="1438"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Reading</w:t>
            </w:r>
          </w:p>
        </w:tc>
        <w:tc>
          <w:tcPr>
            <w:tcW w:w="1171"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5</w:t>
            </w:r>
          </w:p>
        </w:tc>
        <w:tc>
          <w:tcPr>
            <w:tcW w:w="1722"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Writing</w:t>
            </w:r>
          </w:p>
        </w:tc>
        <w:tc>
          <w:tcPr>
            <w:tcW w:w="1171"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5</w:t>
            </w:r>
          </w:p>
        </w:tc>
        <w:tc>
          <w:tcPr>
            <w:tcW w:w="1705"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t>Numeracy</w:t>
            </w:r>
          </w:p>
        </w:tc>
        <w:tc>
          <w:tcPr>
            <w:tcW w:w="1433"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t>5</w:t>
            </w:r>
          </w:p>
        </w:tc>
      </w:tr>
    </w:tbl>
    <w:p w:rsidR="0023117B" w:rsidP="000D2824">
      <w:pPr>
        <w:pStyle w:val="BodyText"/>
      </w:pPr>
    </w:p>
    <w:p w:rsidR="0023117B" w:rsidP="000D2824">
      <w:pPr>
        <w:pStyle w:val="BodyText"/>
      </w:pPr>
    </w:p>
    <w:p w:rsidR="00000000" w:rsidRPr="000D2824" w:rsidP="000D2824">
      <w:pPr>
        <w:pStyle w:val="Heading1"/>
      </w:pPr>
      <w:bookmarkStart w:id="14" w:name="O_232151"/>
      <w:bookmarkEnd w:id="14"/>
      <w:r w:rsidRPr="000D2824">
        <w:t>Competency Field</w:t>
      </w:r>
    </w:p>
    <w:tbl>
      <w:tblPr>
        <w:tblW w:w="0" w:type="auto"/>
        <w:tblLayout w:type="fixed"/>
        <w:tblCellMar>
          <w:left w:w="62" w:type="dxa"/>
          <w:right w:w="62" w:type="dxa"/>
        </w:tblCellMar>
        <w:tblLook w:val="0000"/>
      </w:tblPr>
      <w:tblGrid>
        <w:gridCol w:w="2700"/>
        <w:gridCol w:w="5940"/>
      </w:tblGrid>
      <w:tr w:rsidTr="002311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rPr>
                <w:rStyle w:val="SpecialBold"/>
              </w:rPr>
              <w:t>Competency Field</w:t>
            </w:r>
          </w:p>
        </w:tc>
        <w:tc>
          <w:tcPr>
            <w:tcW w:w="5940" w:type="dxa"/>
            <w:tcBorders>
              <w:top w:val="nil"/>
              <w:left w:val="nil"/>
              <w:bottom w:val="nil"/>
              <w:right w:val="nil"/>
            </w:tcBorders>
            <w:tcMar>
              <w:top w:w="0" w:type="dxa"/>
              <w:left w:w="62" w:type="dxa"/>
              <w:bottom w:w="0" w:type="dxa"/>
              <w:right w:w="62" w:type="dxa"/>
            </w:tcMar>
          </w:tcPr>
          <w:p w:rsidR="00000000" w:rsidP="000D2824">
            <w:pPr>
              <w:pStyle w:val="BodyText"/>
              <w:rPr>
                <w:lang w:val="en-NZ"/>
              </w:rPr>
            </w:pPr>
            <w:r w:rsidRPr="000D2824">
              <w:rPr>
                <w:rStyle w:val="SpecialBold"/>
              </w:rPr>
              <w:t>5</w:t>
            </w:r>
            <w:r w:rsidRPr="000D2824">
              <w:t>)</w:t>
            </w:r>
          </w:p>
        </w:tc>
      </w:tr>
      <w:tr w:rsidTr="002311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0D2824" w:rsidP="000D2824">
            <w:pPr>
              <w:pStyle w:val="BodyText"/>
            </w:pPr>
            <w:r w:rsidRPr="000D2824">
              <w:t>Testing Units</w:t>
            </w:r>
          </w:p>
        </w:tc>
      </w:tr>
    </w:tbl>
    <w:p w:rsidR="0023117B" w:rsidP="000D2824">
      <w:pPr>
        <w:pStyle w:val="BodyText"/>
      </w:pPr>
    </w:p>
    <w:p w:rsidR="0023117B" w:rsidP="000D2824">
      <w:pPr>
        <w:pStyle w:val="BodyText"/>
      </w:pPr>
    </w:p>
    <w:p w:rsidR="00000000" w:rsidRPr="000D2824" w:rsidP="000D2824"/>
    <w:sectPr w:rsidSect="000D28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17B" w:rsidP="002311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7B" w:rsidP="000D28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3117B" w:rsidP="000D28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3117B" w:rsidP="000D28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24" w:rsidRPr="0023117B" w:rsidP="002311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7B" w:rsidRPr="002D2AF8" w:rsidP="000D2824">
    <w:pPr>
      <w:pStyle w:val="Header"/>
      <w:framePr w:wrap="around"/>
    </w:pPr>
    <w:r>
      <w:fldChar w:fldCharType="begin"/>
    </w:r>
    <w:r>
      <w:instrText xml:space="preserve"> TITLE   \* MERGEFORMAT </w:instrText>
    </w:r>
    <w:r>
      <w:fldChar w:fldCharType="separate"/>
    </w:r>
    <w:r>
      <w:t>UETTDRTS01B Maintain network protection and control systems (interdependent)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23117B" w:rsidP="000D28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4296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58A8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8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824"/>
    <w:pPr>
      <w:spacing w:before="360" w:after="60"/>
      <w:outlineLvl w:val="0"/>
    </w:pPr>
    <w:rPr>
      <w:sz w:val="32"/>
    </w:rPr>
  </w:style>
  <w:style w:type="paragraph" w:styleId="Heading2">
    <w:name w:val="heading 2"/>
    <w:basedOn w:val="HeadingBase"/>
    <w:next w:val="BodyText"/>
    <w:link w:val="Heading2Char"/>
    <w:qFormat/>
    <w:rsid w:val="000D2824"/>
    <w:pPr>
      <w:keepLines/>
      <w:spacing w:before="240" w:after="120"/>
      <w:outlineLvl w:val="1"/>
    </w:pPr>
    <w:rPr>
      <w:sz w:val="28"/>
      <w:szCs w:val="40"/>
    </w:rPr>
  </w:style>
  <w:style w:type="paragraph" w:styleId="Heading3">
    <w:name w:val="heading 3"/>
    <w:basedOn w:val="HeadingBase"/>
    <w:next w:val="BodyText"/>
    <w:link w:val="Heading3Char"/>
    <w:qFormat/>
    <w:rsid w:val="000D2824"/>
    <w:pPr>
      <w:spacing w:before="180" w:after="120"/>
      <w:outlineLvl w:val="2"/>
    </w:pPr>
    <w:rPr>
      <w:spacing w:val="-10"/>
      <w:kern w:val="32"/>
    </w:rPr>
  </w:style>
  <w:style w:type="paragraph" w:styleId="Heading4">
    <w:name w:val="heading 4"/>
    <w:basedOn w:val="HeadingBase"/>
    <w:next w:val="BodyText"/>
    <w:link w:val="Heading4Char"/>
    <w:qFormat/>
    <w:rsid w:val="000D2824"/>
    <w:pPr>
      <w:spacing w:before="160" w:after="120"/>
      <w:outlineLvl w:val="3"/>
    </w:pPr>
    <w:rPr>
      <w:sz w:val="22"/>
    </w:rPr>
  </w:style>
  <w:style w:type="paragraph" w:styleId="Heading5">
    <w:name w:val="heading 5"/>
    <w:basedOn w:val="HeadingBase"/>
    <w:next w:val="Normal"/>
    <w:link w:val="Heading5Char"/>
    <w:qFormat/>
    <w:rsid w:val="000D2824"/>
    <w:pPr>
      <w:spacing w:before="80"/>
      <w:outlineLvl w:val="4"/>
    </w:pPr>
    <w:rPr>
      <w:color w:val="918585"/>
      <w:sz w:val="20"/>
    </w:rPr>
  </w:style>
  <w:style w:type="paragraph" w:styleId="Heading6">
    <w:name w:val="heading 6"/>
    <w:basedOn w:val="HeadingBase"/>
    <w:next w:val="Normal"/>
    <w:link w:val="Heading6Char"/>
    <w:qFormat/>
    <w:rsid w:val="000D2824"/>
    <w:pPr>
      <w:spacing w:before="60"/>
      <w:outlineLvl w:val="5"/>
    </w:pPr>
    <w:rPr>
      <w:color w:val="918585"/>
      <w:sz w:val="20"/>
    </w:rPr>
  </w:style>
  <w:style w:type="paragraph" w:styleId="Heading7">
    <w:name w:val="heading 7"/>
    <w:basedOn w:val="Normal"/>
    <w:next w:val="Normal"/>
    <w:link w:val="Heading7Char"/>
    <w:qFormat/>
    <w:rsid w:val="000D2824"/>
    <w:pPr>
      <w:ind w:left="720"/>
      <w:outlineLvl w:val="6"/>
    </w:pPr>
    <w:rPr>
      <w:i/>
    </w:rPr>
  </w:style>
  <w:style w:type="paragraph" w:styleId="Heading8">
    <w:name w:val="heading 8"/>
    <w:basedOn w:val="Normal"/>
    <w:next w:val="Normal"/>
    <w:link w:val="Heading8Char"/>
    <w:qFormat/>
    <w:rsid w:val="000D2824"/>
    <w:pPr>
      <w:ind w:left="720"/>
      <w:outlineLvl w:val="7"/>
    </w:pPr>
    <w:rPr>
      <w:i/>
    </w:rPr>
  </w:style>
  <w:style w:type="paragraph" w:styleId="Heading9">
    <w:name w:val="heading 9"/>
    <w:basedOn w:val="Normal"/>
    <w:next w:val="Normal"/>
    <w:link w:val="Heading9Char"/>
    <w:qFormat/>
    <w:rsid w:val="000D2824"/>
    <w:pPr>
      <w:ind w:left="720"/>
      <w:outlineLvl w:val="8"/>
    </w:pPr>
    <w:rPr>
      <w:i/>
    </w:rPr>
  </w:style>
  <w:style w:type="character" w:default="1" w:styleId="DefaultParagraphFont">
    <w:name w:val="Default Paragraph Font"/>
    <w:uiPriority w:val="1"/>
    <w:unhideWhenUsed/>
    <w:rsid w:val="000D2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824"/>
  </w:style>
  <w:style w:type="character" w:customStyle="1" w:styleId="Heading1Char">
    <w:name w:val="Heading 1 Char"/>
    <w:basedOn w:val="DefaultParagraphFont"/>
    <w:link w:val="Heading1"/>
    <w:rsid w:val="000D2824"/>
    <w:rPr>
      <w:rFonts w:ascii="Times New Roman" w:eastAsia="Times New Roman" w:hAnsi="Times New Roman" w:cs="Times New Roman"/>
      <w:b/>
      <w:sz w:val="32"/>
      <w:szCs w:val="20"/>
      <w:lang w:eastAsia="en-US"/>
    </w:rPr>
  </w:style>
  <w:style w:type="paragraph" w:styleId="BodyText">
    <w:name w:val="Body Text"/>
    <w:basedOn w:val="Normal"/>
    <w:link w:val="BodyTextChar"/>
    <w:rsid w:val="000D28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2824"/>
    <w:rPr>
      <w:rFonts w:ascii="Times New Roman" w:eastAsia="Times New Roman" w:hAnsi="Times New Roman" w:cs="Times New Roman"/>
      <w:sz w:val="24"/>
      <w:lang w:eastAsia="en-US"/>
    </w:rPr>
  </w:style>
  <w:style w:type="paragraph" w:styleId="Footer">
    <w:name w:val="footer"/>
    <w:basedOn w:val="Normal"/>
    <w:link w:val="FooterChar"/>
    <w:rsid w:val="000D2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824"/>
    <w:rPr>
      <w:rFonts w:ascii="Times New Roman" w:eastAsia="Times New Roman" w:hAnsi="Times New Roman" w:cs="Times New Roman"/>
      <w:sz w:val="16"/>
      <w:lang w:eastAsia="en-US"/>
    </w:rPr>
  </w:style>
  <w:style w:type="paragraph" w:styleId="ListBullet">
    <w:name w:val="List Bullet"/>
    <w:basedOn w:val="List"/>
    <w:rsid w:val="000D2824"/>
    <w:pPr>
      <w:numPr>
        <w:numId w:val="13"/>
      </w:numPr>
      <w:tabs>
        <w:tab w:val="clear" w:pos="340"/>
      </w:tabs>
      <w:spacing w:before="40" w:after="40"/>
    </w:pPr>
  </w:style>
  <w:style w:type="character" w:customStyle="1" w:styleId="SpecialBold">
    <w:name w:val="Special Bold"/>
    <w:basedOn w:val="DefaultParagraphFont"/>
    <w:rsid w:val="000D2824"/>
    <w:rPr>
      <w:b/>
      <w:spacing w:val="0"/>
    </w:rPr>
  </w:style>
  <w:style w:type="paragraph" w:customStyle="1" w:styleId="SuperHeading">
    <w:name w:val="SuperHeading"/>
    <w:basedOn w:val="Normal"/>
    <w:rsid w:val="000D2824"/>
    <w:pPr>
      <w:spacing w:before="240" w:after="120"/>
      <w:outlineLvl w:val="0"/>
    </w:pPr>
    <w:rPr>
      <w:rFonts w:ascii="Times New Roman" w:hAnsi="Times New Roman"/>
      <w:b/>
      <w:sz w:val="28"/>
    </w:rPr>
  </w:style>
  <w:style w:type="paragraph" w:customStyle="1" w:styleId="AllowPageBreak">
    <w:name w:val="AllowPageBreak"/>
    <w:rsid w:val="000D28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2824"/>
    <w:pPr>
      <w:numPr>
        <w:numId w:val="2"/>
      </w:numPr>
      <w:tabs>
        <w:tab w:val="clear" w:pos="1021"/>
      </w:tabs>
      <w:ind w:left="1037" w:hanging="357"/>
    </w:pPr>
  </w:style>
  <w:style w:type="character" w:customStyle="1" w:styleId="Heading2Char">
    <w:name w:val="Heading 2 Char"/>
    <w:basedOn w:val="DefaultParagraphFont"/>
    <w:link w:val="Heading2"/>
    <w:rsid w:val="000D28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8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8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8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8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8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824"/>
    <w:rPr>
      <w:rFonts w:ascii="Courier New" w:eastAsia="Times New Roman" w:hAnsi="Courier New" w:cs="Times New Roman"/>
      <w:i/>
      <w:szCs w:val="20"/>
      <w:lang w:eastAsia="en-US"/>
    </w:rPr>
  </w:style>
  <w:style w:type="paragraph" w:customStyle="1" w:styleId="HeadingBase">
    <w:name w:val="Heading Base"/>
    <w:rsid w:val="000D2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824"/>
    <w:pPr>
      <w:tabs>
        <w:tab w:val="right" w:leader="dot" w:pos="9072"/>
      </w:tabs>
      <w:ind w:left="567"/>
    </w:pPr>
    <w:rPr>
      <w:szCs w:val="22"/>
    </w:rPr>
  </w:style>
  <w:style w:type="paragraph" w:customStyle="1" w:styleId="TOCBase">
    <w:name w:val="TOC Base"/>
    <w:rsid w:val="000D2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824"/>
    <w:pPr>
      <w:tabs>
        <w:tab w:val="right" w:leader="dot" w:pos="9072"/>
      </w:tabs>
      <w:spacing w:before="40" w:after="40"/>
      <w:ind w:left="284"/>
    </w:pPr>
    <w:rPr>
      <w:rFonts w:ascii="Times New Roman" w:hAnsi="Times New Roman"/>
    </w:rPr>
  </w:style>
  <w:style w:type="paragraph" w:styleId="TOC1">
    <w:name w:val="toc 1"/>
    <w:basedOn w:val="TOCBase"/>
    <w:next w:val="Normal"/>
    <w:rsid w:val="000D28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2824"/>
    <w:pPr>
      <w:spacing w:before="5040"/>
      <w:jc w:val="center"/>
    </w:pPr>
    <w:rPr>
      <w:sz w:val="48"/>
      <w:szCs w:val="72"/>
      <w:lang w:val="en-US"/>
    </w:rPr>
  </w:style>
  <w:style w:type="character" w:customStyle="1" w:styleId="TitleChar">
    <w:name w:val="Title Char"/>
    <w:basedOn w:val="DefaultParagraphFont"/>
    <w:link w:val="Title"/>
    <w:rsid w:val="000D2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824"/>
    <w:pPr>
      <w:tabs>
        <w:tab w:val="left" w:pos="3600"/>
        <w:tab w:val="left" w:pos="3958"/>
      </w:tabs>
    </w:pPr>
  </w:style>
  <w:style w:type="paragraph" w:styleId="List">
    <w:name w:val="List"/>
    <w:basedOn w:val="BodyText"/>
    <w:next w:val="BodyText"/>
    <w:rsid w:val="000D2824"/>
    <w:pPr>
      <w:tabs>
        <w:tab w:val="left" w:pos="340"/>
      </w:tabs>
      <w:spacing w:before="60" w:after="60"/>
      <w:ind w:left="340" w:hanging="340"/>
    </w:pPr>
  </w:style>
  <w:style w:type="paragraph" w:customStyle="1" w:styleId="Note">
    <w:name w:val="Note"/>
    <w:basedOn w:val="BodyText"/>
    <w:rsid w:val="000D28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824"/>
    <w:pPr>
      <w:framePr w:wrap="auto" w:hAnchor="text" w:y="6049"/>
    </w:pPr>
    <w:rPr>
      <w:color w:val="000000"/>
      <w:sz w:val="40"/>
    </w:rPr>
  </w:style>
  <w:style w:type="paragraph" w:customStyle="1" w:styleId="TOCTitle">
    <w:name w:val="TOCTitle"/>
    <w:basedOn w:val="Heading1"/>
    <w:rsid w:val="000D2824"/>
    <w:pPr>
      <w:spacing w:after="240"/>
      <w:jc w:val="center"/>
      <w:outlineLvl w:val="9"/>
    </w:pPr>
    <w:rPr>
      <w:caps/>
    </w:rPr>
  </w:style>
  <w:style w:type="paragraph" w:customStyle="1" w:styleId="Version">
    <w:name w:val="Version"/>
    <w:rsid w:val="000D28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2824"/>
    <w:pPr>
      <w:numPr>
        <w:numId w:val="14"/>
      </w:numPr>
      <w:tabs>
        <w:tab w:val="clear" w:pos="680"/>
      </w:tabs>
    </w:pPr>
  </w:style>
  <w:style w:type="paragraph" w:styleId="Index1">
    <w:name w:val="index 1"/>
    <w:basedOn w:val="Normal"/>
    <w:next w:val="Normal"/>
    <w:semiHidden/>
    <w:rsid w:val="000D2824"/>
    <w:pPr>
      <w:keepNext w:val="0"/>
      <w:tabs>
        <w:tab w:val="right" w:pos="4176"/>
      </w:tabs>
      <w:ind w:left="198" w:hanging="198"/>
    </w:pPr>
    <w:rPr>
      <w:rFonts w:ascii="Garamond" w:hAnsi="Garamond"/>
    </w:rPr>
  </w:style>
  <w:style w:type="paragraph" w:styleId="IndexHeading">
    <w:name w:val="index heading"/>
    <w:basedOn w:val="Normal"/>
    <w:next w:val="Index1"/>
    <w:semiHidden/>
    <w:rsid w:val="000D2824"/>
    <w:pPr>
      <w:spacing w:before="120" w:after="120"/>
    </w:pPr>
    <w:rPr>
      <w:rFonts w:ascii="Arial" w:hAnsi="Arial"/>
      <w:b/>
      <w:color w:val="918585"/>
      <w:sz w:val="24"/>
    </w:rPr>
  </w:style>
  <w:style w:type="paragraph" w:styleId="Header">
    <w:name w:val="header"/>
    <w:basedOn w:val="Normal"/>
    <w:link w:val="HeaderChar"/>
    <w:rsid w:val="000D2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824"/>
    <w:rPr>
      <w:rFonts w:ascii="Times New Roman" w:eastAsia="Times New Roman" w:hAnsi="Times New Roman" w:cs="Times New Roman"/>
      <w:sz w:val="16"/>
      <w:szCs w:val="20"/>
      <w:lang w:val="en-GB" w:eastAsia="en-US"/>
    </w:rPr>
  </w:style>
  <w:style w:type="paragraph" w:customStyle="1" w:styleId="Chapter">
    <w:name w:val="Chapter"/>
    <w:basedOn w:val="Normal"/>
    <w:rsid w:val="000D2824"/>
    <w:pPr>
      <w:spacing w:before="240"/>
    </w:pPr>
    <w:rPr>
      <w:rFonts w:ascii="Times New Roman" w:hAnsi="Times New Roman"/>
      <w:smallCaps/>
      <w:spacing w:val="80"/>
      <w:sz w:val="28"/>
    </w:rPr>
  </w:style>
  <w:style w:type="paragraph" w:customStyle="1" w:styleId="InChapter">
    <w:name w:val="InChapter"/>
    <w:basedOn w:val="Heading3"/>
    <w:rsid w:val="000D2824"/>
    <w:pPr>
      <w:spacing w:after="240"/>
      <w:outlineLvl w:val="9"/>
    </w:pPr>
    <w:rPr>
      <w:noProof/>
    </w:rPr>
  </w:style>
  <w:style w:type="paragraph" w:styleId="Index2">
    <w:name w:val="index 2"/>
    <w:basedOn w:val="Normal"/>
    <w:next w:val="Normal"/>
    <w:semiHidden/>
    <w:rsid w:val="000D2824"/>
    <w:pPr>
      <w:tabs>
        <w:tab w:val="right" w:pos="4176"/>
      </w:tabs>
      <w:ind w:left="568" w:hanging="284"/>
    </w:pPr>
    <w:rPr>
      <w:rFonts w:ascii="Garamond" w:hAnsi="Garamond"/>
    </w:rPr>
  </w:style>
  <w:style w:type="paragraph" w:customStyle="1" w:styleId="Byline">
    <w:name w:val="Byline"/>
    <w:rsid w:val="000D2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824"/>
    <w:pPr>
      <w:tabs>
        <w:tab w:val="clear" w:pos="3600"/>
        <w:tab w:val="clear" w:pos="3958"/>
      </w:tabs>
      <w:jc w:val="right"/>
    </w:pPr>
  </w:style>
  <w:style w:type="character" w:styleId="Emphasis">
    <w:name w:val="Emphasis"/>
    <w:basedOn w:val="DefaultParagraphFont"/>
    <w:qFormat/>
    <w:rsid w:val="000D2824"/>
    <w:rPr>
      <w:i/>
    </w:rPr>
  </w:style>
  <w:style w:type="paragraph" w:styleId="Caption">
    <w:name w:val="caption"/>
    <w:basedOn w:val="BodyText"/>
    <w:next w:val="Normal"/>
    <w:qFormat/>
    <w:rsid w:val="000D2824"/>
    <w:pPr>
      <w:framePr w:w="2268" w:hSpace="181" w:vSpace="181" w:wrap="around" w:vAnchor="text" w:hAnchor="page" w:x="1135" w:y="285" w:anchorLock="1"/>
    </w:pPr>
    <w:rPr>
      <w:i/>
    </w:rPr>
  </w:style>
  <w:style w:type="paragraph" w:customStyle="1" w:styleId="MiniTOCTitle">
    <w:name w:val="MiniTOCTitle"/>
    <w:basedOn w:val="Heading4"/>
    <w:rsid w:val="000D2824"/>
    <w:pPr>
      <w:spacing w:before="240"/>
      <w:outlineLvl w:val="9"/>
    </w:pPr>
    <w:rPr>
      <w:noProof/>
      <w:sz w:val="24"/>
    </w:rPr>
  </w:style>
  <w:style w:type="paragraph" w:customStyle="1" w:styleId="MiniTOCItem">
    <w:name w:val="MiniTOCItem"/>
    <w:basedOn w:val="ListBullet"/>
    <w:rsid w:val="000D2824"/>
    <w:pPr>
      <w:numPr>
        <w:numId w:val="0"/>
      </w:numPr>
      <w:tabs>
        <w:tab w:val="right" w:leader="dot" w:pos="6521"/>
      </w:tabs>
      <w:spacing w:before="0" w:after="0"/>
    </w:pPr>
  </w:style>
  <w:style w:type="paragraph" w:customStyle="1" w:styleId="TOFTitle">
    <w:name w:val="TOFTitle"/>
    <w:basedOn w:val="TOCTitle"/>
    <w:rsid w:val="000D2824"/>
  </w:style>
  <w:style w:type="paragraph" w:styleId="TableofFigures">
    <w:name w:val="table of figures"/>
    <w:basedOn w:val="Normal"/>
    <w:next w:val="Normal"/>
    <w:semiHidden/>
    <w:rsid w:val="000D2824"/>
    <w:pPr>
      <w:tabs>
        <w:tab w:val="right" w:leader="dot" w:pos="9072"/>
      </w:tabs>
      <w:ind w:left="970" w:hanging="403"/>
    </w:pPr>
    <w:rPr>
      <w:rFonts w:ascii="Times New Roman" w:hAnsi="Times New Roman"/>
      <w:b/>
    </w:rPr>
  </w:style>
  <w:style w:type="paragraph" w:styleId="ListNumber">
    <w:name w:val="List Number"/>
    <w:basedOn w:val="List"/>
    <w:rsid w:val="000D2824"/>
    <w:pPr>
      <w:numPr>
        <w:numId w:val="11"/>
      </w:numPr>
    </w:pPr>
  </w:style>
  <w:style w:type="character" w:customStyle="1" w:styleId="WingdingSymbols">
    <w:name w:val="Wingding Symbols"/>
    <w:rsid w:val="000D2824"/>
    <w:rPr>
      <w:rFonts w:ascii="Wingdings" w:hAnsi="Wingdings"/>
    </w:rPr>
  </w:style>
  <w:style w:type="paragraph" w:customStyle="1" w:styleId="TableHeading">
    <w:name w:val="Table Heading"/>
    <w:basedOn w:val="HeadingBase"/>
    <w:rsid w:val="000D2824"/>
    <w:pPr>
      <w:keepLines/>
      <w:pBdr>
        <w:bottom w:val="single" w:sz="6" w:space="1" w:color="918585"/>
      </w:pBdr>
      <w:spacing w:before="240"/>
    </w:pPr>
  </w:style>
  <w:style w:type="character" w:customStyle="1" w:styleId="HotSpot">
    <w:name w:val="HotSpot"/>
    <w:rsid w:val="000D2824"/>
    <w:rPr>
      <w:color w:val="0033CC"/>
      <w:u w:val="none"/>
    </w:rPr>
  </w:style>
  <w:style w:type="paragraph" w:customStyle="1" w:styleId="BodyTextRight">
    <w:name w:val="Body Text Right"/>
    <w:basedOn w:val="BodyText"/>
    <w:rsid w:val="000D2824"/>
    <w:pPr>
      <w:spacing w:before="0" w:after="0"/>
      <w:jc w:val="right"/>
    </w:pPr>
  </w:style>
  <w:style w:type="paragraph" w:styleId="Index3">
    <w:name w:val="index 3"/>
    <w:basedOn w:val="ListNumber2"/>
    <w:next w:val="Normal"/>
    <w:semiHidden/>
    <w:rsid w:val="000D2824"/>
    <w:pPr>
      <w:numPr>
        <w:numId w:val="0"/>
      </w:numPr>
      <w:tabs>
        <w:tab w:val="right" w:leader="dot" w:pos="4176"/>
      </w:tabs>
    </w:pPr>
  </w:style>
  <w:style w:type="paragraph" w:styleId="ListNumber2">
    <w:name w:val="List Number 2"/>
    <w:basedOn w:val="List2"/>
    <w:rsid w:val="000D2824"/>
    <w:pPr>
      <w:numPr>
        <w:numId w:val="10"/>
      </w:numPr>
      <w:tabs>
        <w:tab w:val="clear" w:pos="1060"/>
      </w:tabs>
    </w:pPr>
  </w:style>
  <w:style w:type="paragraph" w:customStyle="1" w:styleId="MarginNote">
    <w:name w:val="Margin Note"/>
    <w:basedOn w:val="BodyText"/>
    <w:rsid w:val="000D2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8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824"/>
    <w:rPr>
      <w:sz w:val="32"/>
    </w:rPr>
  </w:style>
  <w:style w:type="paragraph" w:customStyle="1" w:styleId="HeadingProcedure">
    <w:name w:val="Heading Procedure"/>
    <w:basedOn w:val="HeadingBase"/>
    <w:next w:val="Normal"/>
    <w:rsid w:val="000D2824"/>
    <w:pPr>
      <w:tabs>
        <w:tab w:val="left" w:pos="0"/>
      </w:tabs>
      <w:spacing w:before="120" w:after="60"/>
    </w:pPr>
    <w:rPr>
      <w:i/>
      <w:color w:val="918585"/>
      <w:sz w:val="22"/>
    </w:rPr>
  </w:style>
  <w:style w:type="paragraph" w:customStyle="1" w:styleId="TableBodyText">
    <w:name w:val="Table Body Text"/>
    <w:basedOn w:val="BodyText"/>
    <w:rsid w:val="000D2824"/>
    <w:pPr>
      <w:spacing w:before="60" w:after="60"/>
    </w:pPr>
  </w:style>
  <w:style w:type="paragraph" w:styleId="ListContinue">
    <w:name w:val="List Continue"/>
    <w:basedOn w:val="List"/>
    <w:rsid w:val="000D2824"/>
    <w:pPr>
      <w:ind w:firstLine="0"/>
    </w:pPr>
  </w:style>
  <w:style w:type="paragraph" w:customStyle="1" w:styleId="ListNote">
    <w:name w:val="List Note"/>
    <w:basedOn w:val="List"/>
    <w:rsid w:val="000D2824"/>
    <w:pPr>
      <w:pBdr>
        <w:top w:val="single" w:sz="6" w:space="2" w:color="918585"/>
        <w:bottom w:val="single" w:sz="6" w:space="2" w:color="918585"/>
      </w:pBdr>
      <w:tabs>
        <w:tab w:val="left" w:pos="1021"/>
      </w:tabs>
      <w:ind w:firstLine="0"/>
    </w:pPr>
  </w:style>
  <w:style w:type="paragraph" w:customStyle="1" w:styleId="Warning">
    <w:name w:val="Warning"/>
    <w:basedOn w:val="BodyText"/>
    <w:rsid w:val="000D2824"/>
    <w:pPr>
      <w:shd w:val="clear" w:color="auto" w:fill="D9D9D9"/>
      <w:tabs>
        <w:tab w:val="left" w:pos="992"/>
      </w:tabs>
      <w:ind w:left="119" w:right="119"/>
    </w:pPr>
    <w:rPr>
      <w:sz w:val="20"/>
    </w:rPr>
  </w:style>
  <w:style w:type="paragraph" w:customStyle="1" w:styleId="MarginIcons">
    <w:name w:val="Margin Icons"/>
    <w:basedOn w:val="BodyText"/>
    <w:rsid w:val="000D28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824"/>
    <w:rPr>
      <w:rFonts w:ascii="Courier New" w:hAnsi="Courier New"/>
    </w:rPr>
  </w:style>
  <w:style w:type="paragraph" w:customStyle="1" w:styleId="NoteBullet">
    <w:name w:val="Note Bullet"/>
    <w:basedOn w:val="Note"/>
    <w:rsid w:val="000D2824"/>
    <w:pPr>
      <w:tabs>
        <w:tab w:val="clear" w:pos="680"/>
      </w:tabs>
      <w:spacing w:before="60" w:after="60"/>
    </w:pPr>
  </w:style>
  <w:style w:type="paragraph" w:customStyle="1" w:styleId="SubHeading2">
    <w:name w:val="SubHeading2"/>
    <w:basedOn w:val="HeadingBase"/>
    <w:rsid w:val="000D2824"/>
    <w:pPr>
      <w:spacing w:before="240" w:after="60"/>
    </w:pPr>
    <w:rPr>
      <w:sz w:val="20"/>
    </w:rPr>
  </w:style>
  <w:style w:type="paragraph" w:customStyle="1" w:styleId="SubHeading1">
    <w:name w:val="SubHeading1"/>
    <w:basedOn w:val="HeadingBase"/>
    <w:rsid w:val="000D2824"/>
    <w:pPr>
      <w:spacing w:before="240" w:after="60"/>
    </w:pPr>
    <w:rPr>
      <w:color w:val="918585"/>
      <w:sz w:val="22"/>
    </w:rPr>
  </w:style>
  <w:style w:type="paragraph" w:customStyle="1" w:styleId="SideHeading">
    <w:name w:val="Side Heading"/>
    <w:basedOn w:val="HeadingBase"/>
    <w:rsid w:val="000D2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824"/>
    <w:pPr>
      <w:numPr>
        <w:numId w:val="12"/>
      </w:numPr>
    </w:pPr>
  </w:style>
  <w:style w:type="paragraph" w:styleId="PlainText">
    <w:name w:val="Plain Text"/>
    <w:basedOn w:val="Normal"/>
    <w:link w:val="PlainTextChar"/>
    <w:rsid w:val="000D2824"/>
    <w:rPr>
      <w:sz w:val="20"/>
    </w:rPr>
  </w:style>
  <w:style w:type="character" w:customStyle="1" w:styleId="PlainTextChar">
    <w:name w:val="Plain Text Char"/>
    <w:basedOn w:val="DefaultParagraphFont"/>
    <w:link w:val="PlainText"/>
    <w:rsid w:val="000D2824"/>
    <w:rPr>
      <w:rFonts w:ascii="Courier New" w:eastAsia="Times New Roman" w:hAnsi="Courier New" w:cs="Times New Roman"/>
      <w:sz w:val="20"/>
      <w:szCs w:val="20"/>
      <w:lang w:eastAsia="en-US"/>
    </w:rPr>
  </w:style>
  <w:style w:type="character" w:customStyle="1" w:styleId="MenuOption">
    <w:name w:val="Menu Option"/>
    <w:basedOn w:val="DefaultParagraphFont"/>
    <w:rsid w:val="000D2824"/>
    <w:rPr>
      <w:b/>
      <w:smallCaps/>
    </w:rPr>
  </w:style>
  <w:style w:type="paragraph" w:customStyle="1" w:styleId="TableListNumber">
    <w:name w:val="Table List Number"/>
    <w:basedOn w:val="ListNumber"/>
    <w:rsid w:val="000D2824"/>
    <w:pPr>
      <w:numPr>
        <w:numId w:val="0"/>
      </w:numPr>
    </w:pPr>
  </w:style>
  <w:style w:type="paragraph" w:styleId="TOC4">
    <w:name w:val="toc 4"/>
    <w:basedOn w:val="TOCBase"/>
    <w:next w:val="Normal"/>
    <w:semiHidden/>
    <w:rsid w:val="000D2824"/>
    <w:pPr>
      <w:tabs>
        <w:tab w:val="right" w:leader="dot" w:pos="9071"/>
      </w:tabs>
      <w:ind w:left="1701"/>
    </w:pPr>
  </w:style>
  <w:style w:type="paragraph" w:customStyle="1" w:styleId="ListAlpha">
    <w:name w:val="List Alpha"/>
    <w:basedOn w:val="List"/>
    <w:rsid w:val="000D2824"/>
    <w:pPr>
      <w:numPr>
        <w:numId w:val="9"/>
      </w:numPr>
    </w:pPr>
  </w:style>
  <w:style w:type="paragraph" w:customStyle="1" w:styleId="ListAlpha2">
    <w:name w:val="List Alpha 2"/>
    <w:basedOn w:val="List2"/>
    <w:rsid w:val="000D2824"/>
    <w:pPr>
      <w:numPr>
        <w:numId w:val="8"/>
      </w:numPr>
    </w:pPr>
  </w:style>
  <w:style w:type="paragraph" w:styleId="List2">
    <w:name w:val="List 2"/>
    <w:basedOn w:val="BodyText"/>
    <w:rsid w:val="000D2824"/>
    <w:pPr>
      <w:tabs>
        <w:tab w:val="left" w:pos="680"/>
      </w:tabs>
      <w:spacing w:before="60" w:after="60"/>
      <w:ind w:left="680" w:hanging="340"/>
    </w:pPr>
  </w:style>
  <w:style w:type="paragraph" w:styleId="List3">
    <w:name w:val="List 3"/>
    <w:basedOn w:val="BodyText"/>
    <w:rsid w:val="000D2824"/>
    <w:pPr>
      <w:tabs>
        <w:tab w:val="left" w:pos="1021"/>
      </w:tabs>
      <w:spacing w:before="60" w:after="60"/>
      <w:ind w:left="1020" w:hanging="340"/>
    </w:pPr>
  </w:style>
  <w:style w:type="paragraph" w:styleId="List4">
    <w:name w:val="List 4"/>
    <w:basedOn w:val="BodyText"/>
    <w:rsid w:val="000D2824"/>
    <w:pPr>
      <w:tabs>
        <w:tab w:val="left" w:pos="1361"/>
      </w:tabs>
      <w:spacing w:before="60" w:after="60"/>
      <w:ind w:left="1361" w:hanging="340"/>
    </w:pPr>
  </w:style>
  <w:style w:type="paragraph" w:styleId="List5">
    <w:name w:val="List 5"/>
    <w:basedOn w:val="BodyText"/>
    <w:rsid w:val="000D2824"/>
    <w:pPr>
      <w:tabs>
        <w:tab w:val="left" w:pos="1701"/>
      </w:tabs>
      <w:spacing w:before="60" w:after="60"/>
      <w:ind w:left="1701" w:hanging="340"/>
    </w:pPr>
  </w:style>
  <w:style w:type="paragraph" w:styleId="ListBullet4">
    <w:name w:val="List Bullet 4"/>
    <w:basedOn w:val="List4"/>
    <w:rsid w:val="000D2824"/>
    <w:pPr>
      <w:numPr>
        <w:numId w:val="3"/>
      </w:numPr>
    </w:pPr>
  </w:style>
  <w:style w:type="paragraph" w:styleId="ListBullet5">
    <w:name w:val="List Bullet 5"/>
    <w:basedOn w:val="List5"/>
    <w:rsid w:val="000D2824"/>
    <w:pPr>
      <w:numPr>
        <w:numId w:val="4"/>
      </w:numPr>
    </w:pPr>
  </w:style>
  <w:style w:type="paragraph" w:styleId="ListContinue2">
    <w:name w:val="List Continue 2"/>
    <w:basedOn w:val="List2"/>
    <w:rsid w:val="000D2824"/>
    <w:pPr>
      <w:ind w:firstLine="0"/>
    </w:pPr>
  </w:style>
  <w:style w:type="paragraph" w:styleId="ListContinue3">
    <w:name w:val="List Continue 3"/>
    <w:basedOn w:val="List3"/>
    <w:rsid w:val="000D2824"/>
    <w:pPr>
      <w:ind w:left="1021" w:firstLine="0"/>
    </w:pPr>
  </w:style>
  <w:style w:type="paragraph" w:styleId="ListContinue4">
    <w:name w:val="List Continue 4"/>
    <w:basedOn w:val="List4"/>
    <w:rsid w:val="000D2824"/>
    <w:pPr>
      <w:ind w:firstLine="0"/>
    </w:pPr>
  </w:style>
  <w:style w:type="paragraph" w:styleId="ListContinue5">
    <w:name w:val="List Continue 5"/>
    <w:basedOn w:val="List5"/>
    <w:rsid w:val="000D2824"/>
    <w:pPr>
      <w:ind w:firstLine="0"/>
    </w:pPr>
  </w:style>
  <w:style w:type="paragraph" w:styleId="ListNumber3">
    <w:name w:val="List Number 3"/>
    <w:basedOn w:val="List3"/>
    <w:rsid w:val="000D2824"/>
    <w:pPr>
      <w:numPr>
        <w:numId w:val="5"/>
      </w:numPr>
    </w:pPr>
  </w:style>
  <w:style w:type="paragraph" w:styleId="ListNumber4">
    <w:name w:val="List Number 4"/>
    <w:basedOn w:val="List4"/>
    <w:rsid w:val="000D2824"/>
    <w:pPr>
      <w:numPr>
        <w:numId w:val="6"/>
      </w:numPr>
    </w:pPr>
  </w:style>
  <w:style w:type="paragraph" w:styleId="ListNumber5">
    <w:name w:val="List Number 5"/>
    <w:basedOn w:val="List5"/>
    <w:rsid w:val="000D2824"/>
    <w:pPr>
      <w:numPr>
        <w:numId w:val="7"/>
      </w:numPr>
    </w:pPr>
  </w:style>
  <w:style w:type="paragraph" w:styleId="BlockText">
    <w:name w:val="Block Text"/>
    <w:basedOn w:val="Normal"/>
    <w:rsid w:val="000D2824"/>
    <w:pPr>
      <w:spacing w:after="120"/>
      <w:ind w:left="1440" w:right="1440"/>
    </w:pPr>
  </w:style>
  <w:style w:type="character" w:customStyle="1" w:styleId="Subscript">
    <w:name w:val="Subscript"/>
    <w:basedOn w:val="DefaultParagraphFont"/>
    <w:rsid w:val="000D2824"/>
    <w:rPr>
      <w:sz w:val="16"/>
      <w:vertAlign w:val="subscript"/>
    </w:rPr>
  </w:style>
  <w:style w:type="character" w:customStyle="1" w:styleId="Superscript">
    <w:name w:val="Superscript"/>
    <w:basedOn w:val="DefaultParagraphFont"/>
    <w:rsid w:val="000D2824"/>
    <w:rPr>
      <w:sz w:val="16"/>
      <w:vertAlign w:val="superscript"/>
    </w:rPr>
  </w:style>
  <w:style w:type="character" w:customStyle="1" w:styleId="Symbols">
    <w:name w:val="Symbols"/>
    <w:basedOn w:val="DefaultParagraphFont"/>
    <w:rsid w:val="000D2824"/>
    <w:rPr>
      <w:rFonts w:ascii="Symbol" w:hAnsi="Symbol"/>
    </w:rPr>
  </w:style>
  <w:style w:type="character" w:customStyle="1" w:styleId="MenuOptions">
    <w:name w:val="Menu Options"/>
    <w:basedOn w:val="DefaultParagraphFont"/>
    <w:rsid w:val="000D2824"/>
    <w:rPr>
      <w:rFonts w:ascii="Arial Narrow" w:hAnsi="Arial Narrow"/>
      <w:smallCaps/>
    </w:rPr>
  </w:style>
  <w:style w:type="character" w:customStyle="1" w:styleId="Buttons">
    <w:name w:val="Buttons"/>
    <w:basedOn w:val="DefaultParagraphFont"/>
    <w:rsid w:val="000D2824"/>
    <w:rPr>
      <w:b/>
    </w:rPr>
  </w:style>
  <w:style w:type="character" w:customStyle="1" w:styleId="Underlined">
    <w:name w:val="Underlined"/>
    <w:basedOn w:val="DefaultParagraphFont"/>
    <w:rsid w:val="000D2824"/>
    <w:rPr>
      <w:u w:val="single"/>
    </w:rPr>
  </w:style>
  <w:style w:type="paragraph" w:customStyle="1" w:styleId="TableBodyTextRight">
    <w:name w:val="Table Body Text Right"/>
    <w:basedOn w:val="TableBodyText"/>
    <w:rsid w:val="000D2824"/>
    <w:pPr>
      <w:widowControl w:val="0"/>
      <w:autoSpaceDE w:val="0"/>
      <w:autoSpaceDN w:val="0"/>
      <w:adjustRightInd w:val="0"/>
      <w:jc w:val="right"/>
    </w:pPr>
    <w:rPr>
      <w:rFonts w:cs="Arial"/>
      <w:szCs w:val="18"/>
    </w:rPr>
  </w:style>
  <w:style w:type="paragraph" w:customStyle="1" w:styleId="CopyrightText">
    <w:name w:val="Copyright Text"/>
    <w:basedOn w:val="BodyText"/>
    <w:rsid w:val="000D2824"/>
    <w:rPr>
      <w:sz w:val="18"/>
    </w:rPr>
  </w:style>
  <w:style w:type="paragraph" w:customStyle="1" w:styleId="BodySmallRight">
    <w:name w:val="Body Small Right"/>
    <w:basedOn w:val="BodyTextRight"/>
    <w:rsid w:val="000D2824"/>
    <w:rPr>
      <w:sz w:val="18"/>
      <w:szCs w:val="18"/>
    </w:rPr>
  </w:style>
  <w:style w:type="paragraph" w:customStyle="1" w:styleId="MarginEdition">
    <w:name w:val="Margin Edition"/>
    <w:basedOn w:val="MarginNote"/>
    <w:rsid w:val="000D2824"/>
    <w:pPr>
      <w:spacing w:before="0" w:after="0"/>
    </w:pPr>
    <w:rPr>
      <w:rFonts w:ascii="Times New Roman" w:hAnsi="Times New Roman"/>
      <w:color w:val="999999"/>
    </w:rPr>
  </w:style>
  <w:style w:type="paragraph" w:customStyle="1" w:styleId="Spacer">
    <w:name w:val="Spacer"/>
    <w:basedOn w:val="Normal"/>
    <w:rsid w:val="000D2824"/>
    <w:rPr>
      <w:sz w:val="2"/>
      <w:szCs w:val="2"/>
    </w:rPr>
  </w:style>
  <w:style w:type="character" w:customStyle="1" w:styleId="Small">
    <w:name w:val="Small"/>
    <w:basedOn w:val="DefaultParagraphFont"/>
    <w:rsid w:val="000D2824"/>
    <w:rPr>
      <w:sz w:val="16"/>
    </w:rPr>
  </w:style>
  <w:style w:type="paragraph" w:customStyle="1" w:styleId="WideTable">
    <w:name w:val="Wide Table"/>
    <w:basedOn w:val="Normal"/>
    <w:rsid w:val="000D2824"/>
    <w:pPr>
      <w:ind w:left="-1418"/>
    </w:pPr>
    <w:rPr>
      <w:sz w:val="2"/>
      <w:szCs w:val="2"/>
    </w:rPr>
  </w:style>
  <w:style w:type="character" w:styleId="PageNumber">
    <w:name w:val="page number"/>
    <w:basedOn w:val="DefaultParagraphFont"/>
    <w:rsid w:val="000D2824"/>
  </w:style>
  <w:style w:type="paragraph" w:styleId="Quote">
    <w:name w:val="Quote"/>
    <w:basedOn w:val="Heading1"/>
    <w:link w:val="QuoteChar"/>
    <w:qFormat/>
    <w:rsid w:val="000D2824"/>
    <w:rPr>
      <w:b w:val="0"/>
      <w:sz w:val="72"/>
      <w:szCs w:val="72"/>
      <w:lang w:val="en-NZ"/>
    </w:rPr>
  </w:style>
  <w:style w:type="character" w:customStyle="1" w:styleId="QuoteChar">
    <w:name w:val="Quote Char"/>
    <w:basedOn w:val="DefaultParagraphFont"/>
    <w:link w:val="Quote"/>
    <w:rsid w:val="000D2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824"/>
    <w:pPr>
      <w:pageBreakBefore/>
    </w:pPr>
  </w:style>
  <w:style w:type="paragraph" w:customStyle="1" w:styleId="Border">
    <w:name w:val="Border"/>
    <w:basedOn w:val="Normal"/>
    <w:qFormat/>
    <w:rsid w:val="000D28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824"/>
    <w:rPr>
      <w:b/>
      <w:bCs/>
      <w:i/>
      <w:iCs/>
      <w:color w:val="auto"/>
    </w:rPr>
  </w:style>
  <w:style w:type="paragraph" w:styleId="IntenseQuote">
    <w:name w:val="Intense Quote"/>
    <w:basedOn w:val="Normal"/>
    <w:next w:val="Normal"/>
    <w:link w:val="IntenseQuoteChar"/>
    <w:uiPriority w:val="30"/>
    <w:qFormat/>
    <w:rsid w:val="000D28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8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824"/>
    <w:rPr>
      <w:smallCaps/>
      <w:color w:val="auto"/>
      <w:u w:val="single"/>
    </w:rPr>
  </w:style>
  <w:style w:type="character" w:styleId="IntenseReference">
    <w:name w:val="Intense Reference"/>
    <w:basedOn w:val="DefaultParagraphFont"/>
    <w:uiPriority w:val="32"/>
    <w:qFormat/>
    <w:rsid w:val="000D2824"/>
    <w:rPr>
      <w:b/>
      <w:bCs/>
      <w:smallCaps/>
      <w:color w:val="auto"/>
      <w:spacing w:val="5"/>
      <w:u w:val="single"/>
    </w:rPr>
  </w:style>
  <w:style w:type="paragraph" w:customStyle="1" w:styleId="2ColumnHeading">
    <w:name w:val="2Column Heading"/>
    <w:basedOn w:val="BodyText"/>
    <w:qFormat/>
    <w:rsid w:val="000D2824"/>
    <w:pPr>
      <w:spacing w:after="60"/>
      <w:ind w:left="-2268"/>
    </w:pPr>
    <w:rPr>
      <w:b/>
    </w:rPr>
  </w:style>
  <w:style w:type="paragraph" w:customStyle="1" w:styleId="Heading1TOC">
    <w:name w:val="Heading1 TOC"/>
    <w:basedOn w:val="Normal"/>
    <w:qFormat/>
    <w:rsid w:val="000D2824"/>
    <w:pPr>
      <w:spacing w:before="240" w:after="120"/>
    </w:pPr>
    <w:rPr>
      <w:rFonts w:ascii="Times New Roman" w:hAnsi="Times New Roman"/>
      <w:b/>
      <w:sz w:val="32"/>
    </w:rPr>
  </w:style>
  <w:style w:type="paragraph" w:customStyle="1" w:styleId="Heading2TOC">
    <w:name w:val="Heading2 TOC"/>
    <w:basedOn w:val="Normal"/>
    <w:qFormat/>
    <w:rsid w:val="000D2824"/>
    <w:pPr>
      <w:spacing w:before="240" w:after="60"/>
    </w:pPr>
    <w:rPr>
      <w:rFonts w:ascii="Times New Roman" w:hAnsi="Times New Roman"/>
      <w:b/>
      <w:sz w:val="28"/>
    </w:rPr>
  </w:style>
  <w:style w:type="character" w:customStyle="1" w:styleId="Underline">
    <w:name w:val="Underline"/>
    <w:basedOn w:val="DefaultParagraphFont"/>
    <w:qFormat/>
    <w:rsid w:val="000D2824"/>
    <w:rPr>
      <w:u w:val="single"/>
    </w:rPr>
  </w:style>
  <w:style w:type="character" w:customStyle="1" w:styleId="BoldandItalics">
    <w:name w:val="Bold and Italics"/>
    <w:qFormat/>
    <w:rsid w:val="000D2824"/>
    <w:rPr>
      <w:b/>
      <w:i/>
      <w:u w:val="none"/>
    </w:rPr>
  </w:style>
  <w:style w:type="paragraph" w:styleId="BalloonText">
    <w:name w:val="Balloon Text"/>
    <w:basedOn w:val="Normal"/>
    <w:link w:val="BalloonTextChar"/>
    <w:rsid w:val="000D2824"/>
    <w:rPr>
      <w:rFonts w:ascii="Tahoma" w:hAnsi="Tahoma" w:cs="Tahoma"/>
      <w:sz w:val="16"/>
      <w:szCs w:val="16"/>
    </w:rPr>
  </w:style>
  <w:style w:type="character" w:customStyle="1" w:styleId="BalloonTextChar">
    <w:name w:val="Balloon Text Char"/>
    <w:basedOn w:val="DefaultParagraphFont"/>
    <w:link w:val="BalloonText"/>
    <w:rsid w:val="000D28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8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28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824"/>
    <w:rPr>
      <w:b/>
      <w:color w:val="660033"/>
      <w:spacing w:val="0"/>
    </w:rPr>
  </w:style>
  <w:style w:type="paragraph" w:customStyle="1" w:styleId="Nameditemlist">
    <w:name w:val="Named item list"/>
    <w:basedOn w:val="BodyText"/>
    <w:qFormat/>
    <w:rsid w:val="000D28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2484</Words>
  <Characters>15795</Characters>
  <Application>Microsoft Office Word</Application>
  <DocSecurity>0</DocSecurity>
  <Lines>641</Lines>
  <Paragraphs>248</Paragraphs>
  <ScaleCrop>false</ScaleCrop>
  <Company>Author-it Software Corporation Ltd.</Company>
  <LinksUpToDate>false</LinksUpToDate>
  <CharactersWithSpaces>18082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UETTDRTS01B Maintain network protection and control systems (interdependent)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2012-10-01T04:40:00Z</dcterms:created>
  <dcterms:modified xsi:type="dcterms:W3CDTF">2012-10-01T04:40:00Z</dcterms:modified>
</cp:coreProperties>
</file>