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77FC" w:rsidP="00D077FC">
      <w:pPr>
        <w:pStyle w:val="Title"/>
      </w:pPr>
      <w:bookmarkStart w:id="0" w:name="_GoBack"/>
      <w:bookmarkEnd w:id="0"/>
      <w:r>
        <w:fldChar w:fldCharType="begin"/>
      </w:r>
      <w:r>
        <w:instrText xml:space="preserve"> TITLE   \* MERGEFORMAT </w:instrText>
      </w:r>
      <w:r>
        <w:fldChar w:fldCharType="separate"/>
      </w:r>
      <w:r>
        <w:t>UETTDRTP15B Install and maintain transmission network infrastructure electrical equipment</w:t>
      </w:r>
      <w:r>
        <w:fldChar w:fldCharType="end"/>
      </w:r>
    </w:p>
    <w:p w:rsidR="00D077FC" w:rsidP="00D077FC">
      <w:pPr>
        <w:pStyle w:val="Version"/>
        <w:sectPr w:rsidSect="002633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33D3" w:rsidP="002633D3">
      <w:pPr>
        <w:pStyle w:val="SuperHeading"/>
      </w:pPr>
      <w:r w:rsidRPr="002633D3">
        <w:t>UETTDRTP15B Install and maintain transmission network infrastructure electrical equipment</w:t>
      </w:r>
    </w:p>
    <w:p w:rsidR="00000000" w:rsidRPr="002633D3" w:rsidP="002633D3">
      <w:pPr>
        <w:pStyle w:val="Heading1"/>
      </w:pPr>
      <w:bookmarkStart w:id="1" w:name="O_275570"/>
      <w:bookmarkEnd w:id="1"/>
      <w:r w:rsidRPr="002633D3">
        <w:t>Modification History</w:t>
      </w:r>
    </w:p>
    <w:p w:rsidR="00000000" w:rsidRPr="002633D3" w:rsidP="002633D3">
      <w:pPr>
        <w:pStyle w:val="BodyText"/>
      </w:pPr>
      <w:r w:rsidRPr="002633D3">
        <w:t>Not Applicable</w:t>
      </w:r>
    </w:p>
    <w:p w:rsidR="00000000" w:rsidRPr="002633D3" w:rsidP="002633D3">
      <w:pPr>
        <w:pStyle w:val="AllowPageBreak"/>
      </w:pPr>
    </w:p>
    <w:p w:rsidR="00000000" w:rsidRPr="002633D3" w:rsidP="002633D3">
      <w:pPr>
        <w:pStyle w:val="Heading1"/>
      </w:pPr>
      <w:bookmarkStart w:id="2" w:name="O_232138"/>
      <w:bookmarkEnd w:id="2"/>
      <w:r w:rsidRPr="002633D3">
        <w:t>Unit Descriptor</w:t>
      </w:r>
    </w:p>
    <w:tbl>
      <w:tblPr>
        <w:tblW w:w="0" w:type="auto"/>
        <w:tblLayout w:type="fixed"/>
        <w:tblCellMar>
          <w:left w:w="62" w:type="dxa"/>
          <w:right w:w="62" w:type="dxa"/>
        </w:tblCellMar>
        <w:tblLook w:val="0000"/>
      </w:tblPr>
      <w:tblGrid>
        <w:gridCol w:w="2758"/>
        <w:gridCol w:w="5882"/>
      </w:tblGrid>
      <w:tr w:rsidTr="00D077F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rPr>
                <w:rStyle w:val="SpecialBold"/>
              </w:rPr>
              <w:t>1</w:t>
            </w:r>
            <w:r w:rsidRPr="002633D3">
              <w:t xml:space="preserve">) </w:t>
            </w:r>
          </w:p>
          <w:p w:rsidR="00000000" w:rsidP="002633D3">
            <w:pPr>
              <w:pStyle w:val="BodyText"/>
              <w:rPr>
                <w:lang w:val="en-NZ"/>
              </w:rPr>
            </w:pPr>
            <w:r w:rsidRPr="002633D3">
              <w:rPr>
                <w:rStyle w:val="SpecialBold"/>
              </w:rPr>
              <w:t>1</w:t>
            </w:r>
            <w:r w:rsidRPr="002633D3">
              <w:t>.</w:t>
            </w:r>
            <w:r w:rsidRPr="002633D3">
              <w:rPr>
                <w:rStyle w:val="SpecialBold"/>
              </w:rPr>
              <w:t>1</w:t>
            </w:r>
            <w:r w:rsidRPr="002633D3">
              <w:t xml:space="preserve">) </w:t>
            </w:r>
            <w:r w:rsidRPr="002633D3">
              <w:rPr>
                <w:rStyle w:val="SpecialBold"/>
              </w:rPr>
              <w:t>Descriptor</w:t>
            </w:r>
          </w:p>
        </w:tc>
      </w:tr>
      <w:tr w:rsidTr="00D077F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t>This Competency Standard Unit covers the maintenance of non-energised, pyramid, delta, Pi or enterprise specific transmission towers and associated hardware and, the inspection as per requirements of overhead structures such as towers and electrical appara</w:t>
            </w:r>
            <w:r w:rsidRPr="002633D3">
              <w:t>tus. Overhead structures include towers and overhead conductors and or cables include, underground and overhead transition points, electrical equipment, hardware and or earthing systems. This unit encompasses the repair, and or replacement of components in</w:t>
            </w:r>
            <w:r w:rsidRPr="002633D3">
              <w:t xml:space="preserve"> accordance with construction plans, specifications, work orders and standing enterprise requirements. Maintenance could also involve cleaning and welding. The updating of system data, records and or completion of relevant documentation in accordance with </w:t>
            </w:r>
            <w:r w:rsidRPr="002633D3">
              <w:t>enterprise requirements also forms part of this competency.</w:t>
            </w:r>
          </w:p>
        </w:tc>
      </w:tr>
    </w:tbl>
    <w:p w:rsidR="00D077FC" w:rsidP="002633D3">
      <w:pPr>
        <w:pStyle w:val="BodyText"/>
      </w:pPr>
    </w:p>
    <w:p w:rsidR="00D077FC" w:rsidP="002633D3">
      <w:pPr>
        <w:pStyle w:val="BodyText"/>
      </w:pPr>
    </w:p>
    <w:p w:rsidR="00000000" w:rsidRPr="002633D3" w:rsidP="002633D3">
      <w:pPr>
        <w:pStyle w:val="Heading1"/>
      </w:pPr>
      <w:bookmarkStart w:id="3" w:name="O_232143"/>
      <w:bookmarkEnd w:id="3"/>
      <w:r w:rsidRPr="002633D3">
        <w:t>Application of the Unit</w:t>
      </w:r>
    </w:p>
    <w:tbl>
      <w:tblPr>
        <w:tblW w:w="0" w:type="auto"/>
        <w:tblLayout w:type="fixed"/>
        <w:tblCellMar>
          <w:left w:w="62" w:type="dxa"/>
          <w:right w:w="62" w:type="dxa"/>
        </w:tblCellMar>
        <w:tblLook w:val="0000"/>
      </w:tblPr>
      <w:tblGrid>
        <w:gridCol w:w="2758"/>
        <w:gridCol w:w="5882"/>
      </w:tblGrid>
      <w:tr w:rsidTr="00D077F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rPr>
                <w:rStyle w:val="SpecialBold"/>
              </w:rPr>
              <w:t>4</w:t>
            </w:r>
            <w:r w:rsidRPr="002633D3">
              <w:t>)</w:t>
            </w:r>
          </w:p>
        </w:tc>
      </w:tr>
      <w:tr w:rsidTr="00D077F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t>This Competency Standard Unit is intended to augment formally acquired competencies. It is suitable for employment-based pr</w:t>
            </w:r>
            <w:r w:rsidRPr="002633D3">
              <w:t>ograms under an approved contract of training.</w:t>
            </w:r>
          </w:p>
        </w:tc>
      </w:tr>
    </w:tbl>
    <w:p w:rsidR="00D077FC" w:rsidP="002633D3">
      <w:pPr>
        <w:pStyle w:val="BodyText"/>
      </w:pPr>
    </w:p>
    <w:p w:rsidR="00D077FC" w:rsidP="002633D3">
      <w:pPr>
        <w:pStyle w:val="BodyText"/>
      </w:pPr>
    </w:p>
    <w:p w:rsidR="00000000" w:rsidRPr="002633D3" w:rsidP="002633D3">
      <w:pPr>
        <w:pStyle w:val="Heading1"/>
      </w:pPr>
      <w:bookmarkStart w:id="4" w:name="O_232139"/>
      <w:bookmarkEnd w:id="4"/>
      <w:r w:rsidRPr="002633D3">
        <w:t>Licensing/Regulatory Information</w:t>
      </w:r>
    </w:p>
    <w:tbl>
      <w:tblPr>
        <w:tblW w:w="0" w:type="auto"/>
        <w:tblLayout w:type="fixed"/>
        <w:tblCellMar>
          <w:left w:w="62" w:type="dxa"/>
          <w:right w:w="62" w:type="dxa"/>
        </w:tblCellMar>
        <w:tblLook w:val="0000"/>
      </w:tblPr>
      <w:tblGrid>
        <w:gridCol w:w="8640"/>
      </w:tblGrid>
      <w:tr w:rsidTr="00D077FC">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rPr>
                <w:rStyle w:val="SpecialBold"/>
              </w:rPr>
              <w:t>1</w:t>
            </w:r>
            <w:r w:rsidRPr="002633D3">
              <w:t>.</w:t>
            </w:r>
            <w:r w:rsidRPr="002633D3">
              <w:rPr>
                <w:rStyle w:val="SpecialBold"/>
              </w:rPr>
              <w:t>2</w:t>
            </w:r>
            <w:r w:rsidRPr="002633D3">
              <w:t xml:space="preserve">) </w:t>
            </w:r>
            <w:r w:rsidRPr="002633D3">
              <w:rPr>
                <w:rStyle w:val="SpecialBold"/>
              </w:rPr>
              <w:t>License to practice</w:t>
            </w:r>
          </w:p>
        </w:tc>
      </w:tr>
      <w:tr w:rsidTr="00D077F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t>The skills and knowledge described in this unit requires a licence/registration to</w:t>
            </w:r>
            <w:r w:rsidRPr="002633D3">
              <w:t xml:space="preserve"> practice in the work place subject to regulations for undertaking of electrical work. Practice in workplace and during training is also subject to regulations directly related to Occupational Health and Safety, electricity/telecommunications/gas/water ind</w:t>
            </w:r>
            <w:r w:rsidRPr="002633D3">
              <w:t>ustry safety and compliance, industrial relations, environmental protection, anti discrimination and training. Commonwealth, State/Territory or Local Government legislation and regulations may exist that limits the age of operating certain equipment.</w:t>
            </w:r>
          </w:p>
        </w:tc>
      </w:tr>
    </w:tbl>
    <w:p w:rsidR="00D077FC" w:rsidP="002633D3">
      <w:pPr>
        <w:pStyle w:val="BodyText"/>
      </w:pPr>
    </w:p>
    <w:p w:rsidR="00D077FC" w:rsidP="002633D3">
      <w:pPr>
        <w:pStyle w:val="BodyText"/>
      </w:pPr>
    </w:p>
    <w:p w:rsidR="00000000" w:rsidRPr="002633D3" w:rsidP="002633D3">
      <w:pPr>
        <w:pStyle w:val="Heading1"/>
      </w:pPr>
      <w:bookmarkStart w:id="5" w:name="O_232140"/>
      <w:bookmarkEnd w:id="5"/>
      <w:r w:rsidRPr="002633D3">
        <w:t>Pre-Requisites</w:t>
      </w:r>
    </w:p>
    <w:tbl>
      <w:tblPr>
        <w:tblW w:w="0" w:type="auto"/>
        <w:tblLayout w:type="fixed"/>
        <w:tblCellMar>
          <w:left w:w="62" w:type="dxa"/>
          <w:right w:w="62" w:type="dxa"/>
        </w:tblCellMar>
        <w:tblLook w:val="0000"/>
      </w:tblPr>
      <w:tblGrid>
        <w:gridCol w:w="2758"/>
        <w:gridCol w:w="735"/>
        <w:gridCol w:w="2022"/>
        <w:gridCol w:w="3125"/>
      </w:tblGrid>
      <w:tr w:rsidTr="00D077F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rPr>
                <w:rStyle w:val="SpecialBold"/>
              </w:rPr>
              <w:t>Prerequisite Unit</w:t>
            </w:r>
            <w:r w:rsidRPr="002633D3">
              <w:t>(</w:t>
            </w:r>
            <w:r w:rsidRPr="002633D3">
              <w:rPr>
                <w:rStyle w:val="SpecialBold"/>
              </w:rPr>
              <w:t>s</w:t>
            </w:r>
            <w:r w:rsidRPr="002633D3">
              <w:t>)</w:t>
            </w:r>
          </w:p>
        </w:tc>
        <w:tc>
          <w:tcPr>
            <w:tcW w:w="5882" w:type="dxa"/>
            <w:gridSpan w:val="3"/>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rPr>
                <w:rStyle w:val="SpecialBold"/>
              </w:rPr>
              <w:t>2</w:t>
            </w:r>
            <w:r w:rsidRPr="002633D3">
              <w:t xml:space="preserve">) </w:t>
            </w:r>
          </w:p>
        </w:tc>
      </w:tr>
      <w:tr w:rsidTr="00D077F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2633D3">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rPr>
                <w:rStyle w:val="SpecialBold"/>
              </w:rPr>
              <w:t>2</w:t>
            </w:r>
            <w:r w:rsidRPr="002633D3">
              <w:t>.</w:t>
            </w:r>
            <w:r w:rsidRPr="002633D3">
              <w:rPr>
                <w:rStyle w:val="SpecialBold"/>
              </w:rPr>
              <w:t>1</w:t>
            </w:r>
            <w:r w:rsidRPr="002633D3">
              <w:t xml:space="preserve">) </w:t>
            </w:r>
            <w:r w:rsidRPr="002633D3">
              <w:rPr>
                <w:rStyle w:val="SpecialBold"/>
              </w:rPr>
              <w:t>Competencies</w:t>
            </w:r>
          </w:p>
        </w:tc>
      </w:tr>
      <w:tr w:rsidTr="00D077F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t xml:space="preserve">Entry into this unit requires a current 'Unrestricted Electrician's Licence' or equivalent issued in an Australian State or Territory or satisfaction </w:t>
            </w:r>
            <w:r w:rsidRPr="002633D3">
              <w:t xml:space="preserve">of the ERAC requirements for the issue of an unrestricted electrician's licence. </w:t>
            </w:r>
          </w:p>
          <w:p w:rsidR="00000000" w:rsidP="002633D3">
            <w:pPr>
              <w:pStyle w:val="BodyText"/>
              <w:rPr>
                <w:lang w:val="en-NZ"/>
              </w:rPr>
            </w:pPr>
            <w:r w:rsidRPr="002633D3">
              <w:t>Granting of competency in this unit shall be made only after competency in the following unit(s) has/have been confirmed:.</w:t>
            </w:r>
          </w:p>
        </w:tc>
      </w:tr>
      <w:tr w:rsidTr="00D077F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UETTDRTP14B</w:t>
            </w:r>
          </w:p>
        </w:tc>
        <w:tc>
          <w:tcPr>
            <w:tcW w:w="3125"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Install and maintain overhead tran</w:t>
            </w:r>
            <w:r w:rsidRPr="002633D3">
              <w:t>smission network infrastructure</w:t>
            </w:r>
          </w:p>
        </w:tc>
      </w:tr>
      <w:tr w:rsidTr="00D077F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t>For the full prerequisite chain details for this unit please refer to Table 3 in Volume 1, Part 2</w:t>
            </w:r>
          </w:p>
        </w:tc>
      </w:tr>
    </w:tbl>
    <w:p w:rsidR="00D077FC" w:rsidP="002633D3">
      <w:pPr>
        <w:pStyle w:val="BodyText"/>
      </w:pPr>
    </w:p>
    <w:p w:rsidR="00D077FC" w:rsidP="002633D3">
      <w:pPr>
        <w:pStyle w:val="BodyText"/>
      </w:pPr>
    </w:p>
    <w:p w:rsidR="00000000" w:rsidRPr="002633D3" w:rsidP="002633D3">
      <w:pPr>
        <w:pStyle w:val="Heading1"/>
      </w:pPr>
      <w:bookmarkStart w:id="6" w:name="O_232142"/>
      <w:bookmarkEnd w:id="6"/>
      <w:r w:rsidRPr="002633D3">
        <w:t>Employability Skills Information</w:t>
      </w:r>
    </w:p>
    <w:tbl>
      <w:tblPr>
        <w:tblW w:w="0" w:type="auto"/>
        <w:tblLayout w:type="fixed"/>
        <w:tblCellMar>
          <w:left w:w="62" w:type="dxa"/>
          <w:right w:w="62" w:type="dxa"/>
        </w:tblCellMar>
        <w:tblLook w:val="0000"/>
      </w:tblPr>
      <w:tblGrid>
        <w:gridCol w:w="2758"/>
        <w:gridCol w:w="5882"/>
      </w:tblGrid>
      <w:tr w:rsidTr="00D077F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rPr>
                <w:rStyle w:val="SpecialBold"/>
              </w:rPr>
              <w:t>3</w:t>
            </w:r>
            <w:r w:rsidRPr="002633D3">
              <w:t>)</w:t>
            </w:r>
          </w:p>
          <w:p w:rsidR="00000000" w:rsidRPr="002633D3" w:rsidP="002633D3">
            <w:pPr>
              <w:pStyle w:val="BodyText"/>
            </w:pPr>
            <w:r w:rsidRPr="002633D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633D3">
              <w:t>requirements.</w:t>
            </w:r>
          </w:p>
        </w:tc>
      </w:tr>
    </w:tbl>
    <w:p w:rsidR="00D077FC" w:rsidP="002633D3">
      <w:pPr>
        <w:pStyle w:val="BodyText"/>
      </w:pPr>
    </w:p>
    <w:p w:rsidR="00D077FC" w:rsidP="002633D3">
      <w:pPr>
        <w:pStyle w:val="BodyText"/>
      </w:pPr>
    </w:p>
    <w:p w:rsidR="00000000" w:rsidRPr="002633D3" w:rsidP="002633D3">
      <w:pPr>
        <w:pStyle w:val="Heading1"/>
      </w:pPr>
      <w:bookmarkStart w:id="7" w:name="O_293616"/>
      <w:bookmarkEnd w:id="7"/>
      <w:r w:rsidRPr="002633D3">
        <w:t>Elements and Performance Criteria Pre-Content</w:t>
      </w:r>
    </w:p>
    <w:tbl>
      <w:tblPr>
        <w:tblW w:w="0" w:type="auto"/>
        <w:tblLayout w:type="fixed"/>
        <w:tblCellMar>
          <w:left w:w="62" w:type="dxa"/>
          <w:right w:w="62" w:type="dxa"/>
        </w:tblCellMar>
        <w:tblLook w:val="0000"/>
      </w:tblPr>
      <w:tblGrid>
        <w:gridCol w:w="2758"/>
        <w:gridCol w:w="5882"/>
      </w:tblGrid>
      <w:tr w:rsidTr="00D077F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rPr>
                <w:rStyle w:val="SpecialBold"/>
              </w:rPr>
              <w:t>6</w:t>
            </w:r>
            <w:r w:rsidRPr="002633D3">
              <w:t xml:space="preserve">) </w:t>
            </w:r>
            <w:r w:rsidRPr="002633D3">
              <w:rPr>
                <w:rStyle w:val="SpecialBold"/>
              </w:rPr>
              <w:t>Elements</w:t>
            </w:r>
            <w:r w:rsidRPr="002633D3">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t>Performance Criteria describe the required performance needed to demonstrate achievement of the element. Assessment of performance is to be consistent with the Evidence Guide.</w:t>
            </w:r>
          </w:p>
        </w:tc>
      </w:tr>
    </w:tbl>
    <w:p w:rsidR="00000000" w:rsidRPr="002633D3" w:rsidP="002633D3">
      <w:pPr>
        <w:pStyle w:val="BodyText"/>
      </w:pPr>
    </w:p>
    <w:p w:rsidR="00000000" w:rsidRPr="002633D3" w:rsidP="002633D3">
      <w:pPr>
        <w:pStyle w:val="AllowPageBreak"/>
      </w:pPr>
    </w:p>
    <w:p w:rsidR="00000000" w:rsidRPr="002633D3" w:rsidP="002633D3">
      <w:pPr>
        <w:pStyle w:val="Heading1"/>
      </w:pPr>
      <w:bookmarkStart w:id="8" w:name="O_240284"/>
      <w:bookmarkEnd w:id="8"/>
      <w:r w:rsidRPr="002633D3">
        <w:t>Elements and Performance Criteria</w:t>
      </w:r>
    </w:p>
    <w:tbl>
      <w:tblPr>
        <w:tblW w:w="0" w:type="auto"/>
        <w:tblLayout w:type="fixed"/>
        <w:tblCellMar>
          <w:left w:w="62" w:type="dxa"/>
          <w:right w:w="62" w:type="dxa"/>
        </w:tblCellMar>
        <w:tblLook w:val="0000"/>
      </w:tblPr>
      <w:tblGrid>
        <w:gridCol w:w="413"/>
        <w:gridCol w:w="2345"/>
        <w:gridCol w:w="919"/>
        <w:gridCol w:w="4963"/>
      </w:tblGrid>
      <w:tr w:rsidTr="00D077FC">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rPr>
                <w:rStyle w:val="SpecialBold"/>
              </w:rPr>
              <w:t>PERFORMANCE CRITER</w:t>
            </w:r>
            <w:r w:rsidRPr="002633D3">
              <w:rPr>
                <w:rStyle w:val="SpecialBold"/>
              </w:rPr>
              <w:t>IA</w:t>
            </w:r>
          </w:p>
        </w:tc>
      </w:tr>
      <w:tr w:rsidTr="00D077F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1</w:t>
            </w:r>
          </w:p>
        </w:tc>
        <w:tc>
          <w:tcPr>
            <w:tcW w:w="2345" w:type="dxa"/>
            <w:vMerge w:val="restart"/>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Prepare/plan to install and maintain transmission network infrastructure electrical equipment</w:t>
            </w:r>
          </w:p>
        </w:tc>
        <w:tc>
          <w:tcPr>
            <w:tcW w:w="91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1.1</w:t>
            </w:r>
          </w:p>
        </w:tc>
        <w:tc>
          <w:tcPr>
            <w:tcW w:w="496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 xml:space="preserve">Works schedule(s), including drawings, plans, requirements, established procedures, and material lists, are received, analysed and confirmed, </w:t>
            </w:r>
            <w:r w:rsidRPr="002633D3">
              <w:t>if necessary, by site inspection.</w:t>
            </w:r>
          </w:p>
        </w:tc>
      </w:tr>
      <w:tr w:rsidTr="00D077F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1.2</w:t>
            </w:r>
          </w:p>
        </w:tc>
        <w:tc>
          <w:tcPr>
            <w:tcW w:w="496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Relevant requirements and established procedures for the work are communicated to all personnel and identified for all work sites.</w:t>
            </w:r>
          </w:p>
        </w:tc>
      </w:tr>
      <w:tr w:rsidTr="00D077F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1.3</w:t>
            </w:r>
          </w:p>
        </w:tc>
        <w:tc>
          <w:tcPr>
            <w:tcW w:w="496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OHS policies and procedures related to requirements and established procedures for the installation and maintenance of transmission network infrastructure electrical equipment are obtained and confirmed for the purposes of the work to be performed and comm</w:t>
            </w:r>
            <w:r w:rsidRPr="002633D3">
              <w:t>unicated.</w:t>
            </w:r>
          </w:p>
        </w:tc>
      </w:tr>
      <w:tr w:rsidTr="00D077F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1.4</w:t>
            </w:r>
          </w:p>
        </w:tc>
        <w:tc>
          <w:tcPr>
            <w:tcW w:w="496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Work is prioritised and sequenced following consultation with others for completion within acceptable timeframes and in accordance with established procedures.</w:t>
            </w:r>
          </w:p>
        </w:tc>
      </w:tr>
      <w:tr w:rsidTr="00D077F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1.5</w:t>
            </w:r>
          </w:p>
        </w:tc>
        <w:tc>
          <w:tcPr>
            <w:tcW w:w="496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Hazards are identified, OHS risks assessed and control measures are prio</w:t>
            </w:r>
            <w:r w:rsidRPr="002633D3">
              <w:t>ritised, implemented and monitored including emergency exits kept clear according to established procedures.</w:t>
            </w:r>
          </w:p>
        </w:tc>
      </w:tr>
      <w:tr w:rsidTr="00D077F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1.6</w:t>
            </w:r>
          </w:p>
        </w:tc>
        <w:tc>
          <w:tcPr>
            <w:tcW w:w="496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Resources including personnel, equipment, tools and personal protective equipment required for the job are obtained and c</w:t>
            </w:r>
            <w:r w:rsidRPr="002633D3">
              <w:t>onfirmed in working order.</w:t>
            </w:r>
          </w:p>
        </w:tc>
      </w:tr>
      <w:tr w:rsidTr="00D077F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1.7</w:t>
            </w:r>
          </w:p>
        </w:tc>
        <w:tc>
          <w:tcPr>
            <w:tcW w:w="496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Relevant work permits are obtained to access and perform work according to requirements and/or established procedures.</w:t>
            </w:r>
          </w:p>
        </w:tc>
      </w:tr>
      <w:tr w:rsidTr="00D077F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1.8</w:t>
            </w:r>
          </w:p>
        </w:tc>
        <w:tc>
          <w:tcPr>
            <w:tcW w:w="496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Relevant personnel at work site are confirmed current in First Aid, Tower/Pole Top Rescue and ot</w:t>
            </w:r>
            <w:r w:rsidRPr="002633D3">
              <w:t>her related work procedures according to requirements.</w:t>
            </w:r>
          </w:p>
        </w:tc>
      </w:tr>
      <w:tr w:rsidTr="00D077F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1.9</w:t>
            </w:r>
          </w:p>
        </w:tc>
        <w:tc>
          <w:tcPr>
            <w:tcW w:w="496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Liaison and communication issues with other/authorised personnel, authorities, clients and land owners are resolved to carry out work where necessary.</w:t>
            </w:r>
          </w:p>
        </w:tc>
      </w:tr>
      <w:tr w:rsidTr="00D077F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1.10</w:t>
            </w:r>
          </w:p>
        </w:tc>
        <w:tc>
          <w:tcPr>
            <w:tcW w:w="496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Site is prepared according to the work schedule and to minimise risk and damage to property, commerce, and individuals in accordance with established procedures.</w:t>
            </w:r>
          </w:p>
        </w:tc>
      </w:tr>
      <w:tr w:rsidTr="00D077F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1.11</w:t>
            </w:r>
          </w:p>
        </w:tc>
        <w:tc>
          <w:tcPr>
            <w:tcW w:w="496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Personnel participating in the work, including plant operators and contractors, are fu</w:t>
            </w:r>
            <w:r w:rsidRPr="002633D3">
              <w:t>lly briefed and respective responsibilities confirmed where applicable in accordance with established procedures.</w:t>
            </w:r>
          </w:p>
        </w:tc>
      </w:tr>
      <w:tr w:rsidTr="00D077F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1.12</w:t>
            </w:r>
          </w:p>
        </w:tc>
        <w:tc>
          <w:tcPr>
            <w:tcW w:w="496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Traffic management plan is identified and implemented.</w:t>
            </w:r>
          </w:p>
        </w:tc>
      </w:tr>
      <w:tr w:rsidTr="00D077F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2</w:t>
            </w:r>
          </w:p>
        </w:tc>
        <w:tc>
          <w:tcPr>
            <w:tcW w:w="2345" w:type="dxa"/>
            <w:vMerge w:val="restart"/>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Carry out the installation and maintenance of transmission network infrastru</w:t>
            </w:r>
            <w:r w:rsidRPr="002633D3">
              <w:t>cture electrical equipment</w:t>
            </w:r>
          </w:p>
        </w:tc>
        <w:tc>
          <w:tcPr>
            <w:tcW w:w="91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2.1</w:t>
            </w:r>
          </w:p>
        </w:tc>
        <w:tc>
          <w:tcPr>
            <w:tcW w:w="496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OHS, sustainable energy and environmental principles and practices to reduce the incidents of accidents and minimise waste are monitored and followed in accordance with requirements and/or established procedures.</w:t>
            </w:r>
          </w:p>
        </w:tc>
      </w:tr>
      <w:tr w:rsidTr="00D077F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2.2</w:t>
            </w:r>
          </w:p>
        </w:tc>
        <w:tc>
          <w:tcPr>
            <w:tcW w:w="496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Towers and associated hardware to be erected are stabilised according to requirements.</w:t>
            </w:r>
          </w:p>
        </w:tc>
      </w:tr>
      <w:tr w:rsidTr="00D077F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2.3</w:t>
            </w:r>
          </w:p>
        </w:tc>
        <w:tc>
          <w:tcPr>
            <w:tcW w:w="496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Lifting, climbing, working aloft, and use of power tools/equipment, techniques and practices are safely followed and, currency according to requirements confirmed</w:t>
            </w:r>
            <w:r w:rsidRPr="002633D3">
              <w:t>.</w:t>
            </w:r>
          </w:p>
        </w:tc>
      </w:tr>
      <w:tr w:rsidTr="00D077F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2.4</w:t>
            </w:r>
          </w:p>
        </w:tc>
        <w:tc>
          <w:tcPr>
            <w:tcW w:w="496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 xml:space="preserve">Essential knowledge and associated skills are applied in the safe installation and maintenance of transmission network infrastructure electrical </w:t>
            </w:r>
            <w:r w:rsidRPr="002633D3">
              <w:t>equipment to ensure completion in an agreed timeframe and, to quality standards with a minimum of waste according to requirements.</w:t>
            </w:r>
          </w:p>
        </w:tc>
      </w:tr>
      <w:tr w:rsidTr="00D077F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2.5</w:t>
            </w:r>
          </w:p>
        </w:tc>
        <w:tc>
          <w:tcPr>
            <w:tcW w:w="496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Hazard warnings and safety signs are recognised and hazards and assessed OHS risks are reported to the immediate autho</w:t>
            </w:r>
            <w:r w:rsidRPr="002633D3">
              <w:t>rised persons for directions according to established procedures.</w:t>
            </w:r>
          </w:p>
        </w:tc>
      </w:tr>
      <w:tr w:rsidTr="00D077F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2.6</w:t>
            </w:r>
          </w:p>
        </w:tc>
        <w:tc>
          <w:tcPr>
            <w:tcW w:w="496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Inspection of overhead structures and electrical apparatus used on towers is carried out, in accordance with the work schedule and requirements/established procedures.</w:t>
            </w:r>
          </w:p>
        </w:tc>
      </w:tr>
      <w:tr w:rsidTr="00D077F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2.7</w:t>
            </w:r>
          </w:p>
        </w:tc>
        <w:tc>
          <w:tcPr>
            <w:tcW w:w="496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Maintena</w:t>
            </w:r>
            <w:r w:rsidRPr="002633D3">
              <w:t>nce, including repair and/or replacement of towers is carried out, in accordance with the work schedule and requirements/established procedures.</w:t>
            </w:r>
          </w:p>
        </w:tc>
      </w:tr>
      <w:tr w:rsidTr="00D077F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2.8</w:t>
            </w:r>
          </w:p>
        </w:tc>
        <w:tc>
          <w:tcPr>
            <w:tcW w:w="496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Unplanned events in the erection of towers and associated hardware are undertaken within the scope of established procedures.</w:t>
            </w:r>
          </w:p>
        </w:tc>
      </w:tr>
      <w:tr w:rsidTr="00D077F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2.9</w:t>
            </w:r>
          </w:p>
        </w:tc>
        <w:tc>
          <w:tcPr>
            <w:tcW w:w="496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Known solutions to a variety of problems are applied using acquired essential knowledge and associated skills.</w:t>
            </w:r>
          </w:p>
        </w:tc>
      </w:tr>
      <w:tr w:rsidTr="00D077F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2.10</w:t>
            </w:r>
          </w:p>
        </w:tc>
        <w:tc>
          <w:tcPr>
            <w:tcW w:w="496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On g</w:t>
            </w:r>
            <w:r w:rsidRPr="002633D3">
              <w:t>oing checks of quality of the work are undertaken in accordance with instructions and established procedures.</w:t>
            </w:r>
          </w:p>
        </w:tc>
      </w:tr>
      <w:tr w:rsidTr="00D077F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3</w:t>
            </w:r>
          </w:p>
        </w:tc>
        <w:tc>
          <w:tcPr>
            <w:tcW w:w="2345" w:type="dxa"/>
            <w:vMerge w:val="restart"/>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Complete the installation and maintenance of transmission network infrastructure electrical equipment</w:t>
            </w:r>
          </w:p>
        </w:tc>
        <w:tc>
          <w:tcPr>
            <w:tcW w:w="91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3.1</w:t>
            </w:r>
          </w:p>
        </w:tc>
        <w:tc>
          <w:tcPr>
            <w:tcW w:w="496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Work undertaken is checked against wo</w:t>
            </w:r>
            <w:r w:rsidRPr="002633D3">
              <w:t>rks schedule for conformance with requirements and anomalies reported in accordance with established procedures.</w:t>
            </w:r>
          </w:p>
        </w:tc>
      </w:tr>
      <w:tr w:rsidTr="00D077F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3.2</w:t>
            </w:r>
          </w:p>
        </w:tc>
        <w:tc>
          <w:tcPr>
            <w:tcW w:w="496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Accidents and/or injuries are reported in accordance with requirements/established procedures, where applicable.</w:t>
            </w:r>
          </w:p>
        </w:tc>
      </w:tr>
      <w:tr w:rsidTr="00D077F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3.3</w:t>
            </w:r>
          </w:p>
        </w:tc>
        <w:tc>
          <w:tcPr>
            <w:tcW w:w="496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Work site is rehabilitated, cleaned up and made safe in accordance with established procedures.</w:t>
            </w:r>
          </w:p>
        </w:tc>
      </w:tr>
      <w:tr w:rsidTr="00D077F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3.4</w:t>
            </w:r>
          </w:p>
        </w:tc>
        <w:tc>
          <w:tcPr>
            <w:tcW w:w="496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 xml:space="preserve">Tools, equipment and any surplus resources and materials are, where appropriate, cleaned, checked and returned to storage or disposed of in </w:t>
            </w:r>
            <w:r w:rsidRPr="002633D3">
              <w:t>accordance with established procedures.</w:t>
            </w:r>
          </w:p>
        </w:tc>
      </w:tr>
      <w:tr w:rsidTr="00D077F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3.5</w:t>
            </w:r>
          </w:p>
        </w:tc>
        <w:tc>
          <w:tcPr>
            <w:tcW w:w="496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Relevant work permit(s) are signed off and, towers and associated hardware are returned to service in accordance with requirements.</w:t>
            </w:r>
          </w:p>
        </w:tc>
      </w:tr>
      <w:tr w:rsidTr="00D077F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3.6</w:t>
            </w:r>
          </w:p>
        </w:tc>
        <w:tc>
          <w:tcPr>
            <w:tcW w:w="4963" w:type="dxa"/>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t>Works completion records, reports, as installed /modified drawing and/</w:t>
            </w:r>
            <w:r w:rsidRPr="002633D3">
              <w:t>or documentation and information are finalised and processed and appropriate personnel notified.</w:t>
            </w:r>
          </w:p>
        </w:tc>
      </w:tr>
    </w:tbl>
    <w:p w:rsidR="00D077FC" w:rsidP="002633D3">
      <w:pPr>
        <w:pStyle w:val="BodyText"/>
      </w:pPr>
    </w:p>
    <w:p w:rsidR="00D077FC" w:rsidP="002633D3">
      <w:pPr>
        <w:pStyle w:val="BodyText"/>
      </w:pPr>
    </w:p>
    <w:p w:rsidR="00000000" w:rsidRPr="002633D3" w:rsidP="002633D3">
      <w:pPr>
        <w:pStyle w:val="Heading1"/>
      </w:pPr>
      <w:bookmarkStart w:id="9" w:name="O_264075"/>
      <w:bookmarkEnd w:id="9"/>
      <w:r w:rsidRPr="002633D3">
        <w:t>Required Skills and Knowledge</w:t>
      </w:r>
    </w:p>
    <w:tbl>
      <w:tblPr>
        <w:tblW w:w="0" w:type="auto"/>
        <w:tblLayout w:type="fixed"/>
        <w:tblCellMar>
          <w:left w:w="62" w:type="dxa"/>
          <w:right w:w="62" w:type="dxa"/>
        </w:tblCellMar>
        <w:tblLook w:val="0000"/>
      </w:tblPr>
      <w:tblGrid>
        <w:gridCol w:w="2758"/>
        <w:gridCol w:w="1103"/>
        <w:gridCol w:w="4779"/>
      </w:tblGrid>
      <w:tr w:rsidTr="00D077FC">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rPr>
                <w:rStyle w:val="SpecialBold"/>
              </w:rPr>
              <w:t>REQUIRED SKILLS AND KNOWLEDGE</w:t>
            </w:r>
          </w:p>
        </w:tc>
      </w:tr>
      <w:tr w:rsidTr="00D077FC">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rPr>
                <w:rStyle w:val="SpecialBold"/>
              </w:rPr>
              <w:t>7</w:t>
            </w:r>
            <w:r w:rsidRPr="002633D3">
              <w:t xml:space="preserve">) </w:t>
            </w:r>
            <w:r w:rsidRPr="002633D3">
              <w:rPr>
                <w:rStyle w:val="SpecialBold"/>
              </w:rPr>
              <w:t>Essential Knowledge and Associated Skills</w:t>
            </w:r>
            <w:r w:rsidRPr="002633D3">
              <w:t xml:space="preserve"> (</w:t>
            </w:r>
            <w:r w:rsidRPr="002633D3">
              <w:rPr>
                <w:rStyle w:val="SpecialBold"/>
              </w:rPr>
              <w:t>EKAS</w:t>
            </w:r>
            <w:r w:rsidRPr="002633D3">
              <w:t>): This describes the essential skills and knowledge and their level, required for this unit.</w:t>
            </w:r>
          </w:p>
        </w:tc>
      </w:tr>
      <w:tr w:rsidTr="00D077FC">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t xml:space="preserve">Evidence shall show that knowledge has been acquired of maintaining transmission towers and associated hardware. </w:t>
            </w:r>
          </w:p>
          <w:p w:rsidR="00000000" w:rsidRPr="002633D3" w:rsidP="002633D3">
            <w:pPr>
              <w:pStyle w:val="BodyText"/>
            </w:pPr>
            <w:r w:rsidRPr="002633D3">
              <w:t>All knowledge and skills detailed in this uni</w:t>
            </w:r>
            <w:r w:rsidRPr="002633D3">
              <w:t>t should be contextualised to current industry practices and technologies.</w:t>
            </w:r>
          </w:p>
          <w:p w:rsidR="00000000" w:rsidP="002633D3">
            <w:pPr>
              <w:pStyle w:val="BodyText"/>
              <w:rPr>
                <w:lang w:val="en-NZ"/>
              </w:rPr>
            </w:pPr>
            <w:r w:rsidRPr="002633D3">
              <w:t>The extent of the essential knowledge and associated skills (EKAS) required is given in Volume 2 - Part 2.2 EKAS. It forms an integral part of this unit.</w:t>
            </w:r>
          </w:p>
        </w:tc>
      </w:tr>
      <w:tr w:rsidTr="00D077F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E2.8.2.2</w:t>
            </w:r>
          </w:p>
        </w:tc>
        <w:tc>
          <w:tcPr>
            <w:tcW w:w="477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Alternating current principles - power</w:t>
            </w:r>
          </w:p>
        </w:tc>
      </w:tr>
      <w:tr w:rsidTr="00D077F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 xml:space="preserve">E2.8.6 </w:t>
            </w:r>
          </w:p>
        </w:tc>
        <w:tc>
          <w:tcPr>
            <w:tcW w:w="477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Electromagnetic principles</w:t>
            </w:r>
          </w:p>
        </w:tc>
      </w:tr>
      <w:tr w:rsidTr="00D077F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 xml:space="preserve">T2.2.11 </w:t>
            </w:r>
          </w:p>
        </w:tc>
        <w:tc>
          <w:tcPr>
            <w:tcW w:w="477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 xml:space="preserve">Routine maintenance on transmission structures </w:t>
            </w:r>
          </w:p>
        </w:tc>
      </w:tr>
      <w:tr w:rsidTr="00D077F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 xml:space="preserve">T2.2.28 </w:t>
            </w:r>
          </w:p>
        </w:tc>
        <w:tc>
          <w:tcPr>
            <w:tcW w:w="477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Towers and structures inspection principles</w:t>
            </w:r>
          </w:p>
        </w:tc>
      </w:tr>
      <w:tr w:rsidTr="00D077F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 xml:space="preserve">T2.2.29 </w:t>
            </w:r>
          </w:p>
        </w:tc>
        <w:tc>
          <w:tcPr>
            <w:tcW w:w="4779"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Transmission powerline inspection principles</w:t>
            </w:r>
          </w:p>
        </w:tc>
      </w:tr>
      <w:tr w:rsidTr="00D077F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 xml:space="preserve">T2.3.1 </w:t>
            </w:r>
          </w:p>
        </w:tc>
        <w:tc>
          <w:tcPr>
            <w:tcW w:w="4779" w:type="dxa"/>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t>Powerline safety practices</w:t>
            </w:r>
          </w:p>
        </w:tc>
      </w:tr>
    </w:tbl>
    <w:p w:rsidR="00D077FC" w:rsidP="002633D3">
      <w:pPr>
        <w:pStyle w:val="BodyText"/>
      </w:pPr>
    </w:p>
    <w:p w:rsidR="00D077FC" w:rsidP="002633D3">
      <w:pPr>
        <w:pStyle w:val="BodyText"/>
      </w:pPr>
    </w:p>
    <w:p w:rsidR="00000000" w:rsidRPr="002633D3" w:rsidP="002633D3">
      <w:pPr>
        <w:pStyle w:val="Heading1"/>
      </w:pPr>
      <w:bookmarkStart w:id="10" w:name="O_248267"/>
      <w:bookmarkEnd w:id="10"/>
      <w:r w:rsidRPr="002633D3">
        <w:t>Evidence Guide</w:t>
      </w:r>
    </w:p>
    <w:tbl>
      <w:tblPr>
        <w:tblW w:w="0" w:type="auto"/>
        <w:tblLayout w:type="fixed"/>
        <w:tblCellMar>
          <w:left w:w="62" w:type="dxa"/>
          <w:right w:w="62" w:type="dxa"/>
        </w:tblCellMar>
        <w:tblLook w:val="0000"/>
      </w:tblPr>
      <w:tblGrid>
        <w:gridCol w:w="2207"/>
        <w:gridCol w:w="735"/>
        <w:gridCol w:w="968"/>
        <w:gridCol w:w="1737"/>
        <w:gridCol w:w="2993"/>
      </w:tblGrid>
      <w:tr w:rsidTr="00D077FC">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rPr>
                <w:rStyle w:val="SpecialBold"/>
              </w:rPr>
              <w:t>EVIDENCE GUIDE</w:t>
            </w:r>
          </w:p>
        </w:tc>
      </w:tr>
      <w:tr w:rsidTr="00D077FC">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rPr>
                <w:rStyle w:val="SpecialBold"/>
              </w:rPr>
              <w:t>9</w:t>
            </w:r>
            <w:r w:rsidRPr="002633D3">
              <w:t xml:space="preserve">) This provides essential advice for assessment of the unit of competency and must be read in conjunction </w:t>
            </w:r>
            <w:r w:rsidRPr="002633D3">
              <w:t>with the Performance Criteria and the Range Statement of the unit of competency and the Training Package Assessment Guidelines.</w:t>
            </w:r>
          </w:p>
          <w:p w:rsidR="00000000" w:rsidP="002633D3">
            <w:pPr>
              <w:pStyle w:val="BodyText"/>
              <w:rPr>
                <w:lang w:val="en-NZ"/>
              </w:rPr>
            </w:pPr>
            <w:r w:rsidRPr="002633D3">
              <w:t>The Evidence Guide forms an integral part of this Competency Standard Unit and shall be used in conjunction with all component p</w:t>
            </w:r>
            <w:r w:rsidRPr="002633D3">
              <w:t>arts of this unit and, performed in accordance with the Assessment Guidelines of this Training Package.</w:t>
            </w:r>
          </w:p>
        </w:tc>
      </w:tr>
      <w:tr w:rsidTr="00D077F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rPr>
                <w:rStyle w:val="SpecialBold"/>
              </w:rPr>
              <w:t>9</w:t>
            </w:r>
            <w:r w:rsidRPr="002633D3">
              <w:t>.</w:t>
            </w:r>
            <w:r w:rsidRPr="002633D3">
              <w:rPr>
                <w:rStyle w:val="SpecialBold"/>
              </w:rPr>
              <w:t>1</w:t>
            </w:r>
            <w:r w:rsidRPr="002633D3">
              <w:t xml:space="preserve">) </w:t>
            </w:r>
          </w:p>
          <w:p w:rsidR="00000000" w:rsidRPr="002633D3" w:rsidP="002633D3">
            <w:pPr>
              <w:pStyle w:val="BodyText"/>
            </w:pPr>
            <w:r w:rsidRPr="002633D3">
              <w:t>Longitudinal competency development approaches to assessment, such as Profiling, require data to be reliably gathered in a form that can be consistently interpreted over time. This approach is best utilised in Apprenticeship programs and reduces assessment</w:t>
            </w:r>
            <w:r w:rsidRPr="002633D3">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2633D3">
              <w:t>tency in a realistically simulated work environment. It is recognised that, in some circumstances, assessment in part or full can occur outside the workplace. However, it must be in accord with Industry and, Regulatory policy in this regard.</w:t>
            </w:r>
          </w:p>
          <w:p w:rsidR="00000000" w:rsidRPr="002633D3" w:rsidP="002633D3">
            <w:pPr>
              <w:pStyle w:val="BodyText"/>
            </w:pPr>
            <w:r w:rsidRPr="002633D3">
              <w:t>Methods chosen</w:t>
            </w:r>
            <w:r w:rsidRPr="002633D3">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2633D3">
              <w:t>equired and the critical nature of the competencies being assessed.</w:t>
            </w:r>
          </w:p>
          <w:p w:rsidR="00000000" w:rsidRPr="002633D3" w:rsidP="002633D3">
            <w:pPr>
              <w:pStyle w:val="BodyText"/>
            </w:pPr>
            <w:r w:rsidRPr="002633D3">
              <w:t>The critical safety nature of working with electricity, electrical equipment, gas or any other hazardous substance/material carries risk in deeming a person competent. Hence, sources of ev</w:t>
            </w:r>
            <w:r w:rsidRPr="002633D3">
              <w:t>idence need to be 'rich' in nature so as to minimise error in judgment.</w:t>
            </w:r>
          </w:p>
          <w:p w:rsidR="00000000" w:rsidP="002633D3">
            <w:pPr>
              <w:pStyle w:val="BodyText"/>
              <w:rPr>
                <w:lang w:val="en-NZ"/>
              </w:rPr>
            </w:pPr>
            <w:r w:rsidRPr="002633D3">
              <w:t>Activities associated with normal every day work have a bearing on the decision as to how much and how detailed the data gathered will contribute to its 'richness'. Some skills are mor</w:t>
            </w:r>
            <w:r w:rsidRPr="002633D3">
              <w:t>e critical to safety and operational requirements while the same skills may be more or less frequently practiced. These points are raised for the assessors to consider when choosing an assessment method and developing assessment instruments. Sample assessm</w:t>
            </w:r>
            <w:r w:rsidRPr="002633D3">
              <w:t>ent instruments are included for Assessors in the Assessment Guidelines of this Training Package.</w:t>
            </w:r>
          </w:p>
        </w:tc>
      </w:tr>
      <w:tr w:rsidTr="00D077FC">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rPr>
                <w:rStyle w:val="SpecialBold"/>
              </w:rPr>
              <w:t>9</w:t>
            </w:r>
            <w:r w:rsidRPr="002633D3">
              <w:t>.</w:t>
            </w:r>
            <w:r w:rsidRPr="002633D3">
              <w:rPr>
                <w:rStyle w:val="SpecialBold"/>
              </w:rPr>
              <w:t>2</w:t>
            </w:r>
            <w:r w:rsidRPr="002633D3">
              <w:t xml:space="preserve">) </w:t>
            </w:r>
          </w:p>
          <w:p w:rsidR="00000000" w:rsidP="002633D3">
            <w:pPr>
              <w:pStyle w:val="BodyText"/>
              <w:rPr>
                <w:lang w:val="en-NZ"/>
              </w:rPr>
            </w:pPr>
            <w:r w:rsidRPr="002633D3">
              <w:t>Before the critical aspects of evidence are considered all prerequisite</w:t>
            </w:r>
            <w:r w:rsidRPr="002633D3">
              <w:t>s shall be met.</w:t>
            </w:r>
          </w:p>
        </w:tc>
      </w:tr>
      <w:tr w:rsidTr="00D077FC">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t xml:space="preserve">Evidence for competence in this unit shall be considered holistically. Each element and associated Performance Criteria shall be demonstrated </w:t>
            </w:r>
            <w:r w:rsidRPr="002633D3">
              <w:t>on at least two occasions in accordance with the "Assessment Guidelines - UET09". Evidence shall also comprise:</w:t>
            </w:r>
          </w:p>
          <w:p w:rsidR="00000000" w:rsidP="002633D3">
            <w:pPr>
              <w:pStyle w:val="ListBullet"/>
              <w:rPr>
                <w:lang w:val="en-NZ"/>
              </w:rPr>
            </w:pPr>
            <w:r w:rsidRPr="002633D3">
              <w:t>A representative body of Performance Criteria demonstrated within the timeframes typically expected of the discipline, work function and industr</w:t>
            </w:r>
            <w:r w:rsidRPr="002633D3">
              <w:t>ial environment. In particular this shall incorporate evidence that shows a candidate is able to:</w:t>
            </w:r>
          </w:p>
        </w:tc>
      </w:tr>
      <w:tr w:rsidTr="00D077F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2633D3" w:rsidP="002633D3">
            <w:pPr>
              <w:pStyle w:val="ListBullet2"/>
            </w:pPr>
            <w:r w:rsidRPr="002633D3">
              <w:t>Implement Occupational Health and Safety workplace procedures and practices including the use of risk control measures as specified in the Performance C</w:t>
            </w:r>
            <w:r w:rsidRPr="002633D3">
              <w:t>riteria and range; and</w:t>
            </w:r>
          </w:p>
          <w:p w:rsidR="00000000" w:rsidRPr="002633D3" w:rsidP="002633D3">
            <w:pPr>
              <w:pStyle w:val="ListBullet2"/>
            </w:pPr>
            <w:r w:rsidRPr="002633D3">
              <w:t>Apply sustainable energy principles and practices as specified in the Performance Criteria and range; and</w:t>
            </w:r>
          </w:p>
          <w:p w:rsidR="00000000" w:rsidRPr="002633D3" w:rsidP="002633D3">
            <w:pPr>
              <w:pStyle w:val="ListBullet2"/>
            </w:pPr>
            <w:r w:rsidRPr="002633D3">
              <w:t>Demonstrate an understanding of the essential knowledge and associated skills as described in this unit to such an extent that the learner's performance outcome is reported in accordance with the preferred approach; namely a percentile graded result, where</w:t>
            </w:r>
            <w:r w:rsidRPr="002633D3">
              <w:t xml:space="preserve"> required by the regulated environment; and</w:t>
            </w:r>
          </w:p>
          <w:p w:rsidR="00000000" w:rsidRPr="002633D3" w:rsidP="002633D3">
            <w:pPr>
              <w:pStyle w:val="ListBullet2"/>
            </w:pPr>
            <w:r w:rsidRPr="002633D3">
              <w:t>Demonstrate an appropriate level of employability skills; and</w:t>
            </w:r>
          </w:p>
          <w:p w:rsidR="00000000" w:rsidP="002633D3">
            <w:pPr>
              <w:pStyle w:val="ListBullet2"/>
              <w:rPr>
                <w:lang w:val="en-NZ"/>
              </w:rPr>
            </w:pPr>
            <w:r w:rsidRPr="002633D3">
              <w:t>Conduct work observing the relevant Anti Discrimination legislation, regulations, policies and workplace procedures; and</w:t>
            </w:r>
          </w:p>
        </w:tc>
      </w:tr>
      <w:tr w:rsidTr="00D077F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2633D3">
            <w:pPr>
              <w:pStyle w:val="ListBullet"/>
              <w:rPr>
                <w:lang w:val="en-NZ"/>
              </w:rPr>
            </w:pPr>
            <w:r w:rsidRPr="002633D3">
              <w:t>Demonstrated performance</w:t>
            </w:r>
            <w:r w:rsidRPr="002633D3">
              <w:t xml:space="preserve"> across a representative range of contexts from the prescribed items below:</w:t>
            </w:r>
          </w:p>
        </w:tc>
      </w:tr>
      <w:tr w:rsidTr="00D077F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2633D3">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3D3">
            <w:pPr>
              <w:pStyle w:val="BodyText"/>
              <w:rPr>
                <w:lang w:val="en-NZ"/>
              </w:rPr>
            </w:pPr>
            <w:r w:rsidRPr="002633D3">
              <w:rPr>
                <w:rStyle w:val="SpecialBold"/>
              </w:rPr>
              <w:t>Range of tools</w:t>
            </w:r>
            <w:r w:rsidRPr="002633D3">
              <w:t>/</w:t>
            </w:r>
            <w:r w:rsidRPr="002633D3">
              <w:rPr>
                <w:rStyle w:val="SpecialBold"/>
              </w:rPr>
              <w:t>equipment</w:t>
            </w:r>
            <w:r w:rsidRPr="002633D3">
              <w:t>/</w:t>
            </w:r>
            <w:r w:rsidRPr="002633D3">
              <w:rPr>
                <w:rStyle w:val="SpecialBold"/>
              </w:rPr>
              <w:t>materials</w:t>
            </w:r>
            <w:r w:rsidRPr="002633D3">
              <w:t>/</w:t>
            </w:r>
            <w:r w:rsidRPr="002633D3">
              <w:rPr>
                <w:rStyle w:val="SpecialBold"/>
              </w:rPr>
              <w:t>procedures</w:t>
            </w:r>
            <w:r w:rsidRPr="002633D3">
              <w:t>/</w:t>
            </w:r>
            <w:r w:rsidRPr="002633D3">
              <w:rPr>
                <w:rStyle w:val="SpecialBold"/>
              </w:rPr>
              <w:t>workplaces</w:t>
            </w:r>
            <w:r w:rsidRPr="002633D3">
              <w:t>/</w:t>
            </w:r>
            <w:r w:rsidRPr="002633D3">
              <w:rPr>
                <w:rStyle w:val="SpecialBold"/>
              </w:rPr>
              <w:t>other variables</w:t>
            </w:r>
          </w:p>
        </w:tc>
      </w:tr>
      <w:tr w:rsidTr="00D077F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2633D3">
            <w:pPr>
              <w:pStyle w:val="BodyText"/>
              <w:keepNext w:val="0"/>
              <w:keepLines w:val="0"/>
              <w:contextualSpacing w:val="0"/>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3D3" w:rsidP="002633D3">
            <w:pPr>
              <w:pStyle w:val="BodyText"/>
            </w:pPr>
            <w:r w:rsidRPr="002633D3">
              <w:rPr>
                <w:rStyle w:val="SpecialBold"/>
              </w:rPr>
              <w:t>Group No</w:t>
            </w:r>
          </w:p>
        </w:tc>
        <w:tc>
          <w:tcPr>
            <w:tcW w:w="1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3D3" w:rsidP="002633D3">
            <w:pPr>
              <w:pStyle w:val="BodyText"/>
            </w:pPr>
            <w:r w:rsidRPr="002633D3">
              <w:rPr>
                <w:rStyle w:val="SpecialBold"/>
              </w:rPr>
              <w:t>The minimum number of items on which skill is to be demonstrated</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3D3">
            <w:pPr>
              <w:pStyle w:val="BodyText"/>
              <w:rPr>
                <w:lang w:val="en-NZ"/>
              </w:rPr>
            </w:pPr>
            <w:r w:rsidRPr="002633D3">
              <w:rPr>
                <w:rStyle w:val="SpecialBold"/>
              </w:rPr>
              <w:t>Item List</w:t>
            </w:r>
          </w:p>
        </w:tc>
      </w:tr>
      <w:tr w:rsidTr="00D077F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3D3">
            <w:pPr>
              <w:pStyle w:val="BodyText"/>
              <w:rPr>
                <w:lang w:val="en-NZ"/>
              </w:rPr>
            </w:pPr>
            <w:r w:rsidRPr="002633D3">
              <w:t>A</w:t>
            </w:r>
          </w:p>
        </w:tc>
        <w:tc>
          <w:tcPr>
            <w:tcW w:w="1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3D3">
            <w:pPr>
              <w:pStyle w:val="BodyText"/>
              <w:rPr>
                <w:lang w:val="en-NZ"/>
              </w:rPr>
            </w:pPr>
            <w:r w:rsidRPr="002633D3">
              <w:t>Maintain any one of the following types of towers:</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3D3" w:rsidP="002633D3">
            <w:pPr>
              <w:pStyle w:val="BodyText"/>
            </w:pPr>
            <w:r w:rsidRPr="002633D3">
              <w:t xml:space="preserve">Pyramid </w:t>
            </w:r>
          </w:p>
          <w:p w:rsidR="00000000" w:rsidRPr="002633D3" w:rsidP="002633D3">
            <w:pPr>
              <w:pStyle w:val="BodyText"/>
            </w:pPr>
            <w:r w:rsidRPr="002633D3">
              <w:t>Delta pi</w:t>
            </w:r>
          </w:p>
          <w:p w:rsidR="00000000" w:rsidP="002633D3">
            <w:pPr>
              <w:pStyle w:val="BodyText"/>
              <w:rPr>
                <w:lang w:val="en-NZ"/>
              </w:rPr>
            </w:pPr>
            <w:r w:rsidRPr="002633D3">
              <w:t>Enterprise specific type</w:t>
            </w:r>
          </w:p>
        </w:tc>
      </w:tr>
      <w:tr w:rsidTr="00D077F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3D3">
            <w:pPr>
              <w:pStyle w:val="BodyText"/>
              <w:rPr>
                <w:lang w:val="en-NZ"/>
              </w:rPr>
            </w:pPr>
            <w:r w:rsidRPr="002633D3">
              <w:t>B</w:t>
            </w:r>
          </w:p>
        </w:tc>
        <w:tc>
          <w:tcPr>
            <w:tcW w:w="1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3D3">
            <w:pPr>
              <w:pStyle w:val="BodyText"/>
              <w:rPr>
                <w:lang w:val="en-NZ"/>
              </w:rPr>
            </w:pPr>
            <w:r w:rsidRPr="002633D3">
              <w:t>With regards to "A" incorporate at least two of the following</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3D3" w:rsidP="002633D3">
            <w:pPr>
              <w:pStyle w:val="BodyText"/>
            </w:pPr>
            <w:r w:rsidRPr="002633D3">
              <w:t>Insulators</w:t>
            </w:r>
          </w:p>
          <w:p w:rsidR="00000000" w:rsidRPr="002633D3" w:rsidP="002633D3">
            <w:pPr>
              <w:pStyle w:val="BodyText"/>
            </w:pPr>
            <w:r w:rsidRPr="002633D3">
              <w:t>Clamps</w:t>
            </w:r>
          </w:p>
          <w:p w:rsidR="00000000" w:rsidRPr="002633D3" w:rsidP="002633D3">
            <w:pPr>
              <w:pStyle w:val="BodyText"/>
            </w:pPr>
            <w:r w:rsidRPr="002633D3">
              <w:t>Bolts</w:t>
            </w:r>
          </w:p>
          <w:p w:rsidR="00000000" w:rsidP="002633D3">
            <w:pPr>
              <w:pStyle w:val="BodyText"/>
              <w:rPr>
                <w:lang w:val="en-NZ"/>
              </w:rPr>
            </w:pPr>
            <w:r w:rsidRPr="002633D3">
              <w:t>Structural components</w:t>
            </w:r>
          </w:p>
        </w:tc>
      </w:tr>
      <w:tr w:rsidTr="00D077F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3D3">
            <w:pPr>
              <w:pStyle w:val="BodyText"/>
              <w:rPr>
                <w:lang w:val="en-NZ"/>
              </w:rPr>
            </w:pPr>
            <w:r w:rsidRPr="002633D3">
              <w:t>C</w:t>
            </w:r>
          </w:p>
        </w:tc>
        <w:tc>
          <w:tcPr>
            <w:tcW w:w="1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3D3">
            <w:pPr>
              <w:pStyle w:val="BodyText"/>
              <w:rPr>
                <w:lang w:val="en-NZ"/>
              </w:rPr>
            </w:pPr>
            <w:r w:rsidRPr="002633D3">
              <w:t>With regards to "A" incorporate at least one of the following:</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3D3" w:rsidP="002633D3">
            <w:pPr>
              <w:pStyle w:val="BodyText"/>
            </w:pPr>
            <w:r w:rsidRPr="002633D3">
              <w:t>Welding</w:t>
            </w:r>
          </w:p>
          <w:p w:rsidR="00000000" w:rsidP="002633D3">
            <w:pPr>
              <w:pStyle w:val="BodyText"/>
              <w:rPr>
                <w:lang w:val="en-NZ"/>
              </w:rPr>
            </w:pPr>
            <w:r w:rsidRPr="002633D3">
              <w:t>Cleaning</w:t>
            </w:r>
          </w:p>
        </w:tc>
      </w:tr>
      <w:tr w:rsidTr="00D077F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3D3">
            <w:pPr>
              <w:pStyle w:val="BodyText"/>
              <w:rPr>
                <w:lang w:val="en-NZ"/>
              </w:rPr>
            </w:pPr>
            <w:r w:rsidRPr="002633D3">
              <w:t>D</w:t>
            </w:r>
          </w:p>
        </w:tc>
        <w:tc>
          <w:tcPr>
            <w:tcW w:w="1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3D3">
            <w:pPr>
              <w:pStyle w:val="BodyText"/>
              <w:rPr>
                <w:lang w:val="en-NZ"/>
              </w:rPr>
            </w:pPr>
            <w:r w:rsidRPr="002633D3">
              <w:t>Inspect at least four of the following:</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3D3" w:rsidP="002633D3">
            <w:pPr>
              <w:pStyle w:val="BodyText"/>
            </w:pPr>
            <w:r w:rsidRPr="002633D3">
              <w:t>Towers</w:t>
            </w:r>
          </w:p>
          <w:p w:rsidR="00000000" w:rsidRPr="002633D3" w:rsidP="002633D3">
            <w:pPr>
              <w:pStyle w:val="BodyText"/>
            </w:pPr>
            <w:r w:rsidRPr="002633D3">
              <w:t>Overhead conductors/cables</w:t>
            </w:r>
          </w:p>
          <w:p w:rsidR="00000000" w:rsidRPr="002633D3" w:rsidP="002633D3">
            <w:pPr>
              <w:pStyle w:val="BodyText"/>
            </w:pPr>
            <w:r w:rsidRPr="002633D3">
              <w:t>Structural fittings</w:t>
            </w:r>
          </w:p>
          <w:p w:rsidR="00000000" w:rsidRPr="002633D3" w:rsidP="002633D3">
            <w:pPr>
              <w:pStyle w:val="BodyText"/>
            </w:pPr>
            <w:r w:rsidRPr="002633D3">
              <w:t>Electrical Equipment</w:t>
            </w:r>
          </w:p>
          <w:p w:rsidR="00000000" w:rsidRPr="002633D3" w:rsidP="002633D3">
            <w:pPr>
              <w:pStyle w:val="BodyText"/>
            </w:pPr>
            <w:r w:rsidRPr="002633D3">
              <w:t>Hardware.</w:t>
            </w:r>
          </w:p>
          <w:p w:rsidR="00000000" w:rsidP="002633D3">
            <w:pPr>
              <w:pStyle w:val="BodyText"/>
              <w:rPr>
                <w:lang w:val="en-NZ"/>
              </w:rPr>
            </w:pPr>
            <w:r w:rsidRPr="002633D3">
              <w:t>Earthing systems</w:t>
            </w:r>
          </w:p>
        </w:tc>
      </w:tr>
      <w:tr w:rsidTr="00D077F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3D3">
            <w:pPr>
              <w:pStyle w:val="BodyText"/>
              <w:rPr>
                <w:lang w:val="en-NZ"/>
              </w:rPr>
            </w:pPr>
            <w:r w:rsidRPr="002633D3">
              <w:t>E</w:t>
            </w:r>
          </w:p>
        </w:tc>
        <w:tc>
          <w:tcPr>
            <w:tcW w:w="1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3D3">
            <w:pPr>
              <w:pStyle w:val="BodyText"/>
              <w:rPr>
                <w:lang w:val="en-NZ"/>
              </w:rPr>
            </w:pPr>
            <w:r w:rsidRPr="002633D3">
              <w:t>With regards to "D" incorporate at least two of the following:</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3D3" w:rsidP="002633D3">
            <w:pPr>
              <w:pStyle w:val="BodyText"/>
            </w:pPr>
            <w:r w:rsidRPr="002633D3">
              <w:t>Visual*</w:t>
            </w:r>
          </w:p>
          <w:p w:rsidR="00000000" w:rsidRPr="002633D3" w:rsidP="002633D3">
            <w:pPr>
              <w:pStyle w:val="BodyText"/>
            </w:pPr>
            <w:r w:rsidRPr="002633D3">
              <w:t>Infra-red camera</w:t>
            </w:r>
          </w:p>
          <w:p w:rsidR="00000000" w:rsidRPr="002633D3" w:rsidP="002633D3">
            <w:pPr>
              <w:pStyle w:val="BodyText"/>
            </w:pPr>
            <w:r w:rsidRPr="002633D3">
              <w:t>X-Ray</w:t>
            </w:r>
          </w:p>
          <w:p w:rsidR="00000000" w:rsidRPr="002633D3" w:rsidP="002633D3">
            <w:pPr>
              <w:pStyle w:val="BodyText"/>
            </w:pPr>
            <w:r w:rsidRPr="002633D3">
              <w:t>Camera</w:t>
            </w:r>
          </w:p>
          <w:p w:rsidR="00000000" w:rsidRPr="002633D3" w:rsidP="002633D3">
            <w:pPr>
              <w:pStyle w:val="BodyText"/>
            </w:pPr>
            <w:r w:rsidRPr="002633D3">
              <w:t>Binoculars/telescope</w:t>
            </w:r>
          </w:p>
          <w:p w:rsidR="00000000" w:rsidP="002633D3">
            <w:pPr>
              <w:pStyle w:val="BodyText"/>
              <w:rPr>
                <w:lang w:val="en-NZ"/>
              </w:rPr>
            </w:pPr>
            <w:r w:rsidRPr="002633D3">
              <w:t>(* must do)</w:t>
            </w:r>
          </w:p>
        </w:tc>
      </w:tr>
      <w:tr w:rsidTr="00D077F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3D3">
            <w:pPr>
              <w:pStyle w:val="BodyText"/>
              <w:rPr>
                <w:lang w:val="en-NZ"/>
              </w:rPr>
            </w:pPr>
            <w:r w:rsidRPr="002633D3">
              <w:t>F</w:t>
            </w:r>
          </w:p>
        </w:tc>
        <w:tc>
          <w:tcPr>
            <w:tcW w:w="1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3D3">
            <w:pPr>
              <w:pStyle w:val="BodyText"/>
              <w:rPr>
                <w:lang w:val="en-NZ"/>
              </w:rPr>
            </w:pPr>
            <w:r w:rsidRPr="002633D3">
              <w:t>With regards to "D" incorporate all of the following:</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3D3" w:rsidP="002633D3">
            <w:pPr>
              <w:pStyle w:val="BodyText"/>
            </w:pPr>
            <w:r w:rsidRPr="002633D3">
              <w:t xml:space="preserve">Reporting procedures </w:t>
            </w:r>
          </w:p>
          <w:p w:rsidR="00000000" w:rsidP="002633D3">
            <w:pPr>
              <w:pStyle w:val="BodyText"/>
              <w:rPr>
                <w:lang w:val="en-NZ"/>
              </w:rPr>
            </w:pPr>
            <w:r w:rsidRPr="002633D3">
              <w:t>Reporting outcomes</w:t>
            </w:r>
          </w:p>
        </w:tc>
      </w:tr>
      <w:tr w:rsidTr="00D077F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3D3">
            <w:pPr>
              <w:pStyle w:val="BodyText"/>
              <w:rPr>
                <w:lang w:val="en-NZ"/>
              </w:rPr>
            </w:pPr>
            <w:r w:rsidRPr="002633D3">
              <w:t>G</w:t>
            </w:r>
          </w:p>
        </w:tc>
        <w:tc>
          <w:tcPr>
            <w:tcW w:w="1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3D3">
            <w:pPr>
              <w:pStyle w:val="BodyText"/>
              <w:rPr>
                <w:lang w:val="en-NZ"/>
              </w:rPr>
            </w:pPr>
            <w:r w:rsidRPr="002633D3">
              <w:t>At least one occasion</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3D3">
            <w:pPr>
              <w:pStyle w:val="BodyText"/>
              <w:rPr>
                <w:lang w:val="en-NZ"/>
              </w:rPr>
            </w:pPr>
            <w:r w:rsidRPr="002633D3">
              <w:t>Dealing with an unplanned event by drawing on essential knowledge and associated skills to provide appropriate solutions incorporated in the holistic assessment with the above listed items.</w:t>
            </w:r>
          </w:p>
        </w:tc>
      </w:tr>
      <w:tr w:rsidTr="00D077F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rPr>
                <w:rStyle w:val="SpecialBold"/>
              </w:rPr>
              <w:t>Context of and specific resources for asses</w:t>
            </w:r>
            <w:r w:rsidRPr="002633D3">
              <w:rPr>
                <w:rStyle w:val="SpecialBold"/>
              </w:rPr>
              <w:t>sment</w:t>
            </w:r>
          </w:p>
        </w:tc>
        <w:tc>
          <w:tcPr>
            <w:tcW w:w="6433" w:type="dxa"/>
            <w:gridSpan w:val="4"/>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rPr>
                <w:rStyle w:val="SpecialBold"/>
              </w:rPr>
              <w:t>9</w:t>
            </w:r>
            <w:r w:rsidRPr="002633D3">
              <w:t>.</w:t>
            </w:r>
            <w:r w:rsidRPr="002633D3">
              <w:rPr>
                <w:rStyle w:val="SpecialBold"/>
              </w:rPr>
              <w:t>3</w:t>
            </w:r>
            <w:r w:rsidRPr="002633D3">
              <w:t xml:space="preserve">) </w:t>
            </w:r>
          </w:p>
          <w:p w:rsidR="00000000" w:rsidRPr="002633D3" w:rsidP="002633D3">
            <w:pPr>
              <w:pStyle w:val="BodyText"/>
            </w:pPr>
            <w:r w:rsidRPr="002633D3">
              <w:t>This unit should be assessed as it relates to normal work practice using procedures, information and resources typical of a workplace. This should include:</w:t>
            </w:r>
          </w:p>
          <w:p w:rsidR="00000000" w:rsidRPr="002633D3" w:rsidP="002633D3">
            <w:pPr>
              <w:pStyle w:val="ListBullet"/>
            </w:pPr>
            <w:r w:rsidRPr="002633D3">
              <w:t>OHS policy and work procedures and instructions.</w:t>
            </w:r>
          </w:p>
          <w:p w:rsidR="00000000" w:rsidP="002633D3">
            <w:pPr>
              <w:pStyle w:val="ListBullet"/>
              <w:rPr>
                <w:lang w:val="en-NZ"/>
              </w:rPr>
            </w:pPr>
            <w:r w:rsidRPr="002633D3">
              <w:t>Suitable work environment, facilities, equipment and materials to undertake actual installation and maintenance of transmission network infrastructure electrical equipment.</w:t>
            </w:r>
          </w:p>
        </w:tc>
      </w:tr>
      <w:tr w:rsidTr="00D077F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In addition to the resources listed above, in Context of and specific resource</w:t>
            </w:r>
            <w:r w:rsidRPr="002633D3">
              <w:t>s for assessment, evidence should show demonstrated competency working below ground, in limited spaces, with different structural/construction types and method and in a variety of environments</w:t>
            </w:r>
          </w:p>
        </w:tc>
      </w:tr>
      <w:tr w:rsidTr="00D077F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rPr>
                <w:rStyle w:val="SpecialBold"/>
              </w:rPr>
              <w:t>9</w:t>
            </w:r>
            <w:r w:rsidRPr="002633D3">
              <w:t>.</w:t>
            </w:r>
            <w:r w:rsidRPr="002633D3">
              <w:rPr>
                <w:rStyle w:val="SpecialBold"/>
              </w:rPr>
              <w:t>4</w:t>
            </w:r>
            <w:r w:rsidRPr="002633D3">
              <w:t xml:space="preserve">) </w:t>
            </w:r>
          </w:p>
          <w:p w:rsidR="00000000" w:rsidRPr="002633D3" w:rsidP="002633D3">
            <w:pPr>
              <w:pStyle w:val="BodyText"/>
            </w:pPr>
            <w:r w:rsidRPr="002633D3">
              <w:t>This Competency Standard Unit sh</w:t>
            </w:r>
            <w:r w:rsidRPr="002633D3">
              <w:t>all be assessed by methods given in Volume 1, Part 3 "Assessment Guidelines".</w:t>
            </w:r>
          </w:p>
          <w:p w:rsidR="00000000" w:rsidP="002633D3">
            <w:pPr>
              <w:pStyle w:val="BodyText"/>
              <w:rPr>
                <w:lang w:val="en-NZ"/>
              </w:rPr>
            </w:pPr>
            <w:r w:rsidRPr="002633D3">
              <w:t>Note:</w:t>
            </w:r>
            <w:r w:rsidRPr="002633D3">
              <w:br/>
              <w:t>Competent performance with inherent safe working practices is expected in the Transmission, Distribution and Rail Traction Industry. This requires that the specified essent</w:t>
            </w:r>
            <w:r w:rsidRPr="002633D3">
              <w:t>ial knowledge and associated skills are assessed in a structured environment which is primarily intended for learning/assessment and incorporates all necessary equipment and facilities for learners to develop and demonstrate the essential knowledge and ass</w:t>
            </w:r>
            <w:r w:rsidRPr="002633D3">
              <w:t>ociated skills described in this unit.</w:t>
            </w:r>
          </w:p>
        </w:tc>
      </w:tr>
      <w:tr w:rsidTr="00D077FC">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rPr>
                <w:rStyle w:val="SpecialBold"/>
              </w:rPr>
              <w:t>9</w:t>
            </w:r>
            <w:r w:rsidRPr="002633D3">
              <w:t>.</w:t>
            </w:r>
            <w:r w:rsidRPr="002633D3">
              <w:rPr>
                <w:rStyle w:val="SpecialBold"/>
              </w:rPr>
              <w:t>5</w:t>
            </w:r>
            <w:r w:rsidRPr="002633D3">
              <w:t>)</w:t>
            </w:r>
          </w:p>
        </w:tc>
      </w:tr>
      <w:tr w:rsidTr="00D077FC">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t>There are no concurrent assessment recommendations for this unit.</w:t>
            </w:r>
          </w:p>
        </w:tc>
      </w:tr>
    </w:tbl>
    <w:p w:rsidR="00D077FC" w:rsidP="002633D3">
      <w:pPr>
        <w:pStyle w:val="BodyText"/>
      </w:pPr>
    </w:p>
    <w:p w:rsidR="00D077FC" w:rsidP="002633D3">
      <w:pPr>
        <w:pStyle w:val="BodyText"/>
      </w:pPr>
    </w:p>
    <w:p w:rsidR="00000000" w:rsidRPr="002633D3" w:rsidP="002633D3">
      <w:pPr>
        <w:pStyle w:val="Heading1"/>
      </w:pPr>
      <w:bookmarkStart w:id="11" w:name="O_256251"/>
      <w:bookmarkEnd w:id="11"/>
      <w:r w:rsidRPr="002633D3">
        <w:t>Range Statement</w:t>
      </w:r>
    </w:p>
    <w:tbl>
      <w:tblPr>
        <w:tblW w:w="0" w:type="auto"/>
        <w:tblLayout w:type="fixed"/>
        <w:tblCellMar>
          <w:left w:w="62" w:type="dxa"/>
          <w:right w:w="62" w:type="dxa"/>
        </w:tblCellMar>
        <w:tblLook w:val="0000"/>
      </w:tblPr>
      <w:tblGrid>
        <w:gridCol w:w="2207"/>
        <w:gridCol w:w="6433"/>
      </w:tblGrid>
      <w:tr w:rsidTr="00D077FC">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rPr>
                <w:rStyle w:val="SpecialBold"/>
              </w:rPr>
              <w:t>RANGE STATEMENT</w:t>
            </w:r>
          </w:p>
        </w:tc>
      </w:tr>
      <w:tr w:rsidTr="00D077F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rPr>
                <w:rStyle w:val="SpecialBold"/>
              </w:rPr>
              <w:t>8</w:t>
            </w:r>
            <w:r w:rsidRPr="002633D3">
              <w:t>) This relates to the unit of competency as a whole providing the range of contexts and conditions to which the Performance Criteria apply. It allows for different work environments and situations that will affect performance.</w:t>
            </w:r>
          </w:p>
        </w:tc>
      </w:tr>
      <w:tr w:rsidTr="00D077F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t>This Competency Standard Unit shall/may be demonstrated in relation to the installation and maintenance of transmission network infrastructure electrical equipment in accordance with construction plans and specifications</w:t>
            </w:r>
          </w:p>
          <w:p w:rsidR="00000000" w:rsidRPr="002633D3" w:rsidP="002633D3">
            <w:pPr>
              <w:pStyle w:val="BodyText"/>
            </w:pPr>
            <w:r w:rsidRPr="002633D3">
              <w:t>Tower types may include pyramid, de</w:t>
            </w:r>
            <w:r w:rsidRPr="002633D3">
              <w:t>lta and pi and other enterprise specific types.</w:t>
            </w:r>
          </w:p>
          <w:p w:rsidR="00000000" w:rsidRPr="002633D3" w:rsidP="002633D3">
            <w:pPr>
              <w:pStyle w:val="BodyText"/>
            </w:pPr>
            <w:r w:rsidRPr="002633D3">
              <w:t>Maintenance may include the removal, repair and replacement of tower components, including welding where appropriate; and the replacement, repair and cleaning of associated hardware.</w:t>
            </w:r>
          </w:p>
          <w:p w:rsidR="00000000" w:rsidRPr="002633D3" w:rsidP="002633D3">
            <w:pPr>
              <w:pStyle w:val="BodyText"/>
            </w:pPr>
            <w:r w:rsidRPr="002633D3">
              <w:t>Inspection may be carried</w:t>
            </w:r>
            <w:r w:rsidRPr="002633D3">
              <w:t xml:space="preserve"> out on foot, and/or by conventional ground-based vehicle, or from the air. Aircraft may be helicopters or fixed-wing types.</w:t>
            </w:r>
          </w:p>
          <w:p w:rsidR="00000000" w:rsidRPr="002633D3" w:rsidP="002633D3">
            <w:pPr>
              <w:pStyle w:val="BodyText"/>
            </w:pPr>
            <w:r w:rsidRPr="002633D3">
              <w:t>Inspection techniques include use of X-ray and infrared camera.</w:t>
            </w:r>
          </w:p>
          <w:p w:rsidR="00000000" w:rsidRPr="002633D3" w:rsidP="002633D3">
            <w:pPr>
              <w:pStyle w:val="BodyText"/>
            </w:pPr>
            <w:r w:rsidRPr="002633D3">
              <w:t>Items to be inspected may include towers but not overhead poles and</w:t>
            </w:r>
            <w:r w:rsidRPr="002633D3">
              <w:t xml:space="preserve"> or structures.</w:t>
            </w:r>
          </w:p>
          <w:p w:rsidR="00000000" w:rsidRPr="002633D3" w:rsidP="002633D3">
            <w:pPr>
              <w:pStyle w:val="BodyText"/>
            </w:pPr>
            <w:r w:rsidRPr="002633D3">
              <w:t xml:space="preserve">Types of electrical apparatus to be inspected include overhead conductors, cables, hardware and footings, underground cables and overhead transition points and, electrical equipment such as pole-mounted transformers and air-break switches, </w:t>
            </w:r>
            <w:r w:rsidRPr="002633D3">
              <w:t>hardware and or earthing systems.</w:t>
            </w:r>
          </w:p>
          <w:p w:rsidR="00000000" w:rsidP="002633D3">
            <w:pPr>
              <w:pStyle w:val="BodyText"/>
              <w:rPr>
                <w:lang w:val="en-NZ"/>
              </w:rPr>
            </w:pPr>
            <w:r w:rsidRPr="002633D3">
              <w:t>The following constants and variables included in the element/Performance Criteria in this unit are fully described in the Definitions Section 1 of this volume and form an integral part of the Range Statement of this unit:</w:t>
            </w:r>
          </w:p>
        </w:tc>
      </w:tr>
      <w:tr w:rsidTr="00D077F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2633D3" w:rsidP="002633D3">
            <w:pPr>
              <w:pStyle w:val="ListBullet"/>
            </w:pPr>
            <w:r w:rsidRPr="002633D3">
              <w:t>Appropriate and relevant persons (see Personnel)</w:t>
            </w:r>
          </w:p>
          <w:p w:rsidR="00000000" w:rsidRPr="002633D3" w:rsidP="002633D3">
            <w:pPr>
              <w:pStyle w:val="ListBullet"/>
            </w:pPr>
            <w:r w:rsidRPr="002633D3">
              <w:t>Appropriate authorities</w:t>
            </w:r>
          </w:p>
          <w:p w:rsidR="00000000" w:rsidRPr="002633D3" w:rsidP="002633D3">
            <w:pPr>
              <w:pStyle w:val="ListBullet"/>
            </w:pPr>
            <w:r w:rsidRPr="002633D3">
              <w:t>Appropriate work platform</w:t>
            </w:r>
          </w:p>
          <w:p w:rsidR="00000000" w:rsidRPr="002633D3" w:rsidP="002633D3">
            <w:pPr>
              <w:pStyle w:val="ListBullet"/>
            </w:pPr>
            <w:r w:rsidRPr="002633D3">
              <w:t>Assessing risk</w:t>
            </w:r>
          </w:p>
          <w:p w:rsidR="00000000" w:rsidRPr="002633D3" w:rsidP="002633D3">
            <w:pPr>
              <w:pStyle w:val="ListBullet"/>
            </w:pPr>
            <w:r w:rsidRPr="002633D3">
              <w:t>Assessment</w:t>
            </w:r>
          </w:p>
          <w:p w:rsidR="00000000" w:rsidRPr="002633D3" w:rsidP="002633D3">
            <w:pPr>
              <w:pStyle w:val="ListBullet"/>
            </w:pPr>
            <w:r w:rsidRPr="002633D3">
              <w:t>Authorisation</w:t>
            </w:r>
          </w:p>
          <w:p w:rsidR="00000000" w:rsidRPr="002633D3" w:rsidP="002633D3">
            <w:pPr>
              <w:pStyle w:val="ListBullet"/>
            </w:pPr>
            <w:r w:rsidRPr="002633D3">
              <w:t>Diagnostic, testing and restoration</w:t>
            </w:r>
          </w:p>
          <w:p w:rsidR="00000000" w:rsidRPr="002633D3" w:rsidP="002633D3">
            <w:pPr>
              <w:pStyle w:val="ListBullet"/>
            </w:pPr>
            <w:r w:rsidRPr="002633D3">
              <w:t>Documenting detail work events, record keeping and or storage of information</w:t>
            </w:r>
          </w:p>
          <w:p w:rsidR="00000000" w:rsidRPr="002633D3" w:rsidP="002633D3">
            <w:pPr>
              <w:pStyle w:val="ListBullet"/>
            </w:pPr>
            <w:r w:rsidRPr="002633D3">
              <w:t>Drawings and specifications</w:t>
            </w:r>
          </w:p>
          <w:p w:rsidR="00000000" w:rsidRPr="002633D3" w:rsidP="002633D3">
            <w:pPr>
              <w:pStyle w:val="ListBullet"/>
            </w:pPr>
            <w:r w:rsidRPr="002633D3">
              <w:t>Emergency</w:t>
            </w:r>
          </w:p>
          <w:p w:rsidR="00000000" w:rsidRPr="002633D3" w:rsidP="002633D3">
            <w:pPr>
              <w:pStyle w:val="ListBullet"/>
            </w:pPr>
            <w:r w:rsidRPr="002633D3">
              <w:t>Environmental and sustainable energy procedures</w:t>
            </w:r>
          </w:p>
          <w:p w:rsidR="00000000" w:rsidRPr="002633D3" w:rsidP="002633D3">
            <w:pPr>
              <w:pStyle w:val="ListBullet"/>
            </w:pPr>
            <w:r w:rsidRPr="002633D3">
              <w:t>Environmental legislation</w:t>
            </w:r>
          </w:p>
          <w:p w:rsidR="00000000" w:rsidRPr="002633D3" w:rsidP="002633D3">
            <w:pPr>
              <w:pStyle w:val="ListBullet"/>
            </w:pPr>
            <w:r w:rsidRPr="002633D3">
              <w:t>Environmental management documentation</w:t>
            </w:r>
          </w:p>
          <w:p w:rsidR="00000000" w:rsidRPr="002633D3" w:rsidP="002633D3">
            <w:pPr>
              <w:pStyle w:val="ListBullet"/>
            </w:pPr>
            <w:r w:rsidRPr="002633D3">
              <w:t>Established procedures</w:t>
            </w:r>
          </w:p>
          <w:p w:rsidR="00000000" w:rsidRPr="002633D3" w:rsidP="002633D3">
            <w:pPr>
              <w:pStyle w:val="ListBullet"/>
            </w:pPr>
            <w:r w:rsidRPr="002633D3">
              <w:t>Fall prevention</w:t>
            </w:r>
          </w:p>
          <w:p w:rsidR="00000000" w:rsidRPr="002633D3" w:rsidP="002633D3">
            <w:pPr>
              <w:pStyle w:val="ListBullet"/>
            </w:pPr>
            <w:r w:rsidRPr="002633D3">
              <w:t>Hazards</w:t>
            </w:r>
          </w:p>
          <w:p w:rsidR="00000000" w:rsidRPr="002633D3" w:rsidP="002633D3">
            <w:pPr>
              <w:pStyle w:val="ListBullet"/>
            </w:pPr>
            <w:r w:rsidRPr="002633D3">
              <w:t>Identifying hazards</w:t>
            </w:r>
          </w:p>
          <w:p w:rsidR="00000000" w:rsidRPr="002633D3" w:rsidP="002633D3">
            <w:pPr>
              <w:pStyle w:val="ListBullet"/>
            </w:pPr>
            <w:r w:rsidRPr="002633D3">
              <w:t>Inspect</w:t>
            </w:r>
          </w:p>
          <w:p w:rsidR="00000000" w:rsidRPr="002633D3" w:rsidP="002633D3">
            <w:pPr>
              <w:pStyle w:val="ListBullet"/>
            </w:pPr>
            <w:r w:rsidRPr="002633D3">
              <w:t>Legislation</w:t>
            </w:r>
          </w:p>
          <w:p w:rsidR="00000000" w:rsidRPr="002633D3" w:rsidP="002633D3">
            <w:pPr>
              <w:pStyle w:val="ListBullet"/>
            </w:pPr>
            <w:r w:rsidRPr="002633D3">
              <w:t>MSDS</w:t>
            </w:r>
          </w:p>
          <w:p w:rsidR="00000000" w:rsidRPr="002633D3" w:rsidP="002633D3">
            <w:pPr>
              <w:pStyle w:val="ListBullet"/>
            </w:pPr>
            <w:r w:rsidRPr="002633D3">
              <w:t>Notification</w:t>
            </w:r>
          </w:p>
          <w:p w:rsidR="00000000" w:rsidRPr="002633D3" w:rsidP="002633D3">
            <w:pPr>
              <w:pStyle w:val="ListBullet"/>
            </w:pPr>
            <w:r w:rsidRPr="002633D3">
              <w:t>OHS practices</w:t>
            </w:r>
          </w:p>
          <w:p w:rsidR="00000000" w:rsidRPr="002633D3" w:rsidP="002633D3">
            <w:pPr>
              <w:pStyle w:val="ListBullet"/>
            </w:pPr>
            <w:r w:rsidRPr="002633D3">
              <w:t>OHS issues</w:t>
            </w:r>
          </w:p>
          <w:p w:rsidR="00000000" w:rsidRPr="002633D3" w:rsidP="002633D3">
            <w:pPr>
              <w:pStyle w:val="ListBullet"/>
            </w:pPr>
            <w:r w:rsidRPr="002633D3">
              <w:t>Permits and/or permits to work</w:t>
            </w:r>
          </w:p>
          <w:p w:rsidR="00000000" w:rsidRPr="002633D3" w:rsidP="002633D3">
            <w:pPr>
              <w:pStyle w:val="ListBullet"/>
            </w:pPr>
            <w:r w:rsidRPr="002633D3">
              <w:t>Personnel</w:t>
            </w:r>
          </w:p>
          <w:p w:rsidR="00000000" w:rsidRPr="002633D3" w:rsidP="002633D3">
            <w:pPr>
              <w:pStyle w:val="ListBullet"/>
            </w:pPr>
            <w:r w:rsidRPr="002633D3">
              <w:t>Quality assurance systems</w:t>
            </w:r>
          </w:p>
          <w:p w:rsidR="00000000" w:rsidRPr="002633D3" w:rsidP="002633D3">
            <w:pPr>
              <w:pStyle w:val="ListBullet"/>
            </w:pPr>
            <w:r w:rsidRPr="002633D3">
              <w:t>Requirements</w:t>
            </w:r>
          </w:p>
          <w:p w:rsidR="00000000" w:rsidRPr="002633D3" w:rsidP="002633D3">
            <w:pPr>
              <w:pStyle w:val="ListBullet"/>
            </w:pPr>
            <w:r w:rsidRPr="002633D3">
              <w:t>Testing procedures</w:t>
            </w:r>
          </w:p>
          <w:p w:rsidR="00000000" w:rsidRPr="002633D3" w:rsidP="002633D3">
            <w:pPr>
              <w:pStyle w:val="ListBullet"/>
            </w:pPr>
            <w:r w:rsidRPr="002633D3">
              <w:t>Work clearance systems</w:t>
            </w:r>
          </w:p>
        </w:tc>
      </w:tr>
    </w:tbl>
    <w:p w:rsidR="00D077FC" w:rsidP="002633D3">
      <w:pPr>
        <w:pStyle w:val="BodyText"/>
      </w:pPr>
    </w:p>
    <w:p w:rsidR="00D077FC" w:rsidP="002633D3">
      <w:pPr>
        <w:pStyle w:val="BodyText"/>
      </w:pPr>
    </w:p>
    <w:p w:rsidR="00000000" w:rsidRPr="002633D3" w:rsidP="002633D3">
      <w:pPr>
        <w:pStyle w:val="Heading1"/>
      </w:pPr>
      <w:bookmarkStart w:id="12" w:name="O_297264"/>
      <w:bookmarkEnd w:id="12"/>
      <w:r w:rsidRPr="002633D3">
        <w:t>Unit Sector(s)</w:t>
      </w:r>
    </w:p>
    <w:p w:rsidR="00000000" w:rsidRPr="002633D3" w:rsidP="002633D3">
      <w:pPr>
        <w:pStyle w:val="BodyText"/>
      </w:pPr>
      <w:r w:rsidRPr="002633D3">
        <w:t>Not Applicable</w:t>
      </w:r>
    </w:p>
    <w:p w:rsidR="00000000" w:rsidRPr="002633D3" w:rsidP="002633D3">
      <w:pPr>
        <w:pStyle w:val="AllowPageBreak"/>
      </w:pPr>
    </w:p>
    <w:p w:rsidR="00000000" w:rsidRPr="002633D3" w:rsidP="002633D3">
      <w:pPr>
        <w:pStyle w:val="Heading1"/>
      </w:pPr>
      <w:bookmarkStart w:id="13" w:name="O_232141"/>
      <w:bookmarkEnd w:id="13"/>
      <w:r w:rsidRPr="002633D3">
        <w:t>Custom Content Section</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D077FC">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rPr>
                <w:rStyle w:val="SpecialBold"/>
              </w:rPr>
              <w:t>2</w:t>
            </w:r>
            <w:r w:rsidRPr="002633D3">
              <w:t>.</w:t>
            </w:r>
            <w:r w:rsidRPr="002633D3">
              <w:rPr>
                <w:rStyle w:val="SpecialBold"/>
              </w:rPr>
              <w:t>2</w:t>
            </w:r>
            <w:r w:rsidRPr="002633D3">
              <w:t xml:space="preserve">) </w:t>
            </w:r>
            <w:r w:rsidRPr="002633D3">
              <w:rPr>
                <w:rStyle w:val="SpecialBold"/>
              </w:rPr>
              <w:t>Literacy and numeracy skills</w:t>
            </w:r>
          </w:p>
          <w:p w:rsidR="00000000" w:rsidP="002633D3">
            <w:pPr>
              <w:pStyle w:val="BodyText"/>
              <w:rPr>
                <w:lang w:val="en-NZ"/>
              </w:rPr>
            </w:pPr>
            <w:r w:rsidRPr="002633D3">
              <w:t>Participants are best equipped to achieve this unit if they have reading, writing and numeracy skills indicated by the following scales. Description of each scale is given in Volume 2, Part 3 "Literacy and Numeracy"</w:t>
            </w:r>
          </w:p>
        </w:tc>
      </w:tr>
      <w:tr w:rsidTr="00D077FC">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Reading</w:t>
            </w:r>
          </w:p>
        </w:tc>
        <w:tc>
          <w:tcPr>
            <w:tcW w:w="1207"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4</w:t>
            </w:r>
          </w:p>
        </w:tc>
        <w:tc>
          <w:tcPr>
            <w:tcW w:w="1776"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Writing</w:t>
            </w:r>
          </w:p>
        </w:tc>
        <w:tc>
          <w:tcPr>
            <w:tcW w:w="1207"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4</w:t>
            </w:r>
          </w:p>
        </w:tc>
        <w:tc>
          <w:tcPr>
            <w:tcW w:w="1758"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t>Numeracy</w:t>
            </w:r>
          </w:p>
        </w:tc>
        <w:tc>
          <w:tcPr>
            <w:tcW w:w="1207" w:type="dxa"/>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t>4</w:t>
            </w:r>
          </w:p>
        </w:tc>
      </w:tr>
    </w:tbl>
    <w:p w:rsidR="00D077FC" w:rsidP="002633D3">
      <w:pPr>
        <w:pStyle w:val="BodyText"/>
      </w:pPr>
    </w:p>
    <w:p w:rsidR="00D077FC" w:rsidP="002633D3">
      <w:pPr>
        <w:pStyle w:val="BodyText"/>
      </w:pPr>
    </w:p>
    <w:p w:rsidR="00000000" w:rsidRPr="002633D3" w:rsidP="002633D3">
      <w:pPr>
        <w:pStyle w:val="Heading1"/>
      </w:pPr>
      <w:bookmarkStart w:id="14" w:name="O_232144"/>
      <w:bookmarkEnd w:id="14"/>
      <w:r w:rsidRPr="002633D3">
        <w:t>Competency Field</w:t>
      </w:r>
    </w:p>
    <w:tbl>
      <w:tblPr>
        <w:tblW w:w="0" w:type="auto"/>
        <w:tblLayout w:type="fixed"/>
        <w:tblCellMar>
          <w:left w:w="62" w:type="dxa"/>
          <w:right w:w="62" w:type="dxa"/>
        </w:tblCellMar>
        <w:tblLook w:val="0000"/>
      </w:tblPr>
      <w:tblGrid>
        <w:gridCol w:w="2758"/>
        <w:gridCol w:w="5882"/>
      </w:tblGrid>
      <w:tr w:rsidTr="00D077F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2633D3">
            <w:pPr>
              <w:pStyle w:val="BodyText"/>
              <w:rPr>
                <w:lang w:val="en-NZ"/>
              </w:rPr>
            </w:pPr>
            <w:r w:rsidRPr="002633D3">
              <w:rPr>
                <w:rStyle w:val="SpecialBold"/>
              </w:rPr>
              <w:t>5</w:t>
            </w:r>
            <w:r w:rsidRPr="002633D3">
              <w:t>)</w:t>
            </w:r>
          </w:p>
        </w:tc>
      </w:tr>
      <w:tr w:rsidTr="00D077F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2633D3" w:rsidP="002633D3">
            <w:pPr>
              <w:pStyle w:val="BodyText"/>
            </w:pPr>
            <w:r w:rsidRPr="002633D3">
              <w:t>Transmission Units</w:t>
            </w:r>
          </w:p>
        </w:tc>
      </w:tr>
    </w:tbl>
    <w:p w:rsidR="00D077FC" w:rsidP="002633D3">
      <w:pPr>
        <w:pStyle w:val="BodyText"/>
      </w:pPr>
    </w:p>
    <w:p w:rsidR="00D077FC" w:rsidP="002633D3">
      <w:pPr>
        <w:pStyle w:val="BodyText"/>
      </w:pPr>
    </w:p>
    <w:p w:rsidR="00000000" w:rsidRPr="002633D3" w:rsidP="002633D3"/>
    <w:sectPr w:rsidSect="002633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3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77FC" w:rsidP="00D077F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3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7FC" w:rsidP="002633D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077FC" w:rsidP="002633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077FC" w:rsidP="002633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3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3D3" w:rsidRPr="00D077FC" w:rsidP="00D077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3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7FC" w:rsidRPr="002D2AF8" w:rsidP="002633D3">
    <w:pPr>
      <w:pStyle w:val="Header"/>
      <w:framePr w:wrap="around"/>
    </w:pPr>
    <w:r>
      <w:fldChar w:fldCharType="begin"/>
    </w:r>
    <w:r>
      <w:instrText xml:space="preserve"> TITLE   \* MERGEFORMAT </w:instrText>
    </w:r>
    <w:r>
      <w:fldChar w:fldCharType="separate"/>
    </w:r>
    <w:r>
      <w:t>UETTDRTP15B Install and maintain transmission network infrastructure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D077FC" w:rsidP="002633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34F0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6AB8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5868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3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33D3"/>
    <w:pPr>
      <w:spacing w:before="360" w:after="60"/>
      <w:outlineLvl w:val="0"/>
    </w:pPr>
    <w:rPr>
      <w:sz w:val="32"/>
    </w:rPr>
  </w:style>
  <w:style w:type="paragraph" w:styleId="Heading2">
    <w:name w:val="heading 2"/>
    <w:basedOn w:val="HeadingBase"/>
    <w:next w:val="BodyText"/>
    <w:link w:val="Heading2Char"/>
    <w:qFormat/>
    <w:rsid w:val="002633D3"/>
    <w:pPr>
      <w:keepLines/>
      <w:spacing w:before="240" w:after="120"/>
      <w:outlineLvl w:val="1"/>
    </w:pPr>
    <w:rPr>
      <w:sz w:val="28"/>
      <w:szCs w:val="40"/>
    </w:rPr>
  </w:style>
  <w:style w:type="paragraph" w:styleId="Heading3">
    <w:name w:val="heading 3"/>
    <w:basedOn w:val="HeadingBase"/>
    <w:next w:val="BodyText"/>
    <w:link w:val="Heading3Char"/>
    <w:qFormat/>
    <w:rsid w:val="002633D3"/>
    <w:pPr>
      <w:spacing w:before="180" w:after="120"/>
      <w:outlineLvl w:val="2"/>
    </w:pPr>
    <w:rPr>
      <w:spacing w:val="-10"/>
      <w:kern w:val="32"/>
    </w:rPr>
  </w:style>
  <w:style w:type="paragraph" w:styleId="Heading4">
    <w:name w:val="heading 4"/>
    <w:basedOn w:val="HeadingBase"/>
    <w:next w:val="BodyText"/>
    <w:link w:val="Heading4Char"/>
    <w:qFormat/>
    <w:rsid w:val="002633D3"/>
    <w:pPr>
      <w:spacing w:before="160" w:after="120"/>
      <w:outlineLvl w:val="3"/>
    </w:pPr>
    <w:rPr>
      <w:sz w:val="22"/>
    </w:rPr>
  </w:style>
  <w:style w:type="paragraph" w:styleId="Heading5">
    <w:name w:val="heading 5"/>
    <w:basedOn w:val="HeadingBase"/>
    <w:next w:val="Normal"/>
    <w:link w:val="Heading5Char"/>
    <w:qFormat/>
    <w:rsid w:val="002633D3"/>
    <w:pPr>
      <w:spacing w:before="80"/>
      <w:outlineLvl w:val="4"/>
    </w:pPr>
    <w:rPr>
      <w:color w:val="918585"/>
      <w:sz w:val="20"/>
    </w:rPr>
  </w:style>
  <w:style w:type="paragraph" w:styleId="Heading6">
    <w:name w:val="heading 6"/>
    <w:basedOn w:val="HeadingBase"/>
    <w:next w:val="Normal"/>
    <w:link w:val="Heading6Char"/>
    <w:qFormat/>
    <w:rsid w:val="002633D3"/>
    <w:pPr>
      <w:spacing w:before="60"/>
      <w:outlineLvl w:val="5"/>
    </w:pPr>
    <w:rPr>
      <w:color w:val="918585"/>
      <w:sz w:val="20"/>
    </w:rPr>
  </w:style>
  <w:style w:type="paragraph" w:styleId="Heading7">
    <w:name w:val="heading 7"/>
    <w:basedOn w:val="Normal"/>
    <w:next w:val="Normal"/>
    <w:link w:val="Heading7Char"/>
    <w:qFormat/>
    <w:rsid w:val="002633D3"/>
    <w:pPr>
      <w:ind w:left="720"/>
      <w:outlineLvl w:val="6"/>
    </w:pPr>
    <w:rPr>
      <w:i/>
    </w:rPr>
  </w:style>
  <w:style w:type="paragraph" w:styleId="Heading8">
    <w:name w:val="heading 8"/>
    <w:basedOn w:val="Normal"/>
    <w:next w:val="Normal"/>
    <w:link w:val="Heading8Char"/>
    <w:qFormat/>
    <w:rsid w:val="002633D3"/>
    <w:pPr>
      <w:ind w:left="720"/>
      <w:outlineLvl w:val="7"/>
    </w:pPr>
    <w:rPr>
      <w:i/>
    </w:rPr>
  </w:style>
  <w:style w:type="paragraph" w:styleId="Heading9">
    <w:name w:val="heading 9"/>
    <w:basedOn w:val="Normal"/>
    <w:next w:val="Normal"/>
    <w:link w:val="Heading9Char"/>
    <w:qFormat/>
    <w:rsid w:val="002633D3"/>
    <w:pPr>
      <w:ind w:left="720"/>
      <w:outlineLvl w:val="8"/>
    </w:pPr>
    <w:rPr>
      <w:i/>
    </w:rPr>
  </w:style>
  <w:style w:type="character" w:default="1" w:styleId="DefaultParagraphFont">
    <w:name w:val="Default Paragraph Font"/>
    <w:uiPriority w:val="1"/>
    <w:unhideWhenUsed/>
    <w:rsid w:val="002633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3D3"/>
  </w:style>
  <w:style w:type="character" w:customStyle="1" w:styleId="Heading1Char">
    <w:name w:val="Heading 1 Char"/>
    <w:basedOn w:val="DefaultParagraphFont"/>
    <w:link w:val="Heading1"/>
    <w:rsid w:val="002633D3"/>
    <w:rPr>
      <w:rFonts w:ascii="Times New Roman" w:eastAsia="Times New Roman" w:hAnsi="Times New Roman" w:cs="Times New Roman"/>
      <w:b/>
      <w:sz w:val="32"/>
      <w:szCs w:val="20"/>
      <w:lang w:eastAsia="en-US"/>
    </w:rPr>
  </w:style>
  <w:style w:type="paragraph" w:styleId="BodyText">
    <w:name w:val="Body Text"/>
    <w:basedOn w:val="Normal"/>
    <w:link w:val="BodyTextChar"/>
    <w:rsid w:val="002633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33D3"/>
    <w:rPr>
      <w:rFonts w:ascii="Times New Roman" w:eastAsia="Times New Roman" w:hAnsi="Times New Roman" w:cs="Times New Roman"/>
      <w:sz w:val="24"/>
      <w:lang w:eastAsia="en-US"/>
    </w:rPr>
  </w:style>
  <w:style w:type="paragraph" w:styleId="Footer">
    <w:name w:val="footer"/>
    <w:basedOn w:val="Normal"/>
    <w:link w:val="FooterChar"/>
    <w:rsid w:val="002633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33D3"/>
    <w:rPr>
      <w:rFonts w:ascii="Times New Roman" w:eastAsia="Times New Roman" w:hAnsi="Times New Roman" w:cs="Times New Roman"/>
      <w:sz w:val="16"/>
      <w:lang w:eastAsia="en-US"/>
    </w:rPr>
  </w:style>
  <w:style w:type="paragraph" w:styleId="ListBullet">
    <w:name w:val="List Bullet"/>
    <w:basedOn w:val="List"/>
    <w:rsid w:val="002633D3"/>
    <w:pPr>
      <w:numPr>
        <w:numId w:val="13"/>
      </w:numPr>
      <w:tabs>
        <w:tab w:val="clear" w:pos="340"/>
      </w:tabs>
      <w:spacing w:before="40" w:after="40"/>
    </w:pPr>
  </w:style>
  <w:style w:type="character" w:customStyle="1" w:styleId="SpecialBold">
    <w:name w:val="Special Bold"/>
    <w:basedOn w:val="DefaultParagraphFont"/>
    <w:rsid w:val="002633D3"/>
    <w:rPr>
      <w:b/>
      <w:spacing w:val="0"/>
    </w:rPr>
  </w:style>
  <w:style w:type="paragraph" w:styleId="ListBullet2">
    <w:name w:val="List Bullet 2"/>
    <w:basedOn w:val="List2"/>
    <w:rsid w:val="002633D3"/>
    <w:pPr>
      <w:numPr>
        <w:numId w:val="14"/>
      </w:numPr>
      <w:tabs>
        <w:tab w:val="clear" w:pos="680"/>
      </w:tabs>
    </w:pPr>
  </w:style>
  <w:style w:type="paragraph" w:customStyle="1" w:styleId="SuperHeading">
    <w:name w:val="SuperHeading"/>
    <w:basedOn w:val="Normal"/>
    <w:rsid w:val="002633D3"/>
    <w:pPr>
      <w:spacing w:before="240" w:after="120"/>
      <w:outlineLvl w:val="0"/>
    </w:pPr>
    <w:rPr>
      <w:rFonts w:ascii="Times New Roman" w:hAnsi="Times New Roman"/>
      <w:b/>
      <w:sz w:val="28"/>
    </w:rPr>
  </w:style>
  <w:style w:type="paragraph" w:customStyle="1" w:styleId="AllowPageBreak">
    <w:name w:val="AllowPageBreak"/>
    <w:rsid w:val="002633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33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33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33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33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33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3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33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33D3"/>
    <w:rPr>
      <w:rFonts w:ascii="Courier New" w:eastAsia="Times New Roman" w:hAnsi="Courier New" w:cs="Times New Roman"/>
      <w:i/>
      <w:szCs w:val="20"/>
      <w:lang w:eastAsia="en-US"/>
    </w:rPr>
  </w:style>
  <w:style w:type="paragraph" w:customStyle="1" w:styleId="HeadingBase">
    <w:name w:val="Heading Base"/>
    <w:rsid w:val="002633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3D3"/>
    <w:pPr>
      <w:tabs>
        <w:tab w:val="right" w:leader="dot" w:pos="9072"/>
      </w:tabs>
      <w:ind w:left="567"/>
    </w:pPr>
    <w:rPr>
      <w:szCs w:val="22"/>
    </w:rPr>
  </w:style>
  <w:style w:type="paragraph" w:customStyle="1" w:styleId="TOCBase">
    <w:name w:val="TOC Base"/>
    <w:rsid w:val="002633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3D3"/>
    <w:pPr>
      <w:tabs>
        <w:tab w:val="right" w:leader="dot" w:pos="9072"/>
      </w:tabs>
      <w:spacing w:before="40" w:after="40"/>
      <w:ind w:left="284"/>
    </w:pPr>
    <w:rPr>
      <w:rFonts w:ascii="Times New Roman" w:hAnsi="Times New Roman"/>
    </w:rPr>
  </w:style>
  <w:style w:type="paragraph" w:styleId="TOC1">
    <w:name w:val="toc 1"/>
    <w:basedOn w:val="TOCBase"/>
    <w:next w:val="Normal"/>
    <w:rsid w:val="002633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33D3"/>
    <w:pPr>
      <w:spacing w:before="5040"/>
      <w:jc w:val="center"/>
    </w:pPr>
    <w:rPr>
      <w:sz w:val="48"/>
      <w:szCs w:val="72"/>
      <w:lang w:val="en-US"/>
    </w:rPr>
  </w:style>
  <w:style w:type="character" w:customStyle="1" w:styleId="TitleChar">
    <w:name w:val="Title Char"/>
    <w:basedOn w:val="DefaultParagraphFont"/>
    <w:link w:val="Title"/>
    <w:rsid w:val="002633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3D3"/>
    <w:pPr>
      <w:tabs>
        <w:tab w:val="left" w:pos="3600"/>
        <w:tab w:val="left" w:pos="3958"/>
      </w:tabs>
    </w:pPr>
  </w:style>
  <w:style w:type="paragraph" w:styleId="List">
    <w:name w:val="List"/>
    <w:basedOn w:val="BodyText"/>
    <w:next w:val="BodyText"/>
    <w:rsid w:val="002633D3"/>
    <w:pPr>
      <w:tabs>
        <w:tab w:val="left" w:pos="340"/>
      </w:tabs>
      <w:spacing w:before="60" w:after="60"/>
      <w:ind w:left="340" w:hanging="340"/>
    </w:pPr>
  </w:style>
  <w:style w:type="paragraph" w:customStyle="1" w:styleId="Note">
    <w:name w:val="Note"/>
    <w:basedOn w:val="BodyText"/>
    <w:rsid w:val="002633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33D3"/>
    <w:pPr>
      <w:framePr w:wrap="auto" w:hAnchor="text" w:y="6049"/>
    </w:pPr>
    <w:rPr>
      <w:color w:val="000000"/>
      <w:sz w:val="40"/>
    </w:rPr>
  </w:style>
  <w:style w:type="paragraph" w:customStyle="1" w:styleId="TOCTitle">
    <w:name w:val="TOCTitle"/>
    <w:basedOn w:val="Heading1"/>
    <w:rsid w:val="002633D3"/>
    <w:pPr>
      <w:spacing w:after="240"/>
      <w:jc w:val="center"/>
      <w:outlineLvl w:val="9"/>
    </w:pPr>
    <w:rPr>
      <w:caps/>
    </w:rPr>
  </w:style>
  <w:style w:type="paragraph" w:customStyle="1" w:styleId="Version">
    <w:name w:val="Version"/>
    <w:rsid w:val="002633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33D3"/>
    <w:pPr>
      <w:keepNext w:val="0"/>
      <w:tabs>
        <w:tab w:val="right" w:pos="4176"/>
      </w:tabs>
      <w:ind w:left="198" w:hanging="198"/>
    </w:pPr>
    <w:rPr>
      <w:rFonts w:ascii="Garamond" w:hAnsi="Garamond"/>
    </w:rPr>
  </w:style>
  <w:style w:type="paragraph" w:styleId="IndexHeading">
    <w:name w:val="index heading"/>
    <w:basedOn w:val="Normal"/>
    <w:next w:val="Index1"/>
    <w:semiHidden/>
    <w:rsid w:val="002633D3"/>
    <w:pPr>
      <w:spacing w:before="120" w:after="120"/>
    </w:pPr>
    <w:rPr>
      <w:rFonts w:ascii="Arial" w:hAnsi="Arial"/>
      <w:b/>
      <w:color w:val="918585"/>
      <w:sz w:val="24"/>
    </w:rPr>
  </w:style>
  <w:style w:type="paragraph" w:styleId="Header">
    <w:name w:val="header"/>
    <w:basedOn w:val="Normal"/>
    <w:link w:val="HeaderChar"/>
    <w:rsid w:val="002633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33D3"/>
    <w:rPr>
      <w:rFonts w:ascii="Times New Roman" w:eastAsia="Times New Roman" w:hAnsi="Times New Roman" w:cs="Times New Roman"/>
      <w:sz w:val="16"/>
      <w:szCs w:val="20"/>
      <w:lang w:val="en-GB" w:eastAsia="en-US"/>
    </w:rPr>
  </w:style>
  <w:style w:type="paragraph" w:customStyle="1" w:styleId="Chapter">
    <w:name w:val="Chapter"/>
    <w:basedOn w:val="Normal"/>
    <w:rsid w:val="002633D3"/>
    <w:pPr>
      <w:spacing w:before="240"/>
    </w:pPr>
    <w:rPr>
      <w:rFonts w:ascii="Times New Roman" w:hAnsi="Times New Roman"/>
      <w:smallCaps/>
      <w:spacing w:val="80"/>
      <w:sz w:val="28"/>
    </w:rPr>
  </w:style>
  <w:style w:type="paragraph" w:customStyle="1" w:styleId="InChapter">
    <w:name w:val="InChapter"/>
    <w:basedOn w:val="Heading3"/>
    <w:rsid w:val="002633D3"/>
    <w:pPr>
      <w:spacing w:after="240"/>
      <w:outlineLvl w:val="9"/>
    </w:pPr>
    <w:rPr>
      <w:noProof/>
    </w:rPr>
  </w:style>
  <w:style w:type="paragraph" w:styleId="Index2">
    <w:name w:val="index 2"/>
    <w:basedOn w:val="Normal"/>
    <w:next w:val="Normal"/>
    <w:semiHidden/>
    <w:rsid w:val="002633D3"/>
    <w:pPr>
      <w:tabs>
        <w:tab w:val="right" w:pos="4176"/>
      </w:tabs>
      <w:ind w:left="568" w:hanging="284"/>
    </w:pPr>
    <w:rPr>
      <w:rFonts w:ascii="Garamond" w:hAnsi="Garamond"/>
    </w:rPr>
  </w:style>
  <w:style w:type="paragraph" w:customStyle="1" w:styleId="Byline">
    <w:name w:val="Byline"/>
    <w:rsid w:val="002633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3D3"/>
    <w:pPr>
      <w:tabs>
        <w:tab w:val="clear" w:pos="3600"/>
        <w:tab w:val="clear" w:pos="3958"/>
      </w:tabs>
      <w:jc w:val="right"/>
    </w:pPr>
  </w:style>
  <w:style w:type="character" w:styleId="Emphasis">
    <w:name w:val="Emphasis"/>
    <w:basedOn w:val="DefaultParagraphFont"/>
    <w:qFormat/>
    <w:rsid w:val="002633D3"/>
    <w:rPr>
      <w:i/>
    </w:rPr>
  </w:style>
  <w:style w:type="paragraph" w:styleId="Caption">
    <w:name w:val="caption"/>
    <w:basedOn w:val="BodyText"/>
    <w:next w:val="Normal"/>
    <w:qFormat/>
    <w:rsid w:val="002633D3"/>
    <w:pPr>
      <w:framePr w:w="2268" w:hSpace="181" w:vSpace="181" w:wrap="around" w:vAnchor="text" w:hAnchor="page" w:x="1135" w:y="285" w:anchorLock="1"/>
    </w:pPr>
    <w:rPr>
      <w:i/>
    </w:rPr>
  </w:style>
  <w:style w:type="paragraph" w:customStyle="1" w:styleId="MiniTOCTitle">
    <w:name w:val="MiniTOCTitle"/>
    <w:basedOn w:val="Heading4"/>
    <w:rsid w:val="002633D3"/>
    <w:pPr>
      <w:spacing w:before="240"/>
      <w:outlineLvl w:val="9"/>
    </w:pPr>
    <w:rPr>
      <w:noProof/>
      <w:sz w:val="24"/>
    </w:rPr>
  </w:style>
  <w:style w:type="paragraph" w:customStyle="1" w:styleId="MiniTOCItem">
    <w:name w:val="MiniTOCItem"/>
    <w:basedOn w:val="ListBullet"/>
    <w:rsid w:val="002633D3"/>
    <w:pPr>
      <w:numPr>
        <w:numId w:val="0"/>
      </w:numPr>
      <w:tabs>
        <w:tab w:val="right" w:leader="dot" w:pos="6521"/>
      </w:tabs>
      <w:spacing w:before="0" w:after="0"/>
    </w:pPr>
  </w:style>
  <w:style w:type="paragraph" w:customStyle="1" w:styleId="TOFTitle">
    <w:name w:val="TOFTitle"/>
    <w:basedOn w:val="TOCTitle"/>
    <w:rsid w:val="002633D3"/>
  </w:style>
  <w:style w:type="paragraph" w:styleId="TableofFigures">
    <w:name w:val="table of figures"/>
    <w:basedOn w:val="Normal"/>
    <w:next w:val="Normal"/>
    <w:semiHidden/>
    <w:rsid w:val="002633D3"/>
    <w:pPr>
      <w:tabs>
        <w:tab w:val="right" w:leader="dot" w:pos="9072"/>
      </w:tabs>
      <w:ind w:left="970" w:hanging="403"/>
    </w:pPr>
    <w:rPr>
      <w:rFonts w:ascii="Times New Roman" w:hAnsi="Times New Roman"/>
      <w:b/>
    </w:rPr>
  </w:style>
  <w:style w:type="paragraph" w:styleId="ListNumber">
    <w:name w:val="List Number"/>
    <w:basedOn w:val="List"/>
    <w:rsid w:val="002633D3"/>
    <w:pPr>
      <w:numPr>
        <w:numId w:val="11"/>
      </w:numPr>
    </w:pPr>
  </w:style>
  <w:style w:type="character" w:customStyle="1" w:styleId="WingdingSymbols">
    <w:name w:val="Wingding Symbols"/>
    <w:rsid w:val="002633D3"/>
    <w:rPr>
      <w:rFonts w:ascii="Wingdings" w:hAnsi="Wingdings"/>
    </w:rPr>
  </w:style>
  <w:style w:type="paragraph" w:customStyle="1" w:styleId="TableHeading">
    <w:name w:val="Table Heading"/>
    <w:basedOn w:val="HeadingBase"/>
    <w:rsid w:val="002633D3"/>
    <w:pPr>
      <w:keepLines/>
      <w:pBdr>
        <w:bottom w:val="single" w:sz="6" w:space="1" w:color="918585"/>
      </w:pBdr>
      <w:spacing w:before="240"/>
    </w:pPr>
  </w:style>
  <w:style w:type="character" w:customStyle="1" w:styleId="HotSpot">
    <w:name w:val="HotSpot"/>
    <w:rsid w:val="002633D3"/>
    <w:rPr>
      <w:color w:val="0033CC"/>
      <w:u w:val="none"/>
    </w:rPr>
  </w:style>
  <w:style w:type="paragraph" w:customStyle="1" w:styleId="BodyTextRight">
    <w:name w:val="Body Text Right"/>
    <w:basedOn w:val="BodyText"/>
    <w:rsid w:val="002633D3"/>
    <w:pPr>
      <w:spacing w:before="0" w:after="0"/>
      <w:jc w:val="right"/>
    </w:pPr>
  </w:style>
  <w:style w:type="paragraph" w:styleId="Index3">
    <w:name w:val="index 3"/>
    <w:basedOn w:val="ListNumber2"/>
    <w:next w:val="Normal"/>
    <w:semiHidden/>
    <w:rsid w:val="002633D3"/>
    <w:pPr>
      <w:numPr>
        <w:numId w:val="0"/>
      </w:numPr>
      <w:tabs>
        <w:tab w:val="right" w:leader="dot" w:pos="4176"/>
      </w:tabs>
    </w:pPr>
  </w:style>
  <w:style w:type="paragraph" w:styleId="ListNumber2">
    <w:name w:val="List Number 2"/>
    <w:basedOn w:val="List2"/>
    <w:rsid w:val="002633D3"/>
    <w:pPr>
      <w:numPr>
        <w:numId w:val="10"/>
      </w:numPr>
      <w:tabs>
        <w:tab w:val="clear" w:pos="1060"/>
      </w:tabs>
    </w:pPr>
  </w:style>
  <w:style w:type="paragraph" w:customStyle="1" w:styleId="MarginNote">
    <w:name w:val="Margin Note"/>
    <w:basedOn w:val="BodyText"/>
    <w:rsid w:val="002633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3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33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33D3"/>
    <w:rPr>
      <w:sz w:val="32"/>
    </w:rPr>
  </w:style>
  <w:style w:type="paragraph" w:customStyle="1" w:styleId="HeadingProcedure">
    <w:name w:val="Heading Procedure"/>
    <w:basedOn w:val="HeadingBase"/>
    <w:next w:val="Normal"/>
    <w:rsid w:val="002633D3"/>
    <w:pPr>
      <w:tabs>
        <w:tab w:val="left" w:pos="0"/>
      </w:tabs>
      <w:spacing w:before="120" w:after="60"/>
    </w:pPr>
    <w:rPr>
      <w:i/>
      <w:color w:val="918585"/>
      <w:sz w:val="22"/>
    </w:rPr>
  </w:style>
  <w:style w:type="paragraph" w:customStyle="1" w:styleId="TableBodyText">
    <w:name w:val="Table Body Text"/>
    <w:basedOn w:val="BodyText"/>
    <w:rsid w:val="002633D3"/>
    <w:pPr>
      <w:spacing w:before="60" w:after="60"/>
    </w:pPr>
  </w:style>
  <w:style w:type="paragraph" w:styleId="ListContinue">
    <w:name w:val="List Continue"/>
    <w:basedOn w:val="List"/>
    <w:rsid w:val="002633D3"/>
    <w:pPr>
      <w:ind w:firstLine="0"/>
    </w:pPr>
  </w:style>
  <w:style w:type="paragraph" w:customStyle="1" w:styleId="ListNote">
    <w:name w:val="List Note"/>
    <w:basedOn w:val="List"/>
    <w:rsid w:val="002633D3"/>
    <w:pPr>
      <w:pBdr>
        <w:top w:val="single" w:sz="6" w:space="2" w:color="918585"/>
        <w:bottom w:val="single" w:sz="6" w:space="2" w:color="918585"/>
      </w:pBdr>
      <w:tabs>
        <w:tab w:val="left" w:pos="1021"/>
      </w:tabs>
      <w:ind w:firstLine="0"/>
    </w:pPr>
  </w:style>
  <w:style w:type="paragraph" w:customStyle="1" w:styleId="Warning">
    <w:name w:val="Warning"/>
    <w:basedOn w:val="BodyText"/>
    <w:rsid w:val="002633D3"/>
    <w:pPr>
      <w:shd w:val="clear" w:color="auto" w:fill="D9D9D9"/>
      <w:tabs>
        <w:tab w:val="left" w:pos="992"/>
      </w:tabs>
      <w:ind w:left="119" w:right="119"/>
    </w:pPr>
    <w:rPr>
      <w:sz w:val="20"/>
    </w:rPr>
  </w:style>
  <w:style w:type="paragraph" w:customStyle="1" w:styleId="MarginIcons">
    <w:name w:val="Margin Icons"/>
    <w:basedOn w:val="BodyText"/>
    <w:rsid w:val="002633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33D3"/>
    <w:rPr>
      <w:rFonts w:ascii="Courier New" w:hAnsi="Courier New"/>
    </w:rPr>
  </w:style>
  <w:style w:type="paragraph" w:customStyle="1" w:styleId="NoteBullet">
    <w:name w:val="Note Bullet"/>
    <w:basedOn w:val="Note"/>
    <w:rsid w:val="002633D3"/>
    <w:pPr>
      <w:tabs>
        <w:tab w:val="clear" w:pos="680"/>
      </w:tabs>
      <w:spacing w:before="60" w:after="60"/>
    </w:pPr>
  </w:style>
  <w:style w:type="paragraph" w:customStyle="1" w:styleId="SubHeading2">
    <w:name w:val="SubHeading2"/>
    <w:basedOn w:val="HeadingBase"/>
    <w:rsid w:val="002633D3"/>
    <w:pPr>
      <w:spacing w:before="240" w:after="60"/>
    </w:pPr>
    <w:rPr>
      <w:sz w:val="20"/>
    </w:rPr>
  </w:style>
  <w:style w:type="paragraph" w:customStyle="1" w:styleId="SubHeading1">
    <w:name w:val="SubHeading1"/>
    <w:basedOn w:val="HeadingBase"/>
    <w:rsid w:val="002633D3"/>
    <w:pPr>
      <w:spacing w:before="240" w:after="60"/>
    </w:pPr>
    <w:rPr>
      <w:color w:val="918585"/>
      <w:sz w:val="22"/>
    </w:rPr>
  </w:style>
  <w:style w:type="paragraph" w:customStyle="1" w:styleId="SideHeading">
    <w:name w:val="Side Heading"/>
    <w:basedOn w:val="HeadingBase"/>
    <w:rsid w:val="002633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3D3"/>
    <w:pPr>
      <w:numPr>
        <w:numId w:val="12"/>
      </w:numPr>
    </w:pPr>
  </w:style>
  <w:style w:type="paragraph" w:styleId="PlainText">
    <w:name w:val="Plain Text"/>
    <w:basedOn w:val="Normal"/>
    <w:link w:val="PlainTextChar"/>
    <w:rsid w:val="002633D3"/>
    <w:rPr>
      <w:sz w:val="20"/>
    </w:rPr>
  </w:style>
  <w:style w:type="character" w:customStyle="1" w:styleId="PlainTextChar">
    <w:name w:val="Plain Text Char"/>
    <w:basedOn w:val="DefaultParagraphFont"/>
    <w:link w:val="PlainText"/>
    <w:rsid w:val="002633D3"/>
    <w:rPr>
      <w:rFonts w:ascii="Courier New" w:eastAsia="Times New Roman" w:hAnsi="Courier New" w:cs="Times New Roman"/>
      <w:sz w:val="20"/>
      <w:szCs w:val="20"/>
      <w:lang w:eastAsia="en-US"/>
    </w:rPr>
  </w:style>
  <w:style w:type="character" w:customStyle="1" w:styleId="MenuOption">
    <w:name w:val="Menu Option"/>
    <w:basedOn w:val="DefaultParagraphFont"/>
    <w:rsid w:val="002633D3"/>
    <w:rPr>
      <w:b/>
      <w:smallCaps/>
    </w:rPr>
  </w:style>
  <w:style w:type="paragraph" w:customStyle="1" w:styleId="TableListNumber">
    <w:name w:val="Table List Number"/>
    <w:basedOn w:val="ListNumber"/>
    <w:rsid w:val="002633D3"/>
    <w:pPr>
      <w:numPr>
        <w:numId w:val="0"/>
      </w:numPr>
    </w:pPr>
  </w:style>
  <w:style w:type="paragraph" w:styleId="TOC4">
    <w:name w:val="toc 4"/>
    <w:basedOn w:val="TOCBase"/>
    <w:next w:val="Normal"/>
    <w:semiHidden/>
    <w:rsid w:val="002633D3"/>
    <w:pPr>
      <w:tabs>
        <w:tab w:val="right" w:leader="dot" w:pos="9071"/>
      </w:tabs>
      <w:ind w:left="1701"/>
    </w:pPr>
  </w:style>
  <w:style w:type="paragraph" w:customStyle="1" w:styleId="ListAlpha">
    <w:name w:val="List Alpha"/>
    <w:basedOn w:val="List"/>
    <w:rsid w:val="002633D3"/>
    <w:pPr>
      <w:numPr>
        <w:numId w:val="9"/>
      </w:numPr>
    </w:pPr>
  </w:style>
  <w:style w:type="paragraph" w:customStyle="1" w:styleId="ListAlpha2">
    <w:name w:val="List Alpha 2"/>
    <w:basedOn w:val="List2"/>
    <w:rsid w:val="002633D3"/>
    <w:pPr>
      <w:numPr>
        <w:numId w:val="8"/>
      </w:numPr>
    </w:pPr>
  </w:style>
  <w:style w:type="paragraph" w:styleId="List2">
    <w:name w:val="List 2"/>
    <w:basedOn w:val="BodyText"/>
    <w:rsid w:val="002633D3"/>
    <w:pPr>
      <w:tabs>
        <w:tab w:val="left" w:pos="680"/>
      </w:tabs>
      <w:spacing w:before="60" w:after="60"/>
      <w:ind w:left="680" w:hanging="340"/>
    </w:pPr>
  </w:style>
  <w:style w:type="paragraph" w:styleId="List3">
    <w:name w:val="List 3"/>
    <w:basedOn w:val="BodyText"/>
    <w:rsid w:val="002633D3"/>
    <w:pPr>
      <w:tabs>
        <w:tab w:val="left" w:pos="1021"/>
      </w:tabs>
      <w:spacing w:before="60" w:after="60"/>
      <w:ind w:left="1020" w:hanging="340"/>
    </w:pPr>
  </w:style>
  <w:style w:type="paragraph" w:styleId="List4">
    <w:name w:val="List 4"/>
    <w:basedOn w:val="BodyText"/>
    <w:rsid w:val="002633D3"/>
    <w:pPr>
      <w:tabs>
        <w:tab w:val="left" w:pos="1361"/>
      </w:tabs>
      <w:spacing w:before="60" w:after="60"/>
      <w:ind w:left="1361" w:hanging="340"/>
    </w:pPr>
  </w:style>
  <w:style w:type="paragraph" w:styleId="List5">
    <w:name w:val="List 5"/>
    <w:basedOn w:val="BodyText"/>
    <w:rsid w:val="002633D3"/>
    <w:pPr>
      <w:tabs>
        <w:tab w:val="left" w:pos="1701"/>
      </w:tabs>
      <w:spacing w:before="60" w:after="60"/>
      <w:ind w:left="1701" w:hanging="340"/>
    </w:pPr>
  </w:style>
  <w:style w:type="paragraph" w:styleId="ListBullet3">
    <w:name w:val="List Bullet 3"/>
    <w:basedOn w:val="List3"/>
    <w:rsid w:val="002633D3"/>
    <w:pPr>
      <w:numPr>
        <w:numId w:val="15"/>
      </w:numPr>
      <w:tabs>
        <w:tab w:val="clear" w:pos="1021"/>
      </w:tabs>
      <w:ind w:left="1037" w:hanging="357"/>
    </w:pPr>
  </w:style>
  <w:style w:type="paragraph" w:styleId="ListBullet4">
    <w:name w:val="List Bullet 4"/>
    <w:basedOn w:val="List4"/>
    <w:rsid w:val="002633D3"/>
    <w:pPr>
      <w:numPr>
        <w:numId w:val="3"/>
      </w:numPr>
    </w:pPr>
  </w:style>
  <w:style w:type="paragraph" w:styleId="ListBullet5">
    <w:name w:val="List Bullet 5"/>
    <w:basedOn w:val="List5"/>
    <w:rsid w:val="002633D3"/>
    <w:pPr>
      <w:numPr>
        <w:numId w:val="4"/>
      </w:numPr>
    </w:pPr>
  </w:style>
  <w:style w:type="paragraph" w:styleId="ListContinue2">
    <w:name w:val="List Continue 2"/>
    <w:basedOn w:val="List2"/>
    <w:rsid w:val="002633D3"/>
    <w:pPr>
      <w:ind w:firstLine="0"/>
    </w:pPr>
  </w:style>
  <w:style w:type="paragraph" w:styleId="ListContinue3">
    <w:name w:val="List Continue 3"/>
    <w:basedOn w:val="List3"/>
    <w:rsid w:val="002633D3"/>
    <w:pPr>
      <w:ind w:left="1021" w:firstLine="0"/>
    </w:pPr>
  </w:style>
  <w:style w:type="paragraph" w:styleId="ListContinue4">
    <w:name w:val="List Continue 4"/>
    <w:basedOn w:val="List4"/>
    <w:rsid w:val="002633D3"/>
    <w:pPr>
      <w:ind w:firstLine="0"/>
    </w:pPr>
  </w:style>
  <w:style w:type="paragraph" w:styleId="ListContinue5">
    <w:name w:val="List Continue 5"/>
    <w:basedOn w:val="List5"/>
    <w:rsid w:val="002633D3"/>
    <w:pPr>
      <w:ind w:firstLine="0"/>
    </w:pPr>
  </w:style>
  <w:style w:type="paragraph" w:styleId="ListNumber3">
    <w:name w:val="List Number 3"/>
    <w:basedOn w:val="List3"/>
    <w:rsid w:val="002633D3"/>
    <w:pPr>
      <w:numPr>
        <w:numId w:val="5"/>
      </w:numPr>
    </w:pPr>
  </w:style>
  <w:style w:type="paragraph" w:styleId="ListNumber4">
    <w:name w:val="List Number 4"/>
    <w:basedOn w:val="List4"/>
    <w:rsid w:val="002633D3"/>
    <w:pPr>
      <w:numPr>
        <w:numId w:val="6"/>
      </w:numPr>
    </w:pPr>
  </w:style>
  <w:style w:type="paragraph" w:styleId="ListNumber5">
    <w:name w:val="List Number 5"/>
    <w:basedOn w:val="List5"/>
    <w:rsid w:val="002633D3"/>
    <w:pPr>
      <w:numPr>
        <w:numId w:val="7"/>
      </w:numPr>
    </w:pPr>
  </w:style>
  <w:style w:type="paragraph" w:styleId="BlockText">
    <w:name w:val="Block Text"/>
    <w:basedOn w:val="Normal"/>
    <w:rsid w:val="002633D3"/>
    <w:pPr>
      <w:spacing w:after="120"/>
      <w:ind w:left="1440" w:right="1440"/>
    </w:pPr>
  </w:style>
  <w:style w:type="character" w:customStyle="1" w:styleId="Subscript">
    <w:name w:val="Subscript"/>
    <w:basedOn w:val="DefaultParagraphFont"/>
    <w:rsid w:val="002633D3"/>
    <w:rPr>
      <w:sz w:val="16"/>
      <w:vertAlign w:val="subscript"/>
    </w:rPr>
  </w:style>
  <w:style w:type="character" w:customStyle="1" w:styleId="Superscript">
    <w:name w:val="Superscript"/>
    <w:basedOn w:val="DefaultParagraphFont"/>
    <w:rsid w:val="002633D3"/>
    <w:rPr>
      <w:sz w:val="16"/>
      <w:vertAlign w:val="superscript"/>
    </w:rPr>
  </w:style>
  <w:style w:type="character" w:customStyle="1" w:styleId="Symbols">
    <w:name w:val="Symbols"/>
    <w:basedOn w:val="DefaultParagraphFont"/>
    <w:rsid w:val="002633D3"/>
    <w:rPr>
      <w:rFonts w:ascii="Symbol" w:hAnsi="Symbol"/>
    </w:rPr>
  </w:style>
  <w:style w:type="character" w:customStyle="1" w:styleId="MenuOptions">
    <w:name w:val="Menu Options"/>
    <w:basedOn w:val="DefaultParagraphFont"/>
    <w:rsid w:val="002633D3"/>
    <w:rPr>
      <w:rFonts w:ascii="Arial Narrow" w:hAnsi="Arial Narrow"/>
      <w:smallCaps/>
    </w:rPr>
  </w:style>
  <w:style w:type="character" w:customStyle="1" w:styleId="Buttons">
    <w:name w:val="Buttons"/>
    <w:basedOn w:val="DefaultParagraphFont"/>
    <w:rsid w:val="002633D3"/>
    <w:rPr>
      <w:b/>
    </w:rPr>
  </w:style>
  <w:style w:type="character" w:customStyle="1" w:styleId="Underlined">
    <w:name w:val="Underlined"/>
    <w:basedOn w:val="DefaultParagraphFont"/>
    <w:rsid w:val="002633D3"/>
    <w:rPr>
      <w:u w:val="single"/>
    </w:rPr>
  </w:style>
  <w:style w:type="paragraph" w:customStyle="1" w:styleId="TableBodyTextRight">
    <w:name w:val="Table Body Text Right"/>
    <w:basedOn w:val="TableBodyText"/>
    <w:rsid w:val="002633D3"/>
    <w:pPr>
      <w:widowControl w:val="0"/>
      <w:autoSpaceDE w:val="0"/>
      <w:autoSpaceDN w:val="0"/>
      <w:adjustRightInd w:val="0"/>
      <w:jc w:val="right"/>
    </w:pPr>
    <w:rPr>
      <w:rFonts w:cs="Arial"/>
      <w:szCs w:val="18"/>
    </w:rPr>
  </w:style>
  <w:style w:type="paragraph" w:customStyle="1" w:styleId="CopyrightText">
    <w:name w:val="Copyright Text"/>
    <w:basedOn w:val="BodyText"/>
    <w:rsid w:val="002633D3"/>
    <w:rPr>
      <w:sz w:val="18"/>
    </w:rPr>
  </w:style>
  <w:style w:type="paragraph" w:customStyle="1" w:styleId="BodySmallRight">
    <w:name w:val="Body Small Right"/>
    <w:basedOn w:val="BodyTextRight"/>
    <w:rsid w:val="002633D3"/>
    <w:rPr>
      <w:sz w:val="18"/>
      <w:szCs w:val="18"/>
    </w:rPr>
  </w:style>
  <w:style w:type="paragraph" w:customStyle="1" w:styleId="MarginEdition">
    <w:name w:val="Margin Edition"/>
    <w:basedOn w:val="MarginNote"/>
    <w:rsid w:val="002633D3"/>
    <w:pPr>
      <w:spacing w:before="0" w:after="0"/>
    </w:pPr>
    <w:rPr>
      <w:rFonts w:ascii="Times New Roman" w:hAnsi="Times New Roman"/>
      <w:color w:val="999999"/>
    </w:rPr>
  </w:style>
  <w:style w:type="paragraph" w:customStyle="1" w:styleId="Spacer">
    <w:name w:val="Spacer"/>
    <w:basedOn w:val="Normal"/>
    <w:rsid w:val="002633D3"/>
    <w:rPr>
      <w:sz w:val="2"/>
      <w:szCs w:val="2"/>
    </w:rPr>
  </w:style>
  <w:style w:type="character" w:customStyle="1" w:styleId="Small">
    <w:name w:val="Small"/>
    <w:basedOn w:val="DefaultParagraphFont"/>
    <w:rsid w:val="002633D3"/>
    <w:rPr>
      <w:sz w:val="16"/>
    </w:rPr>
  </w:style>
  <w:style w:type="paragraph" w:customStyle="1" w:styleId="WideTable">
    <w:name w:val="Wide Table"/>
    <w:basedOn w:val="Normal"/>
    <w:rsid w:val="002633D3"/>
    <w:pPr>
      <w:ind w:left="-1418"/>
    </w:pPr>
    <w:rPr>
      <w:sz w:val="2"/>
      <w:szCs w:val="2"/>
    </w:rPr>
  </w:style>
  <w:style w:type="character" w:styleId="PageNumber">
    <w:name w:val="page number"/>
    <w:basedOn w:val="DefaultParagraphFont"/>
    <w:rsid w:val="002633D3"/>
  </w:style>
  <w:style w:type="paragraph" w:styleId="Quote">
    <w:name w:val="Quote"/>
    <w:basedOn w:val="Heading1"/>
    <w:link w:val="QuoteChar"/>
    <w:qFormat/>
    <w:rsid w:val="002633D3"/>
    <w:rPr>
      <w:b w:val="0"/>
      <w:sz w:val="72"/>
      <w:szCs w:val="72"/>
      <w:lang w:val="en-NZ"/>
    </w:rPr>
  </w:style>
  <w:style w:type="character" w:customStyle="1" w:styleId="QuoteChar">
    <w:name w:val="Quote Char"/>
    <w:basedOn w:val="DefaultParagraphFont"/>
    <w:link w:val="Quote"/>
    <w:rsid w:val="002633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3D3"/>
    <w:pPr>
      <w:pageBreakBefore/>
    </w:pPr>
  </w:style>
  <w:style w:type="paragraph" w:customStyle="1" w:styleId="Border">
    <w:name w:val="Border"/>
    <w:basedOn w:val="Normal"/>
    <w:qFormat/>
    <w:rsid w:val="002633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33D3"/>
    <w:rPr>
      <w:b/>
      <w:bCs/>
      <w:i/>
      <w:iCs/>
      <w:color w:val="auto"/>
    </w:rPr>
  </w:style>
  <w:style w:type="paragraph" w:styleId="IntenseQuote">
    <w:name w:val="Intense Quote"/>
    <w:basedOn w:val="Normal"/>
    <w:next w:val="Normal"/>
    <w:link w:val="IntenseQuoteChar"/>
    <w:uiPriority w:val="30"/>
    <w:qFormat/>
    <w:rsid w:val="002633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33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33D3"/>
    <w:rPr>
      <w:smallCaps/>
      <w:color w:val="auto"/>
      <w:u w:val="single"/>
    </w:rPr>
  </w:style>
  <w:style w:type="character" w:styleId="IntenseReference">
    <w:name w:val="Intense Reference"/>
    <w:basedOn w:val="DefaultParagraphFont"/>
    <w:uiPriority w:val="32"/>
    <w:qFormat/>
    <w:rsid w:val="002633D3"/>
    <w:rPr>
      <w:b/>
      <w:bCs/>
      <w:smallCaps/>
      <w:color w:val="auto"/>
      <w:spacing w:val="5"/>
      <w:u w:val="single"/>
    </w:rPr>
  </w:style>
  <w:style w:type="paragraph" w:customStyle="1" w:styleId="2ColumnHeading">
    <w:name w:val="2Column Heading"/>
    <w:basedOn w:val="BodyText"/>
    <w:qFormat/>
    <w:rsid w:val="002633D3"/>
    <w:pPr>
      <w:spacing w:after="60"/>
      <w:ind w:left="-2268"/>
    </w:pPr>
    <w:rPr>
      <w:b/>
    </w:rPr>
  </w:style>
  <w:style w:type="paragraph" w:customStyle="1" w:styleId="Heading1TOC">
    <w:name w:val="Heading1 TOC"/>
    <w:basedOn w:val="Normal"/>
    <w:qFormat/>
    <w:rsid w:val="002633D3"/>
    <w:pPr>
      <w:spacing w:before="240" w:after="120"/>
    </w:pPr>
    <w:rPr>
      <w:rFonts w:ascii="Times New Roman" w:hAnsi="Times New Roman"/>
      <w:b/>
      <w:sz w:val="32"/>
    </w:rPr>
  </w:style>
  <w:style w:type="paragraph" w:customStyle="1" w:styleId="Heading2TOC">
    <w:name w:val="Heading2 TOC"/>
    <w:basedOn w:val="Normal"/>
    <w:qFormat/>
    <w:rsid w:val="002633D3"/>
    <w:pPr>
      <w:spacing w:before="240" w:after="60"/>
    </w:pPr>
    <w:rPr>
      <w:rFonts w:ascii="Times New Roman" w:hAnsi="Times New Roman"/>
      <w:b/>
      <w:sz w:val="28"/>
    </w:rPr>
  </w:style>
  <w:style w:type="character" w:customStyle="1" w:styleId="Underline">
    <w:name w:val="Underline"/>
    <w:basedOn w:val="DefaultParagraphFont"/>
    <w:qFormat/>
    <w:rsid w:val="002633D3"/>
    <w:rPr>
      <w:u w:val="single"/>
    </w:rPr>
  </w:style>
  <w:style w:type="character" w:customStyle="1" w:styleId="BoldandItalics">
    <w:name w:val="Bold and Italics"/>
    <w:qFormat/>
    <w:rsid w:val="002633D3"/>
    <w:rPr>
      <w:b/>
      <w:i/>
      <w:u w:val="none"/>
    </w:rPr>
  </w:style>
  <w:style w:type="paragraph" w:styleId="BalloonText">
    <w:name w:val="Balloon Text"/>
    <w:basedOn w:val="Normal"/>
    <w:link w:val="BalloonTextChar"/>
    <w:rsid w:val="002633D3"/>
    <w:rPr>
      <w:rFonts w:ascii="Tahoma" w:hAnsi="Tahoma" w:cs="Tahoma"/>
      <w:sz w:val="16"/>
      <w:szCs w:val="16"/>
    </w:rPr>
  </w:style>
  <w:style w:type="character" w:customStyle="1" w:styleId="BalloonTextChar">
    <w:name w:val="Balloon Text Char"/>
    <w:basedOn w:val="DefaultParagraphFont"/>
    <w:link w:val="BalloonText"/>
    <w:rsid w:val="002633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33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33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33D3"/>
    <w:rPr>
      <w:b/>
      <w:color w:val="660033"/>
      <w:spacing w:val="0"/>
    </w:rPr>
  </w:style>
  <w:style w:type="paragraph" w:customStyle="1" w:styleId="Nameditemlist">
    <w:name w:val="Named item list"/>
    <w:basedOn w:val="BodyText"/>
    <w:qFormat/>
    <w:rsid w:val="002633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2474</Words>
  <Characters>15440</Characters>
  <Application>Microsoft Office Word</Application>
  <DocSecurity>0</DocSecurity>
  <Lines>629</Lines>
  <Paragraphs>247</Paragraphs>
  <ScaleCrop>false</ScaleCrop>
  <Company>Author-it Software Corporation Ltd.</Company>
  <LinksUpToDate>false</LinksUpToDate>
  <CharactersWithSpaces>17720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UETTDRTP15B Install and maintain transmission network infrastructure electrical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2012-10-01T04:41:00Z</dcterms:created>
  <dcterms:modified xsi:type="dcterms:W3CDTF">2012-10-01T04:41:00Z</dcterms:modified>
</cp:coreProperties>
</file>