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728" w:rsidP="00572728">
      <w:pPr>
        <w:pStyle w:val="Title"/>
      </w:pPr>
      <w:bookmarkStart w:id="0" w:name="_GoBack"/>
      <w:bookmarkEnd w:id="0"/>
      <w:r>
        <w:fldChar w:fldCharType="begin"/>
      </w:r>
      <w:r>
        <w:instrText xml:space="preserve"> TITLE   \* MERGEFORMAT </w:instrText>
      </w:r>
      <w:r>
        <w:fldChar w:fldCharType="separate"/>
      </w:r>
      <w:r>
        <w:t>UETTDRTP10B Inspect overhead structures and electrical apparatus (towers)</w:t>
      </w:r>
      <w:r>
        <w:fldChar w:fldCharType="end"/>
      </w:r>
    </w:p>
    <w:p w:rsidR="00572728" w:rsidP="00572728">
      <w:pPr>
        <w:pStyle w:val="Version"/>
        <w:sectPr w:rsidSect="008D53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3DF" w:rsidP="008D53DF">
      <w:pPr>
        <w:pStyle w:val="SuperHeading"/>
      </w:pPr>
      <w:r w:rsidRPr="008D53DF">
        <w:t>UETTDRTP10B Inspect overhead structures and electrical apparatus (towers)</w:t>
      </w:r>
    </w:p>
    <w:p w:rsidR="00000000" w:rsidRPr="008D53DF" w:rsidP="008D53DF">
      <w:pPr>
        <w:pStyle w:val="Heading1"/>
      </w:pPr>
      <w:bookmarkStart w:id="1" w:name="O_275565"/>
      <w:bookmarkEnd w:id="1"/>
      <w:r w:rsidRPr="008D53DF">
        <w:t>Modification History</w:t>
      </w:r>
    </w:p>
    <w:p w:rsidR="00000000" w:rsidRPr="008D53DF" w:rsidP="008D53DF">
      <w:pPr>
        <w:pStyle w:val="BodyText"/>
      </w:pPr>
      <w:r w:rsidRPr="008D53DF">
        <w:t>Not Applicable</w:t>
      </w:r>
    </w:p>
    <w:p w:rsidR="00000000" w:rsidRPr="008D53DF" w:rsidP="008D53DF">
      <w:pPr>
        <w:pStyle w:val="AllowPageBreak"/>
      </w:pPr>
    </w:p>
    <w:p w:rsidR="00000000" w:rsidRPr="008D53DF" w:rsidP="008D53DF">
      <w:pPr>
        <w:pStyle w:val="Heading1"/>
      </w:pPr>
      <w:bookmarkStart w:id="2" w:name="O_232103"/>
      <w:bookmarkEnd w:id="2"/>
      <w:r w:rsidRPr="008D53DF">
        <w:t>Unit Descriptor</w:t>
      </w:r>
    </w:p>
    <w:tbl>
      <w:tblPr>
        <w:tblW w:w="0" w:type="auto"/>
        <w:tblLayout w:type="fixed"/>
        <w:tblCellMar>
          <w:left w:w="62" w:type="dxa"/>
          <w:right w:w="62" w:type="dxa"/>
        </w:tblCellMar>
        <w:tblLook w:val="0000"/>
      </w:tblPr>
      <w:tblGrid>
        <w:gridCol w:w="2758"/>
        <w:gridCol w:w="5882"/>
      </w:tblGrid>
      <w:tr w:rsidTr="0057272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1</w:t>
            </w:r>
            <w:r w:rsidRPr="008D53DF">
              <w:t xml:space="preserve">) </w:t>
            </w:r>
          </w:p>
          <w:p w:rsidR="00000000" w:rsidP="008D53DF">
            <w:pPr>
              <w:pStyle w:val="BodyText"/>
              <w:rPr>
                <w:lang w:val="en-NZ"/>
              </w:rPr>
            </w:pPr>
            <w:r w:rsidRPr="008D53DF">
              <w:rPr>
                <w:rStyle w:val="SpecialBold"/>
              </w:rPr>
              <w:t>1</w:t>
            </w:r>
            <w:r w:rsidRPr="008D53DF">
              <w:t>.</w:t>
            </w:r>
            <w:r w:rsidRPr="008D53DF">
              <w:rPr>
                <w:rStyle w:val="SpecialBold"/>
              </w:rPr>
              <w:t>1</w:t>
            </w:r>
            <w:r w:rsidRPr="008D53DF">
              <w:t xml:space="preserve">) </w:t>
            </w:r>
            <w:r w:rsidRPr="008D53DF">
              <w:rPr>
                <w:rStyle w:val="SpecialBold"/>
              </w:rPr>
              <w:t>Descriptor</w:t>
            </w:r>
          </w:p>
        </w:tc>
      </w:tr>
      <w:tr w:rsidTr="0057272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t>This Competency Standard Unit covers the inspection as per requirements of overhead structures such as towers and electrical apparatus. Overhead structures include towers and overhead conductors and or cables include, underground and overhead transition po</w:t>
            </w:r>
            <w:r w:rsidRPr="008D53DF">
              <w:t>ints, electrical equipment, hardware and or earthing systems. It also includes the completion of inspection reports and other relevant documentation in accordance with requirements.</w:t>
            </w:r>
          </w:p>
        </w:tc>
      </w:tr>
    </w:tbl>
    <w:p w:rsidR="00572728" w:rsidP="008D53DF">
      <w:pPr>
        <w:pStyle w:val="BodyText"/>
      </w:pPr>
    </w:p>
    <w:p w:rsidR="00572728" w:rsidP="008D53DF">
      <w:pPr>
        <w:pStyle w:val="BodyText"/>
      </w:pPr>
    </w:p>
    <w:p w:rsidR="00000000" w:rsidRPr="008D53DF" w:rsidP="008D53DF">
      <w:pPr>
        <w:pStyle w:val="Heading1"/>
      </w:pPr>
      <w:bookmarkStart w:id="3" w:name="O_232108"/>
      <w:bookmarkEnd w:id="3"/>
      <w:r w:rsidRPr="008D53DF">
        <w:t>Application of the Unit</w:t>
      </w:r>
    </w:p>
    <w:tbl>
      <w:tblPr>
        <w:tblW w:w="0" w:type="auto"/>
        <w:tblLayout w:type="fixed"/>
        <w:tblCellMar>
          <w:left w:w="62" w:type="dxa"/>
          <w:right w:w="62" w:type="dxa"/>
        </w:tblCellMar>
        <w:tblLook w:val="0000"/>
      </w:tblPr>
      <w:tblGrid>
        <w:gridCol w:w="2758"/>
        <w:gridCol w:w="5882"/>
      </w:tblGrid>
      <w:tr w:rsidTr="0057272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rPr>
                <w:rStyle w:val="SpecialBold"/>
              </w:rPr>
              <w:t>4</w:t>
            </w:r>
            <w:r w:rsidRPr="008D53DF">
              <w:t>)</w:t>
            </w:r>
          </w:p>
        </w:tc>
      </w:tr>
      <w:tr w:rsidTr="0057272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t>T</w:t>
            </w:r>
            <w:r w:rsidRPr="008D53DF">
              <w:t>his Competency Standard Unit is intended to augment formally acquired competencies. It is suitable for employment-based programs under an approved contract of training.</w:t>
            </w:r>
          </w:p>
        </w:tc>
      </w:tr>
    </w:tbl>
    <w:p w:rsidR="00572728" w:rsidP="008D53DF">
      <w:pPr>
        <w:pStyle w:val="BodyText"/>
      </w:pPr>
    </w:p>
    <w:p w:rsidR="00572728" w:rsidP="008D53DF">
      <w:pPr>
        <w:pStyle w:val="BodyText"/>
      </w:pPr>
    </w:p>
    <w:p w:rsidR="00000000" w:rsidRPr="008D53DF" w:rsidP="008D53DF">
      <w:pPr>
        <w:pStyle w:val="Heading1"/>
      </w:pPr>
      <w:bookmarkStart w:id="4" w:name="O_232104"/>
      <w:bookmarkEnd w:id="4"/>
      <w:r w:rsidRPr="008D53DF">
        <w:t>Licensing/Regulatory Information</w:t>
      </w:r>
    </w:p>
    <w:tbl>
      <w:tblPr>
        <w:tblW w:w="0" w:type="auto"/>
        <w:tblLayout w:type="fixed"/>
        <w:tblCellMar>
          <w:left w:w="62" w:type="dxa"/>
          <w:right w:w="62" w:type="dxa"/>
        </w:tblCellMar>
        <w:tblLook w:val="0000"/>
      </w:tblPr>
      <w:tblGrid>
        <w:gridCol w:w="8640"/>
      </w:tblGrid>
      <w:tr w:rsidTr="0057272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rPr>
                <w:rStyle w:val="SpecialBold"/>
              </w:rPr>
              <w:t>1</w:t>
            </w:r>
            <w:r w:rsidRPr="008D53DF">
              <w:t>.</w:t>
            </w:r>
            <w:r w:rsidRPr="008D53DF">
              <w:rPr>
                <w:rStyle w:val="SpecialBold"/>
              </w:rPr>
              <w:t>2</w:t>
            </w:r>
            <w:r w:rsidRPr="008D53DF">
              <w:t xml:space="preserve">) </w:t>
            </w:r>
            <w:r w:rsidRPr="008D53DF">
              <w:rPr>
                <w:rStyle w:val="SpecialBold"/>
              </w:rPr>
              <w:t>License to practice</w:t>
            </w:r>
          </w:p>
        </w:tc>
      </w:tr>
      <w:tr w:rsidTr="0057272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t>The skills and knowledge described in this unit may require a licence/registration to practice in the work place subject to regulations for undertaking of electrical work. Practice in workplace and during training is also subject to regulations directly re</w:t>
            </w:r>
            <w:r w:rsidRPr="008D53DF">
              <w:t>lated to Occupational Health and Safety, electricity/telecommunications/gas/water industry safety and compliance, industrial relations, environmental protection, anti discrimination and training. Commonwealth, State/Territory or Local Government legislatio</w:t>
            </w:r>
            <w:r w:rsidRPr="008D53DF">
              <w:t>n and regulations may exist that limits the age of operating certain equipment.</w:t>
            </w:r>
          </w:p>
        </w:tc>
      </w:tr>
    </w:tbl>
    <w:p w:rsidR="00572728" w:rsidP="008D53DF">
      <w:pPr>
        <w:pStyle w:val="BodyText"/>
      </w:pPr>
    </w:p>
    <w:p w:rsidR="00572728" w:rsidP="008D53DF">
      <w:pPr>
        <w:pStyle w:val="BodyText"/>
      </w:pPr>
    </w:p>
    <w:p w:rsidR="00000000" w:rsidRPr="008D53DF" w:rsidP="008D53DF">
      <w:pPr>
        <w:pStyle w:val="Heading1"/>
      </w:pPr>
      <w:bookmarkStart w:id="5" w:name="O_232105"/>
      <w:bookmarkEnd w:id="5"/>
      <w:r w:rsidRPr="008D53DF">
        <w:t>Pre-Requisites</w:t>
      </w:r>
    </w:p>
    <w:tbl>
      <w:tblPr>
        <w:tblW w:w="0" w:type="auto"/>
        <w:tblLayout w:type="fixed"/>
        <w:tblCellMar>
          <w:left w:w="62" w:type="dxa"/>
          <w:right w:w="62" w:type="dxa"/>
        </w:tblCellMar>
        <w:tblLook w:val="0000"/>
      </w:tblPr>
      <w:tblGrid>
        <w:gridCol w:w="2758"/>
        <w:gridCol w:w="735"/>
        <w:gridCol w:w="2022"/>
        <w:gridCol w:w="3125"/>
      </w:tblGrid>
      <w:tr w:rsidTr="0057272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Prerequisite Unit</w:t>
            </w:r>
            <w:r w:rsidRPr="008D53DF">
              <w:t>(</w:t>
            </w:r>
            <w:r w:rsidRPr="008D53DF">
              <w:rPr>
                <w:rStyle w:val="SpecialBold"/>
              </w:rPr>
              <w:t>s</w:t>
            </w:r>
            <w:r w:rsidRPr="008D53DF">
              <w:t>)</w:t>
            </w:r>
          </w:p>
        </w:tc>
        <w:tc>
          <w:tcPr>
            <w:tcW w:w="5882" w:type="dxa"/>
            <w:gridSpan w:val="3"/>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rPr>
                <w:rStyle w:val="SpecialBold"/>
              </w:rPr>
              <w:t>2</w:t>
            </w:r>
            <w:r w:rsidRPr="008D53DF">
              <w:t xml:space="preserve">) </w:t>
            </w:r>
          </w:p>
        </w:tc>
      </w:tr>
      <w:tr w:rsidTr="0057272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8D53DF">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rPr>
                <w:rStyle w:val="SpecialBold"/>
              </w:rPr>
              <w:t>2</w:t>
            </w:r>
            <w:r w:rsidRPr="008D53DF">
              <w:t>.</w:t>
            </w:r>
            <w:r w:rsidRPr="008D53DF">
              <w:rPr>
                <w:rStyle w:val="SpecialBold"/>
              </w:rPr>
              <w:t>1</w:t>
            </w:r>
            <w:r w:rsidRPr="008D53DF">
              <w:t xml:space="preserve">) </w:t>
            </w:r>
            <w:r w:rsidRPr="008D53DF">
              <w:rPr>
                <w:rStyle w:val="SpecialBold"/>
              </w:rPr>
              <w:t>Competencies</w:t>
            </w:r>
          </w:p>
        </w:tc>
      </w:tr>
      <w:tr w:rsidTr="0057272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Granting of competency in this unit shall be made only after competency in the following unit(s) has/have been confirmed:.</w:t>
            </w:r>
          </w:p>
        </w:tc>
      </w:tr>
      <w:tr w:rsidTr="0057272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UETTDRTP07B</w:t>
            </w:r>
          </w:p>
        </w:tc>
        <w:tc>
          <w:tcPr>
            <w:tcW w:w="3125"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Maintain transmission towers and associated hardware</w:t>
            </w:r>
          </w:p>
        </w:tc>
      </w:tr>
      <w:tr w:rsidTr="0057272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t>For the full prerequisite chain details for this unit please refer to Table 3 in Volume 1, Part 2</w:t>
            </w:r>
          </w:p>
        </w:tc>
      </w:tr>
    </w:tbl>
    <w:p w:rsidR="00572728" w:rsidP="008D53DF">
      <w:pPr>
        <w:pStyle w:val="BodyText"/>
      </w:pPr>
    </w:p>
    <w:p w:rsidR="00572728" w:rsidP="008D53DF">
      <w:pPr>
        <w:pStyle w:val="BodyText"/>
      </w:pPr>
    </w:p>
    <w:p w:rsidR="00000000" w:rsidRPr="008D53DF" w:rsidP="008D53DF">
      <w:pPr>
        <w:pStyle w:val="Heading1"/>
      </w:pPr>
      <w:bookmarkStart w:id="6" w:name="O_232107"/>
      <w:bookmarkEnd w:id="6"/>
      <w:r w:rsidRPr="008D53DF">
        <w:t>Employability Skills Information</w:t>
      </w:r>
    </w:p>
    <w:tbl>
      <w:tblPr>
        <w:tblW w:w="0" w:type="auto"/>
        <w:tblLayout w:type="fixed"/>
        <w:tblCellMar>
          <w:left w:w="62" w:type="dxa"/>
          <w:right w:w="62" w:type="dxa"/>
        </w:tblCellMar>
        <w:tblLook w:val="0000"/>
      </w:tblPr>
      <w:tblGrid>
        <w:gridCol w:w="2758"/>
        <w:gridCol w:w="5882"/>
      </w:tblGrid>
      <w:tr w:rsidTr="0057272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3</w:t>
            </w:r>
            <w:r w:rsidRPr="008D53DF">
              <w:t>)</w:t>
            </w:r>
          </w:p>
          <w:p w:rsidR="00000000" w:rsidRPr="008D53DF" w:rsidP="008D53DF">
            <w:pPr>
              <w:pStyle w:val="BodyText"/>
            </w:pPr>
            <w:r w:rsidRPr="008D53DF">
              <w:t>The required outcomes described in this unit of competency contain applicable f</w:t>
            </w:r>
            <w:r w:rsidRPr="008D53DF">
              <w:t>acets of Employability Skills. The Employability Skills Summary of the qualification in which this unit of competency is packaged will assist in identifying Employability Skill requirements.</w:t>
            </w:r>
          </w:p>
        </w:tc>
      </w:tr>
    </w:tbl>
    <w:p w:rsidR="00572728" w:rsidP="008D53DF">
      <w:pPr>
        <w:pStyle w:val="BodyText"/>
      </w:pPr>
    </w:p>
    <w:p w:rsidR="00572728" w:rsidP="008D53DF">
      <w:pPr>
        <w:pStyle w:val="BodyText"/>
      </w:pPr>
    </w:p>
    <w:p w:rsidR="00000000" w:rsidRPr="008D53DF" w:rsidP="008D53DF">
      <w:pPr>
        <w:pStyle w:val="Heading1"/>
      </w:pPr>
      <w:bookmarkStart w:id="7" w:name="O_293611"/>
      <w:bookmarkEnd w:id="7"/>
      <w:r w:rsidRPr="008D53DF">
        <w:t>Elements and Performance Criteria Pre-Content</w:t>
      </w:r>
    </w:p>
    <w:tbl>
      <w:tblPr>
        <w:tblW w:w="0" w:type="auto"/>
        <w:tblLayout w:type="fixed"/>
        <w:tblCellMar>
          <w:left w:w="62" w:type="dxa"/>
          <w:right w:w="62" w:type="dxa"/>
        </w:tblCellMar>
        <w:tblLook w:val="0000"/>
      </w:tblPr>
      <w:tblGrid>
        <w:gridCol w:w="2758"/>
        <w:gridCol w:w="5882"/>
      </w:tblGrid>
      <w:tr w:rsidTr="0057272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rPr>
                <w:rStyle w:val="SpecialBold"/>
              </w:rPr>
              <w:t>6</w:t>
            </w:r>
            <w:r w:rsidRPr="008D53DF">
              <w:t xml:space="preserve">) </w:t>
            </w:r>
            <w:r w:rsidRPr="008D53DF">
              <w:rPr>
                <w:rStyle w:val="SpecialBold"/>
              </w:rPr>
              <w:t>Elements</w:t>
            </w:r>
            <w:r w:rsidRPr="008D53DF">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t>Performance Criteria describe the required performance needed to demonstrate achievement of the element. Assessment of performance is to be consistent with the Evidence Guide.</w:t>
            </w:r>
          </w:p>
        </w:tc>
      </w:tr>
    </w:tbl>
    <w:p w:rsidR="00000000" w:rsidRPr="008D53DF" w:rsidP="008D53DF">
      <w:pPr>
        <w:pStyle w:val="BodyText"/>
      </w:pPr>
    </w:p>
    <w:p w:rsidR="00000000" w:rsidRPr="008D53DF" w:rsidP="008D53DF">
      <w:pPr>
        <w:pStyle w:val="AllowPageBreak"/>
      </w:pPr>
    </w:p>
    <w:p w:rsidR="00000000" w:rsidRPr="008D53DF" w:rsidP="008D53DF">
      <w:pPr>
        <w:pStyle w:val="Heading1"/>
      </w:pPr>
      <w:bookmarkStart w:id="8" w:name="O_240279"/>
      <w:bookmarkEnd w:id="8"/>
      <w:r w:rsidRPr="008D53DF">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572728">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rPr>
                <w:rStyle w:val="SpecialBold"/>
              </w:rPr>
              <w:t>PERFORMANCE CRITERIA</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1</w:t>
            </w:r>
          </w:p>
        </w:tc>
        <w:tc>
          <w:tcPr>
            <w:tcW w:w="2344" w:type="dxa"/>
            <w:vMerge w:val="restart"/>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Prepare for the inspection of overhead structures and electrical apparatus used on towers</w:t>
            </w: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1.1</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Works schedule(s), including drawings, plans, requirements, established procedures, and material lists, are received, analysed and confirmed, if necessary, by site inspection.</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1.2</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Relevant requirements and established procedures for the work are communi</w:t>
            </w:r>
            <w:r w:rsidRPr="008D53DF">
              <w:t>cated to all personnel and identified for all work sites.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1.3</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 xml:space="preserve">OHS policies and procedures related to requirements and established procedures for the inspection of overhead structures and electrical apparatus </w:t>
            </w:r>
            <w:r w:rsidRPr="008D53DF">
              <w:t>used on towers are obtained and understood for the purposes of the work to be performed.</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1.4</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Work is prioritised and sequenced following consultation with others for completion within acceptable timeframes and in accordance with established procedures.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1.5</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Hazards are identified, OHS risks assessed and control measures are prioritised, implemented and monitored including emergency exits kept clear according to established procedures.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1.6</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Relevant work permits are obtained to access and perform work according to requirements and/or established procedures.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1.7</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Resources including personnel, equipment, tools and personal protective equipment required for the job are identified, scheduled a</w:t>
            </w:r>
            <w:r w:rsidRPr="008D53DF">
              <w:t>nd obtained and, in working order.</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1.8</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Relevant personnel at work site are confirmed current in First Aid, Tower/Pole Top Rescue and other related work procedures according to requirements.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1.9</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Liaison and communication issues with other/authorised p</w:t>
            </w:r>
            <w:r w:rsidRPr="008D53DF">
              <w:t>ersonnel, authorities, clients and land owners are resolved to carry out work.</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1.10</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Site is prepared according to the work schedule and to minimise risk and damage to property, commerce, and individuals in accordance with established procedures.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1.11</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Personnel participating in the work, including plant operators and contractors, are fully briefed and respective responsibilities confirmed where applicable in accordance with established procedures.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1.12</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Traffic management plan is identified and imple</w:t>
            </w:r>
            <w:r w:rsidRPr="008D53DF">
              <w:t>mented.</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2</w:t>
            </w:r>
          </w:p>
        </w:tc>
        <w:tc>
          <w:tcPr>
            <w:tcW w:w="2344"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Carry out inspection of overhead structures and electrical apparatus used on towers</w:t>
            </w: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2.1</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OHS and sustainable energy principles and practices to reduce the incidents of accidents and minimise waste are monitored and followed in accordance with req</w:t>
            </w:r>
            <w:r w:rsidRPr="008D53DF">
              <w:t>uirements and/or established procedures.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2.2</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Lifting, climbing, working in confined spaces and aloft, and use of power tools/equipment, techniques and practices are safely followed and, currency according to requirements confirmed.</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2.3</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Essential knowledge and associated kills are applied in the safe inspection of overhead structures and electrical apparatus used on towers to ensure completion in an agreed timeframe and, to quality standards with a minimum of waste according to requiremen</w:t>
            </w:r>
            <w:r w:rsidRPr="008D53DF">
              <w:t>ts.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2.4</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Inspection of overhead structures and electrical apparatus used on towers is carried out, in accordance with the work schedule and requirements/established procedures.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2.5</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Hazard warnings and safety signs are recognised and hazards and assess</w:t>
            </w:r>
            <w:r w:rsidRPr="008D53DF">
              <w:t>ed OHS risks are reported to the immediate authorised persons for directions according to established procedures.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2.6</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Known solutions to a variety of problems are applied using acquired essential knowledge and associated skills.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2.7</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On going checks of quality of the work are undertaken in accordance with instructions and established procedures.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3</w:t>
            </w:r>
          </w:p>
        </w:tc>
        <w:tc>
          <w:tcPr>
            <w:tcW w:w="2344" w:type="dxa"/>
            <w:vMerge w:val="restart"/>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Complete the inspection of overhead structures and electrical apparatus used on towers</w:t>
            </w: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3.1</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Work undertaken is checked against works schedul</w:t>
            </w:r>
            <w:r w:rsidRPr="008D53DF">
              <w:t>e for conformance with requirements and anomalies reported in accordance with established procedures.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3.2</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Accidents and/or injuries are reported in accordance with requirements/established procedures.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3.3</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Work site is rehabilitated, cleaned up and made safe in accordance with established procedures.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3.4</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 xml:space="preserve">Tools, equipment and any surplus resources and materials are, where appropriate, cleaned, checked and returned to storage in accordance with established </w:t>
            </w:r>
            <w:r w:rsidRPr="008D53DF">
              <w:t>procedures.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3.5</w:t>
            </w:r>
          </w:p>
        </w:tc>
        <w:tc>
          <w:tcPr>
            <w:tcW w:w="496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Relevant work permit(s) are signed off and, overhead structures and electrical apparatus used on towers are returned to service in accordance with requirements.</w:t>
            </w:r>
          </w:p>
        </w:tc>
      </w:tr>
      <w:tr w:rsidTr="0057272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3.6</w:t>
            </w:r>
          </w:p>
        </w:tc>
        <w:tc>
          <w:tcPr>
            <w:tcW w:w="4963" w:type="dxa"/>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t>Works completion records, reports, as installed /modified drawing and/or documentation and information are finalised and processed and appropriate personnel notified.</w:t>
            </w:r>
          </w:p>
        </w:tc>
      </w:tr>
    </w:tbl>
    <w:p w:rsidR="00572728" w:rsidP="008D53DF">
      <w:pPr>
        <w:pStyle w:val="BodyText"/>
      </w:pPr>
    </w:p>
    <w:p w:rsidR="00572728" w:rsidP="008D53DF">
      <w:pPr>
        <w:pStyle w:val="BodyText"/>
      </w:pPr>
    </w:p>
    <w:p w:rsidR="00000000" w:rsidRPr="008D53DF" w:rsidP="008D53DF">
      <w:pPr>
        <w:pStyle w:val="Heading1"/>
      </w:pPr>
      <w:bookmarkStart w:id="9" w:name="O_264070"/>
      <w:bookmarkEnd w:id="9"/>
      <w:r w:rsidRPr="008D53DF">
        <w:t>Required Skills and Knowledge</w:t>
      </w:r>
    </w:p>
    <w:tbl>
      <w:tblPr>
        <w:tblW w:w="0" w:type="auto"/>
        <w:tblLayout w:type="fixed"/>
        <w:tblCellMar>
          <w:left w:w="62" w:type="dxa"/>
          <w:right w:w="62" w:type="dxa"/>
        </w:tblCellMar>
        <w:tblLook w:val="0000"/>
      </w:tblPr>
      <w:tblGrid>
        <w:gridCol w:w="2758"/>
        <w:gridCol w:w="1103"/>
        <w:gridCol w:w="4779"/>
      </w:tblGrid>
      <w:tr w:rsidTr="00572728">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rPr>
                <w:rStyle w:val="SpecialBold"/>
              </w:rPr>
              <w:t>REQUIRED SKILLS AND KNOWLEDGE</w:t>
            </w:r>
          </w:p>
        </w:tc>
      </w:tr>
      <w:tr w:rsidTr="0057272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rPr>
                <w:rStyle w:val="SpecialBold"/>
              </w:rPr>
              <w:t>7</w:t>
            </w:r>
            <w:r w:rsidRPr="008D53DF">
              <w:t xml:space="preserve">) </w:t>
            </w:r>
            <w:r w:rsidRPr="008D53DF">
              <w:rPr>
                <w:rStyle w:val="SpecialBold"/>
              </w:rPr>
              <w:t>Ess</w:t>
            </w:r>
            <w:r w:rsidRPr="008D53DF">
              <w:rPr>
                <w:rStyle w:val="SpecialBold"/>
              </w:rPr>
              <w:t>ential Knowledge and Associated Skills</w:t>
            </w:r>
            <w:r w:rsidRPr="008D53DF">
              <w:t xml:space="preserve"> (</w:t>
            </w:r>
            <w:r w:rsidRPr="008D53DF">
              <w:rPr>
                <w:rStyle w:val="SpecialBold"/>
              </w:rPr>
              <w:t>EKAS</w:t>
            </w:r>
            <w:r w:rsidRPr="008D53DF">
              <w:t>): This describes the essential skills and knowledge and their level, required for this unit.</w:t>
            </w:r>
          </w:p>
        </w:tc>
      </w:tr>
      <w:tr w:rsidTr="0057272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t xml:space="preserve">Evidence shall show that knowledge has been acquired of inspecting overhead structures and electrical apparatus (towers). </w:t>
            </w:r>
          </w:p>
          <w:p w:rsidR="00000000" w:rsidRPr="008D53DF" w:rsidP="008D53DF">
            <w:pPr>
              <w:pStyle w:val="BodyText"/>
            </w:pPr>
            <w:r w:rsidRPr="008D53DF">
              <w:t>All knowledge and skills detailed in this unit should be contextualised to current industry practices and technologies.</w:t>
            </w:r>
          </w:p>
          <w:p w:rsidR="00000000" w:rsidP="008D53DF">
            <w:pPr>
              <w:pStyle w:val="BodyText"/>
              <w:rPr>
                <w:lang w:val="en-NZ"/>
              </w:rPr>
            </w:pPr>
            <w:r w:rsidRPr="008D53DF">
              <w:t>The extent of</w:t>
            </w:r>
            <w:r w:rsidRPr="008D53DF">
              <w:t xml:space="preserve"> the essential knowledge and associated skills (EKAS) required is given in Volume 2 - Part 2.2 EKAS. It forms an integral part of this unit.</w:t>
            </w:r>
          </w:p>
        </w:tc>
      </w:tr>
      <w:tr w:rsidTr="0057272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 xml:space="preserve">T2.2.10 </w:t>
            </w:r>
          </w:p>
        </w:tc>
        <w:tc>
          <w:tcPr>
            <w:tcW w:w="477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Transmission structures and hardware</w:t>
            </w:r>
          </w:p>
        </w:tc>
      </w:tr>
      <w:tr w:rsidTr="0057272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 xml:space="preserve">T2.2.28 </w:t>
            </w:r>
          </w:p>
        </w:tc>
        <w:tc>
          <w:tcPr>
            <w:tcW w:w="477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Towers and structures inspection principles</w:t>
            </w:r>
          </w:p>
        </w:tc>
      </w:tr>
      <w:tr w:rsidTr="0057272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 xml:space="preserve">T2.2.29 </w:t>
            </w:r>
          </w:p>
        </w:tc>
        <w:tc>
          <w:tcPr>
            <w:tcW w:w="4779"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Transmission powerline inspection principles</w:t>
            </w:r>
          </w:p>
        </w:tc>
      </w:tr>
      <w:tr w:rsidTr="0057272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79" w:type="dxa"/>
            <w:tcBorders>
              <w:top w:val="nil"/>
              <w:left w:val="nil"/>
              <w:bottom w:val="nil"/>
              <w:right w:val="nil"/>
            </w:tcBorders>
            <w:tcMar>
              <w:top w:w="0" w:type="dxa"/>
              <w:left w:w="62" w:type="dxa"/>
              <w:bottom w:w="0" w:type="dxa"/>
              <w:right w:w="62" w:type="dxa"/>
            </w:tcMar>
          </w:tcPr>
          <w:p w:rsidR="00000000" w:rsidRPr="008D53DF" w:rsidP="008D53DF">
            <w:pPr>
              <w:pStyle w:val="BodyText"/>
            </w:pPr>
          </w:p>
        </w:tc>
      </w:tr>
    </w:tbl>
    <w:p w:rsidR="00572728" w:rsidP="008D53DF">
      <w:pPr>
        <w:pStyle w:val="BodyText"/>
      </w:pPr>
    </w:p>
    <w:p w:rsidR="00572728" w:rsidP="008D53DF">
      <w:pPr>
        <w:pStyle w:val="BodyText"/>
      </w:pPr>
    </w:p>
    <w:p w:rsidR="00000000" w:rsidRPr="008D53DF" w:rsidP="008D53DF">
      <w:pPr>
        <w:pStyle w:val="Heading1"/>
      </w:pPr>
      <w:bookmarkStart w:id="10" w:name="O_248262"/>
      <w:bookmarkEnd w:id="10"/>
      <w:r w:rsidRPr="008D53DF">
        <w:t>Evidence Guide</w:t>
      </w:r>
    </w:p>
    <w:tbl>
      <w:tblPr>
        <w:tblW w:w="0" w:type="auto"/>
        <w:tblLayout w:type="fixed"/>
        <w:tblCellMar>
          <w:left w:w="62" w:type="dxa"/>
          <w:right w:w="62" w:type="dxa"/>
        </w:tblCellMar>
        <w:tblLook w:val="0000"/>
      </w:tblPr>
      <w:tblGrid>
        <w:gridCol w:w="2207"/>
        <w:gridCol w:w="735"/>
        <w:gridCol w:w="968"/>
        <w:gridCol w:w="1592"/>
        <w:gridCol w:w="3138"/>
      </w:tblGrid>
      <w:tr w:rsidTr="00572728">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rPr>
                <w:rStyle w:val="SpecialBold"/>
              </w:rPr>
              <w:t>EVIDENCE GUIDE</w:t>
            </w:r>
          </w:p>
        </w:tc>
      </w:tr>
      <w:tr w:rsidTr="00572728">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9</w:t>
            </w:r>
            <w:r w:rsidRPr="008D53DF">
              <w:t xml:space="preserve">) This provides essential advice for assessment of the unit of competency and must be read in conjunction </w:t>
            </w:r>
            <w:r w:rsidRPr="008D53DF">
              <w:t>with the Performance Criteria and the Range Statement of the unit of competency and the Training Package Assessment Guidelines.</w:t>
            </w:r>
          </w:p>
          <w:p w:rsidR="00000000" w:rsidP="008D53DF">
            <w:pPr>
              <w:pStyle w:val="BodyText"/>
              <w:rPr>
                <w:lang w:val="en-NZ"/>
              </w:rPr>
            </w:pPr>
            <w:r w:rsidRPr="008D53DF">
              <w:t>The Evidence Guide forms an integral part of this Competency Standard Unit and shall be used in conjunction with all component p</w:t>
            </w:r>
            <w:r w:rsidRPr="008D53DF">
              <w:t>arts of this unit and, performed in accordance with the Assessment Guidelines of this Training Package.</w:t>
            </w:r>
          </w:p>
        </w:tc>
      </w:tr>
      <w:tr w:rsidTr="0057272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9</w:t>
            </w:r>
            <w:r w:rsidRPr="008D53DF">
              <w:t>.</w:t>
            </w:r>
            <w:r w:rsidRPr="008D53DF">
              <w:rPr>
                <w:rStyle w:val="SpecialBold"/>
              </w:rPr>
              <w:t>1</w:t>
            </w:r>
            <w:r w:rsidRPr="008D53DF">
              <w:t xml:space="preserve">) </w:t>
            </w:r>
          </w:p>
          <w:p w:rsidR="00000000" w:rsidRPr="008D53DF" w:rsidP="008D53DF">
            <w:pPr>
              <w:pStyle w:val="BodyText"/>
            </w:pPr>
            <w:r w:rsidRPr="008D53DF">
              <w:t xml:space="preserve">Longitudinal competency development approaches to assessment, such as Profiling, require data to be reliably gathered </w:t>
            </w:r>
            <w:r w:rsidRPr="008D53DF">
              <w:t>in a form that can be consistently interpreted over time. This approach is best utilised in Apprenticeship programs and reduces assessment intervention. It is the Industry's preferred model for apprenticeships. However, where summative (or final) assessmen</w:t>
            </w:r>
            <w:r w:rsidRPr="008D53DF">
              <w:t xml:space="preserve">t is used it is to include the application of the competency in the normal work environment or, at a minimum, the application of the competency in a realistically simulated work environment. It is recognised that, in some circumstances, assessment in part </w:t>
            </w:r>
            <w:r w:rsidRPr="008D53DF">
              <w:t>or full can occur outside the workplace. However, it must be in accord with Industry and, Regulatory policy in this regard.</w:t>
            </w:r>
          </w:p>
          <w:p w:rsidR="00000000" w:rsidRPr="008D53DF" w:rsidP="008D53DF">
            <w:pPr>
              <w:pStyle w:val="BodyText"/>
            </w:pPr>
            <w:r w:rsidRPr="008D53DF">
              <w:t>Methods chosen for a particular assessment will be influenced by various factors. These include the extent of the assessment, the mo</w:t>
            </w:r>
            <w:r w:rsidRPr="008D53DF">
              <w:t>st effective locations for the assessment activities to take place, access to physical resources, additional safety measures that may be required and the critical nature of the competencies being assessed.</w:t>
            </w:r>
          </w:p>
          <w:p w:rsidR="00000000" w:rsidRPr="008D53DF" w:rsidP="008D53DF">
            <w:pPr>
              <w:pStyle w:val="BodyText"/>
            </w:pPr>
            <w:r w:rsidRPr="008D53DF">
              <w:t>The critical safety nature of working with electri</w:t>
            </w:r>
            <w:r w:rsidRPr="008D53DF">
              <w:t>city, electrical equipment, gas or any other hazardous substance/material carries risk in deeming a person competent. Hence, sources of evidence need to be 'rich' in nature so as to minimise error in judgment.</w:t>
            </w:r>
          </w:p>
          <w:p w:rsidR="00000000" w:rsidP="008D53DF">
            <w:pPr>
              <w:pStyle w:val="BodyText"/>
              <w:rPr>
                <w:lang w:val="en-NZ"/>
              </w:rPr>
            </w:pPr>
            <w:r w:rsidRPr="008D53DF">
              <w:t>Activities associated with normal every day wo</w:t>
            </w:r>
            <w:r w:rsidRPr="008D53DF">
              <w:t>rk have a bearing on the decision as to how much and how detailed the data gathered will contribute to its 'richness'. Some skills are more critical to safety and operational requirements while the same skills may be more or less frequently practiced. Thes</w:t>
            </w:r>
            <w:r w:rsidRPr="008D53DF">
              <w:t>e points are raised for the assessors to consider when choosing an assessment method and developing assessment instruments. Sample assessment instruments are included for Assessors in the Assessment Guidelines of this Training Package.</w:t>
            </w:r>
          </w:p>
        </w:tc>
      </w:tr>
      <w:tr w:rsidTr="00572728">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 xml:space="preserve">Critical aspects of evidence required to demonstrate </w:t>
            </w:r>
            <w:r w:rsidRPr="008D53DF">
              <w:rPr>
                <w:rStyle w:val="SpecialBold"/>
              </w:rPr>
              <w:t>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9</w:t>
            </w:r>
            <w:r w:rsidRPr="008D53DF">
              <w:t>.</w:t>
            </w:r>
            <w:r w:rsidRPr="008D53DF">
              <w:rPr>
                <w:rStyle w:val="SpecialBold"/>
              </w:rPr>
              <w:t>2</w:t>
            </w:r>
            <w:r w:rsidRPr="008D53DF">
              <w:t xml:space="preserve">) </w:t>
            </w:r>
          </w:p>
          <w:p w:rsidR="00000000" w:rsidP="008D53DF">
            <w:pPr>
              <w:pStyle w:val="BodyText"/>
              <w:rPr>
                <w:lang w:val="en-NZ"/>
              </w:rPr>
            </w:pPr>
            <w:r w:rsidRPr="008D53DF">
              <w:t>Before the critical aspects of evidence are considered all prerequisites shall be met.</w:t>
            </w:r>
          </w:p>
        </w:tc>
      </w:tr>
      <w:tr w:rsidTr="0057272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t>Evidence for competence in this unit shall be considered holistically. Each eleme</w:t>
            </w:r>
            <w:r w:rsidRPr="008D53DF">
              <w:t>nt and associated Performance Criteria shall be demonstrated on at least two occasions in accordance with the "Assessment Guidelines - UET09". Evidence shall also comprise:</w:t>
            </w:r>
          </w:p>
          <w:p w:rsidR="00000000" w:rsidP="008D53DF">
            <w:pPr>
              <w:pStyle w:val="ListBullet"/>
              <w:rPr>
                <w:lang w:val="en-NZ"/>
              </w:rPr>
            </w:pPr>
            <w:r w:rsidRPr="008D53DF">
              <w:t>A representative body of Performance Criteria demonstrated within the timeframes ty</w:t>
            </w:r>
            <w:r w:rsidRPr="008D53DF">
              <w:t>pically expected of the discipline, work function and industrial environment. In particular this shall incorporate evidence that shows a candidate is able to:</w:t>
            </w:r>
          </w:p>
        </w:tc>
      </w:tr>
      <w:tr w:rsidTr="0057272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8D53DF" w:rsidP="008D53DF">
            <w:pPr>
              <w:pStyle w:val="ListBullet2"/>
            </w:pPr>
            <w:r w:rsidRPr="008D53DF">
              <w:t xml:space="preserve">Implement Occupational Health and Safety workplace procedures and practices including </w:t>
            </w:r>
            <w:r w:rsidRPr="008D53DF">
              <w:t>the use of risk control measures as specified in the Performance Criteria and range; and</w:t>
            </w:r>
          </w:p>
          <w:p w:rsidR="00000000" w:rsidRPr="008D53DF" w:rsidP="008D53DF">
            <w:pPr>
              <w:pStyle w:val="ListBullet2"/>
            </w:pPr>
            <w:r w:rsidRPr="008D53DF">
              <w:t>Apply sustainable energy principles and practices as specified in the Performance Criteria and range; and</w:t>
            </w:r>
          </w:p>
          <w:p w:rsidR="00000000" w:rsidRPr="008D53DF" w:rsidP="008D53DF">
            <w:pPr>
              <w:pStyle w:val="ListBullet2"/>
            </w:pPr>
            <w:r w:rsidRPr="008D53DF">
              <w:t>Demonstrate an understanding of the essential knowledge and a</w:t>
            </w:r>
            <w:r w:rsidRPr="008D53DF">
              <w:t>ssociated skills as described in this unit to such an extent that the learner's performance outcome is reported in accordance with the preferred approach; namely a percentile graded result, where required by the regulated environment; and</w:t>
            </w:r>
          </w:p>
          <w:p w:rsidR="00000000" w:rsidRPr="008D53DF" w:rsidP="008D53DF">
            <w:pPr>
              <w:pStyle w:val="ListBullet2"/>
            </w:pPr>
            <w:r w:rsidRPr="008D53DF">
              <w:t>Demonstrate an ap</w:t>
            </w:r>
            <w:r w:rsidRPr="008D53DF">
              <w:t>propriate level of employability skills; and</w:t>
            </w:r>
          </w:p>
          <w:p w:rsidR="00000000" w:rsidP="008D53DF">
            <w:pPr>
              <w:pStyle w:val="ListBullet2"/>
              <w:rPr>
                <w:lang w:val="en-NZ"/>
              </w:rPr>
            </w:pPr>
            <w:r w:rsidRPr="008D53DF">
              <w:t>Conduct work observing the relevant Anti Discrimination legislation, regulations, policies and workplace procedures; and</w:t>
            </w:r>
          </w:p>
        </w:tc>
      </w:tr>
      <w:tr w:rsidTr="0057272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8D53DF">
            <w:pPr>
              <w:pStyle w:val="ListBullet"/>
              <w:rPr>
                <w:lang w:val="en-NZ"/>
              </w:rPr>
            </w:pPr>
            <w:r w:rsidRPr="008D53DF">
              <w:t>Demonstrated performance across a representative range of contexts from the prescribed items below:</w:t>
            </w:r>
          </w:p>
        </w:tc>
      </w:tr>
      <w:tr w:rsidTr="0057272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8D53DF">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3DF">
            <w:pPr>
              <w:pStyle w:val="BodyText"/>
              <w:rPr>
                <w:lang w:val="en-NZ"/>
              </w:rPr>
            </w:pPr>
            <w:r w:rsidRPr="008D53DF">
              <w:rPr>
                <w:rStyle w:val="SpecialBold"/>
              </w:rPr>
              <w:t>Range of tools</w:t>
            </w:r>
            <w:r w:rsidRPr="008D53DF">
              <w:t>/</w:t>
            </w:r>
            <w:r w:rsidRPr="008D53DF">
              <w:rPr>
                <w:rStyle w:val="SpecialBold"/>
              </w:rPr>
              <w:t>equipment</w:t>
            </w:r>
            <w:r w:rsidRPr="008D53DF">
              <w:t>/</w:t>
            </w:r>
            <w:r w:rsidRPr="008D53DF">
              <w:rPr>
                <w:rStyle w:val="SpecialBold"/>
              </w:rPr>
              <w:t>materials</w:t>
            </w:r>
            <w:r w:rsidRPr="008D53DF">
              <w:t>/</w:t>
            </w:r>
            <w:r w:rsidRPr="008D53DF">
              <w:rPr>
                <w:rStyle w:val="SpecialBold"/>
              </w:rPr>
              <w:t>procedures</w:t>
            </w:r>
            <w:r w:rsidRPr="008D53DF">
              <w:t>/</w:t>
            </w:r>
            <w:r w:rsidRPr="008D53DF">
              <w:rPr>
                <w:rStyle w:val="SpecialBold"/>
              </w:rPr>
              <w:t>workplaces</w:t>
            </w:r>
            <w:r w:rsidRPr="008D53DF">
              <w:t>/</w:t>
            </w:r>
            <w:r w:rsidRPr="008D53DF">
              <w:rPr>
                <w:rStyle w:val="SpecialBold"/>
              </w:rPr>
              <w:t>other variables</w:t>
            </w:r>
          </w:p>
        </w:tc>
      </w:tr>
      <w:tr w:rsidTr="0057272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8D53DF">
            <w:pPr>
              <w:pStyle w:val="BodyText"/>
              <w:keepNext w:val="0"/>
              <w:keepLines w:val="0"/>
              <w:contextualSpacing w:val="0"/>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3DF" w:rsidP="008D53DF">
            <w:pPr>
              <w:pStyle w:val="BodyText"/>
            </w:pPr>
            <w:r w:rsidRPr="008D53DF">
              <w:rPr>
                <w:rStyle w:val="SpecialBold"/>
              </w:rPr>
              <w:t>Group No</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3DF" w:rsidP="008D53DF">
            <w:pPr>
              <w:pStyle w:val="BodyText"/>
            </w:pPr>
            <w:r w:rsidRPr="008D53DF">
              <w:rPr>
                <w:rStyle w:val="SpecialBold"/>
              </w:rPr>
              <w:t>The minimum number of items on which skill is to be demonstrated</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3DF">
            <w:pPr>
              <w:pStyle w:val="BodyText"/>
              <w:rPr>
                <w:lang w:val="en-NZ"/>
              </w:rPr>
            </w:pPr>
            <w:r w:rsidRPr="008D53DF">
              <w:rPr>
                <w:rStyle w:val="SpecialBold"/>
              </w:rPr>
              <w:t>Item List</w:t>
            </w:r>
          </w:p>
        </w:tc>
      </w:tr>
      <w:tr w:rsidTr="0057272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3DF">
            <w:pPr>
              <w:pStyle w:val="BodyText"/>
              <w:rPr>
                <w:lang w:val="en-NZ"/>
              </w:rPr>
            </w:pPr>
            <w:r w:rsidRPr="008D53DF">
              <w:t>A</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3DF">
            <w:pPr>
              <w:pStyle w:val="BodyText"/>
              <w:rPr>
                <w:lang w:val="en-NZ"/>
              </w:rPr>
            </w:pPr>
            <w:r w:rsidRPr="008D53DF">
              <w:t>At least four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3DF" w:rsidP="008D53DF">
            <w:pPr>
              <w:pStyle w:val="BodyText"/>
            </w:pPr>
            <w:r w:rsidRPr="008D53DF">
              <w:t>Towers</w:t>
            </w:r>
          </w:p>
          <w:p w:rsidR="00000000" w:rsidRPr="008D53DF" w:rsidP="008D53DF">
            <w:pPr>
              <w:pStyle w:val="BodyText"/>
            </w:pPr>
            <w:r w:rsidRPr="008D53DF">
              <w:t>Overhead conductors/cables</w:t>
            </w:r>
          </w:p>
          <w:p w:rsidR="00000000" w:rsidRPr="008D53DF" w:rsidP="008D53DF">
            <w:pPr>
              <w:pStyle w:val="BodyText"/>
            </w:pPr>
            <w:r w:rsidRPr="008D53DF">
              <w:t>Structural fittings</w:t>
            </w:r>
          </w:p>
          <w:p w:rsidR="00000000" w:rsidRPr="008D53DF" w:rsidP="008D53DF">
            <w:pPr>
              <w:pStyle w:val="BodyText"/>
            </w:pPr>
            <w:r w:rsidRPr="008D53DF">
              <w:t>Electrical Equipment</w:t>
            </w:r>
          </w:p>
          <w:p w:rsidR="00000000" w:rsidRPr="008D53DF" w:rsidP="008D53DF">
            <w:pPr>
              <w:pStyle w:val="BodyText"/>
            </w:pPr>
            <w:r w:rsidRPr="008D53DF">
              <w:t>Hardware.</w:t>
            </w:r>
          </w:p>
          <w:p w:rsidR="00000000" w:rsidP="008D53DF">
            <w:pPr>
              <w:pStyle w:val="BodyText"/>
              <w:rPr>
                <w:lang w:val="en-NZ"/>
              </w:rPr>
            </w:pPr>
            <w:r w:rsidRPr="008D53DF">
              <w:t>Earthing systems</w:t>
            </w:r>
          </w:p>
        </w:tc>
      </w:tr>
      <w:tr w:rsidTr="0057272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3DF">
            <w:pPr>
              <w:pStyle w:val="BodyText"/>
              <w:rPr>
                <w:lang w:val="en-NZ"/>
              </w:rPr>
            </w:pPr>
            <w:r w:rsidRPr="008D53DF">
              <w:t>B</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3DF">
            <w:pPr>
              <w:pStyle w:val="BodyText"/>
              <w:rPr>
                <w:lang w:val="en-NZ"/>
              </w:rPr>
            </w:pPr>
            <w:r w:rsidRPr="008D53DF">
              <w:t>At least two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3DF" w:rsidP="008D53DF">
            <w:pPr>
              <w:pStyle w:val="BodyText"/>
            </w:pPr>
            <w:r w:rsidRPr="008D53DF">
              <w:t>Visual*</w:t>
            </w:r>
          </w:p>
          <w:p w:rsidR="00000000" w:rsidRPr="008D53DF" w:rsidP="008D53DF">
            <w:pPr>
              <w:pStyle w:val="BodyText"/>
            </w:pPr>
            <w:r w:rsidRPr="008D53DF">
              <w:t>Infra-red camera</w:t>
            </w:r>
          </w:p>
          <w:p w:rsidR="00000000" w:rsidRPr="008D53DF" w:rsidP="008D53DF">
            <w:pPr>
              <w:pStyle w:val="BodyText"/>
            </w:pPr>
            <w:r w:rsidRPr="008D53DF">
              <w:t>X-Ray</w:t>
            </w:r>
          </w:p>
          <w:p w:rsidR="00000000" w:rsidRPr="008D53DF" w:rsidP="008D53DF">
            <w:pPr>
              <w:pStyle w:val="BodyText"/>
            </w:pPr>
            <w:r w:rsidRPr="008D53DF">
              <w:t>Camera</w:t>
            </w:r>
          </w:p>
          <w:p w:rsidR="00000000" w:rsidRPr="008D53DF" w:rsidP="008D53DF">
            <w:pPr>
              <w:pStyle w:val="BodyText"/>
            </w:pPr>
            <w:r w:rsidRPr="008D53DF">
              <w:t>Binoculars/telescope</w:t>
            </w:r>
          </w:p>
          <w:p w:rsidR="00000000" w:rsidP="008D53DF">
            <w:pPr>
              <w:pStyle w:val="BodyText"/>
              <w:rPr>
                <w:lang w:val="en-NZ"/>
              </w:rPr>
            </w:pPr>
            <w:r w:rsidRPr="008D53DF">
              <w:t>(* must do)</w:t>
            </w:r>
          </w:p>
        </w:tc>
      </w:tr>
      <w:tr w:rsidTr="0057272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3DF">
            <w:pPr>
              <w:pStyle w:val="BodyText"/>
              <w:rPr>
                <w:lang w:val="en-NZ"/>
              </w:rPr>
            </w:pPr>
            <w:r w:rsidRPr="008D53DF">
              <w:t>C</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3DF">
            <w:pPr>
              <w:pStyle w:val="BodyText"/>
              <w:rPr>
                <w:lang w:val="en-NZ"/>
              </w:rPr>
            </w:pPr>
            <w:r w:rsidRPr="008D53DF">
              <w:t>All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3DF" w:rsidP="008D53DF">
            <w:pPr>
              <w:pStyle w:val="BodyText"/>
            </w:pPr>
            <w:r w:rsidRPr="008D53DF">
              <w:t xml:space="preserve">Reporting procedures </w:t>
            </w:r>
          </w:p>
          <w:p w:rsidR="00000000" w:rsidP="008D53DF">
            <w:pPr>
              <w:pStyle w:val="BodyText"/>
              <w:rPr>
                <w:lang w:val="en-NZ"/>
              </w:rPr>
            </w:pPr>
            <w:r w:rsidRPr="008D53DF">
              <w:t>Reporting outcomes</w:t>
            </w:r>
          </w:p>
        </w:tc>
      </w:tr>
      <w:tr w:rsidTr="0057272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3DF">
            <w:pPr>
              <w:pStyle w:val="BodyText"/>
              <w:rPr>
                <w:lang w:val="en-NZ"/>
              </w:rPr>
            </w:pPr>
            <w:r w:rsidRPr="008D53DF">
              <w:t>D</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3DF">
            <w:pPr>
              <w:pStyle w:val="BodyText"/>
              <w:rPr>
                <w:lang w:val="en-NZ"/>
              </w:rPr>
            </w:pPr>
            <w:r w:rsidRPr="008D53DF">
              <w:t>At least one occasion</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3DF">
            <w:pPr>
              <w:pStyle w:val="BodyText"/>
              <w:rPr>
                <w:lang w:val="en-NZ"/>
              </w:rPr>
            </w:pPr>
            <w:r w:rsidRPr="008D53DF">
              <w:t>Dealing with an unplanned event by drawing on essential knowledge and associated skills to provide appropriate solutions incorporated in the holistic assessment with the above listed items.</w:t>
            </w:r>
          </w:p>
        </w:tc>
      </w:tr>
      <w:tr w:rsidTr="0057272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9</w:t>
            </w:r>
            <w:r w:rsidRPr="008D53DF">
              <w:t>.</w:t>
            </w:r>
            <w:r w:rsidRPr="008D53DF">
              <w:rPr>
                <w:rStyle w:val="SpecialBold"/>
              </w:rPr>
              <w:t>3</w:t>
            </w:r>
            <w:r w:rsidRPr="008D53DF">
              <w:t xml:space="preserve">) </w:t>
            </w:r>
          </w:p>
          <w:p w:rsidR="00000000" w:rsidRPr="008D53DF" w:rsidP="008D53DF">
            <w:pPr>
              <w:pStyle w:val="BodyText"/>
            </w:pPr>
            <w:r w:rsidRPr="008D53DF">
              <w:t xml:space="preserve">This unit </w:t>
            </w:r>
            <w:r w:rsidRPr="008D53DF">
              <w:t>should be assessed as it relates to normal work practice using procedures, information and resources typical of a workplace. This should include:</w:t>
            </w:r>
          </w:p>
          <w:p w:rsidR="00000000" w:rsidRPr="008D53DF" w:rsidP="008D53DF">
            <w:pPr>
              <w:pStyle w:val="ListBullet"/>
            </w:pPr>
            <w:r w:rsidRPr="008D53DF">
              <w:t>OHS policy and work procedures and instructions.</w:t>
            </w:r>
          </w:p>
          <w:p w:rsidR="00000000" w:rsidP="008D53DF">
            <w:pPr>
              <w:pStyle w:val="ListBullet"/>
              <w:rPr>
                <w:lang w:val="en-NZ"/>
              </w:rPr>
            </w:pPr>
            <w:r w:rsidRPr="008D53DF">
              <w:t>Sui</w:t>
            </w:r>
            <w:r w:rsidRPr="008D53DF">
              <w:t xml:space="preserve">table work environment, facilities, equipment and materials to undertake actual inspection of overhead structures and electrical apparatus on towers. </w:t>
            </w:r>
          </w:p>
        </w:tc>
      </w:tr>
      <w:tr w:rsidTr="0057272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In addition to the resources listed above, in Context of and specific resources for assessment, evid</w:t>
            </w:r>
            <w:r w:rsidRPr="008D53DF">
              <w:t>ence should show demonstrated competency working below ground, in limited spaces, with different structural/construction types and method and in a variety of environments</w:t>
            </w:r>
          </w:p>
        </w:tc>
      </w:tr>
      <w:tr w:rsidTr="0057272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9</w:t>
            </w:r>
            <w:r w:rsidRPr="008D53DF">
              <w:t>.</w:t>
            </w:r>
            <w:r w:rsidRPr="008D53DF">
              <w:rPr>
                <w:rStyle w:val="SpecialBold"/>
              </w:rPr>
              <w:t>4</w:t>
            </w:r>
            <w:r w:rsidRPr="008D53DF">
              <w:t xml:space="preserve">) </w:t>
            </w:r>
          </w:p>
          <w:p w:rsidR="00000000" w:rsidRPr="008D53DF" w:rsidP="008D53DF">
            <w:pPr>
              <w:pStyle w:val="BodyText"/>
            </w:pPr>
            <w:r w:rsidRPr="008D53DF">
              <w:t>This Competency Standard Unit shall be assessed by met</w:t>
            </w:r>
            <w:r w:rsidRPr="008D53DF">
              <w:t>hods given in Volume 1, Part 3 "Assessment Guidelines".</w:t>
            </w:r>
          </w:p>
          <w:p w:rsidR="00000000" w:rsidP="008D53DF">
            <w:pPr>
              <w:pStyle w:val="BodyText"/>
              <w:rPr>
                <w:lang w:val="en-NZ"/>
              </w:rPr>
            </w:pPr>
            <w:r w:rsidRPr="008D53DF">
              <w:t>Note:</w:t>
            </w:r>
            <w:r w:rsidRPr="008D53DF">
              <w:br/>
              <w:t>Competent performance with inherent safe working practices is expected in the Transmission, Distribution and Rail Traction Industry. This requires that the specified essential knowledge and asso</w:t>
            </w:r>
            <w:r w:rsidRPr="008D53DF">
              <w:t>ciated skills are assessed in a structured environment which is primarily intended for learning/assessment and incorporates all necessary equipment and facilities for learners to develop and demonstrate the essential knowledge and associated skills describ</w:t>
            </w:r>
            <w:r w:rsidRPr="008D53DF">
              <w:t>ed in this unit.</w:t>
            </w:r>
          </w:p>
        </w:tc>
      </w:tr>
      <w:tr w:rsidTr="00572728">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rPr>
                <w:rStyle w:val="SpecialBold"/>
              </w:rPr>
              <w:t>9</w:t>
            </w:r>
            <w:r w:rsidRPr="008D53DF">
              <w:t>.</w:t>
            </w:r>
            <w:r w:rsidRPr="008D53DF">
              <w:rPr>
                <w:rStyle w:val="SpecialBold"/>
              </w:rPr>
              <w:t>5</w:t>
            </w:r>
            <w:r w:rsidRPr="008D53DF">
              <w:t>)</w:t>
            </w:r>
          </w:p>
        </w:tc>
      </w:tr>
      <w:tr w:rsidTr="0057272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t>There are no concurrent assessment recommendations for this unit.</w:t>
            </w:r>
          </w:p>
        </w:tc>
      </w:tr>
    </w:tbl>
    <w:p w:rsidR="00572728" w:rsidP="008D53DF">
      <w:pPr>
        <w:pStyle w:val="BodyText"/>
      </w:pPr>
    </w:p>
    <w:p w:rsidR="00572728" w:rsidP="008D53DF">
      <w:pPr>
        <w:pStyle w:val="BodyText"/>
      </w:pPr>
    </w:p>
    <w:p w:rsidR="00000000" w:rsidRPr="008D53DF" w:rsidP="008D53DF">
      <w:pPr>
        <w:pStyle w:val="Heading1"/>
      </w:pPr>
      <w:bookmarkStart w:id="11" w:name="O_256246"/>
      <w:bookmarkEnd w:id="11"/>
      <w:r w:rsidRPr="008D53DF">
        <w:t>Range Statement</w:t>
      </w:r>
    </w:p>
    <w:tbl>
      <w:tblPr>
        <w:tblW w:w="0" w:type="auto"/>
        <w:tblLayout w:type="fixed"/>
        <w:tblCellMar>
          <w:left w:w="62" w:type="dxa"/>
          <w:right w:w="62" w:type="dxa"/>
        </w:tblCellMar>
        <w:tblLook w:val="0000"/>
      </w:tblPr>
      <w:tblGrid>
        <w:gridCol w:w="2207"/>
        <w:gridCol w:w="6433"/>
      </w:tblGrid>
      <w:tr w:rsidTr="0057272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rPr>
                <w:rStyle w:val="SpecialBold"/>
              </w:rPr>
              <w:t>RANGE STATEMENT</w:t>
            </w:r>
          </w:p>
        </w:tc>
      </w:tr>
      <w:tr w:rsidTr="0057272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rPr>
                <w:rStyle w:val="SpecialBold"/>
              </w:rPr>
              <w:t>8</w:t>
            </w:r>
            <w:r w:rsidRPr="008D53DF">
              <w:t>) This relates to the unit of competency as a whole providing the range of contexts and conditions to which the Performance Criteria apply. It allows for different work environments and situations that will affect performance.</w:t>
            </w:r>
          </w:p>
        </w:tc>
      </w:tr>
      <w:tr w:rsidTr="0057272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t>This Competency Standard Unit shall/may be demonstrated in relation to the inspection of overhead structures such as towers and electrical apparatus and equipment.</w:t>
            </w:r>
          </w:p>
          <w:p w:rsidR="00000000" w:rsidRPr="008D53DF" w:rsidP="008D53DF">
            <w:pPr>
              <w:pStyle w:val="BodyText"/>
            </w:pPr>
            <w:r w:rsidRPr="008D53DF">
              <w:t xml:space="preserve">Inspection may be carried out on foot, and/or by conventional ground-based vehicle, or from </w:t>
            </w:r>
            <w:r w:rsidRPr="008D53DF">
              <w:t>the air. Aircraft may be helicopters or fixed-wing types.</w:t>
            </w:r>
          </w:p>
          <w:p w:rsidR="00000000" w:rsidRPr="008D53DF" w:rsidP="008D53DF">
            <w:pPr>
              <w:pStyle w:val="BodyText"/>
            </w:pPr>
            <w:r w:rsidRPr="008D53DF">
              <w:t>Inspection techniques include use of X-ray and infrared camera.</w:t>
            </w:r>
          </w:p>
          <w:p w:rsidR="00000000" w:rsidRPr="008D53DF" w:rsidP="008D53DF">
            <w:pPr>
              <w:pStyle w:val="BodyText"/>
            </w:pPr>
            <w:r w:rsidRPr="008D53DF">
              <w:t>Items to be inspected may include towers but not overhead poles and or structures.</w:t>
            </w:r>
          </w:p>
          <w:p w:rsidR="00000000" w:rsidRPr="008D53DF" w:rsidP="008D53DF">
            <w:pPr>
              <w:pStyle w:val="BodyText"/>
            </w:pPr>
            <w:r w:rsidRPr="008D53DF">
              <w:t>Types of electrical apparatus to be inspected inclu</w:t>
            </w:r>
            <w:r w:rsidRPr="008D53DF">
              <w:t>de overhead conductors, cables, hardware and footings, underground cables and overhead transition points and, electrical equipment such as pole-mounted transformers and air-break switches, hardware and or earthing systems.</w:t>
            </w:r>
          </w:p>
          <w:p w:rsidR="00000000" w:rsidP="008D53DF">
            <w:pPr>
              <w:pStyle w:val="BodyText"/>
              <w:rPr>
                <w:lang w:val="en-NZ"/>
              </w:rPr>
            </w:pPr>
            <w:r w:rsidRPr="008D53DF">
              <w:t>The following constants and varia</w:t>
            </w:r>
            <w:r w:rsidRPr="008D53DF">
              <w:t>bles included in the element/Performance Criteria in this unit are fully described in the Definitions Section 1 of this volume and form an integral part of the Range Statement of this unit:</w:t>
            </w:r>
          </w:p>
        </w:tc>
      </w:tr>
      <w:tr w:rsidTr="0057272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8D53DF" w:rsidP="008D53DF">
            <w:pPr>
              <w:pStyle w:val="ListBullet"/>
            </w:pPr>
            <w:r w:rsidRPr="008D53DF">
              <w:t>Appropriate and relevant persons (see Personnel)</w:t>
            </w:r>
          </w:p>
          <w:p w:rsidR="00000000" w:rsidRPr="008D53DF" w:rsidP="008D53DF">
            <w:pPr>
              <w:pStyle w:val="ListBullet"/>
            </w:pPr>
            <w:r w:rsidRPr="008D53DF">
              <w:t>Appropriate au</w:t>
            </w:r>
            <w:r w:rsidRPr="008D53DF">
              <w:t>thorities</w:t>
            </w:r>
          </w:p>
          <w:p w:rsidR="00000000" w:rsidRPr="008D53DF" w:rsidP="008D53DF">
            <w:pPr>
              <w:pStyle w:val="ListBullet"/>
            </w:pPr>
            <w:r w:rsidRPr="008D53DF">
              <w:t>Appropriate work platform</w:t>
            </w:r>
          </w:p>
          <w:p w:rsidR="00000000" w:rsidRPr="008D53DF" w:rsidP="008D53DF">
            <w:pPr>
              <w:pStyle w:val="ListBullet"/>
            </w:pPr>
            <w:r w:rsidRPr="008D53DF">
              <w:t>Assessing risk</w:t>
            </w:r>
          </w:p>
          <w:p w:rsidR="00000000" w:rsidRPr="008D53DF" w:rsidP="008D53DF">
            <w:pPr>
              <w:pStyle w:val="ListBullet"/>
            </w:pPr>
            <w:r w:rsidRPr="008D53DF">
              <w:t>Assessment</w:t>
            </w:r>
          </w:p>
          <w:p w:rsidR="00000000" w:rsidRPr="008D53DF" w:rsidP="008D53DF">
            <w:pPr>
              <w:pStyle w:val="ListBullet"/>
            </w:pPr>
            <w:r w:rsidRPr="008D53DF">
              <w:t>Authorisation</w:t>
            </w:r>
          </w:p>
          <w:p w:rsidR="00000000" w:rsidRPr="008D53DF" w:rsidP="008D53DF">
            <w:pPr>
              <w:pStyle w:val="ListBullet"/>
            </w:pPr>
            <w:r w:rsidRPr="008D53DF">
              <w:t>Diagnostic, testing and restoration</w:t>
            </w:r>
          </w:p>
          <w:p w:rsidR="00000000" w:rsidRPr="008D53DF" w:rsidP="008D53DF">
            <w:pPr>
              <w:pStyle w:val="ListBullet"/>
            </w:pPr>
            <w:r w:rsidRPr="008D53DF">
              <w:t>Documenting detail work events, record keeping and or storage of information</w:t>
            </w:r>
          </w:p>
          <w:p w:rsidR="00000000" w:rsidRPr="008D53DF" w:rsidP="008D53DF">
            <w:pPr>
              <w:pStyle w:val="ListBullet"/>
            </w:pPr>
            <w:r w:rsidRPr="008D53DF">
              <w:t>Drawings and specifications</w:t>
            </w:r>
          </w:p>
          <w:p w:rsidR="00000000" w:rsidRPr="008D53DF" w:rsidP="008D53DF">
            <w:pPr>
              <w:pStyle w:val="ListBullet"/>
            </w:pPr>
            <w:r w:rsidRPr="008D53DF">
              <w:t>Emergency</w:t>
            </w:r>
          </w:p>
          <w:p w:rsidR="00000000" w:rsidRPr="008D53DF" w:rsidP="008D53DF">
            <w:pPr>
              <w:pStyle w:val="ListBullet"/>
            </w:pPr>
            <w:r w:rsidRPr="008D53DF">
              <w:t>Environmental and sustainable energy procedures</w:t>
            </w:r>
          </w:p>
          <w:p w:rsidR="00000000" w:rsidRPr="008D53DF" w:rsidP="008D53DF">
            <w:pPr>
              <w:pStyle w:val="ListBullet"/>
            </w:pPr>
            <w:r w:rsidRPr="008D53DF">
              <w:t>Environmental legislation</w:t>
            </w:r>
          </w:p>
          <w:p w:rsidR="00000000" w:rsidRPr="008D53DF" w:rsidP="008D53DF">
            <w:pPr>
              <w:pStyle w:val="ListBullet"/>
            </w:pPr>
            <w:r w:rsidRPr="008D53DF">
              <w:t>Environmental management documentation</w:t>
            </w:r>
          </w:p>
          <w:p w:rsidR="00000000" w:rsidRPr="008D53DF" w:rsidP="008D53DF">
            <w:pPr>
              <w:pStyle w:val="ListBullet"/>
            </w:pPr>
            <w:r w:rsidRPr="008D53DF">
              <w:t>Established procedures</w:t>
            </w:r>
          </w:p>
          <w:p w:rsidR="00000000" w:rsidRPr="008D53DF" w:rsidP="008D53DF">
            <w:pPr>
              <w:pStyle w:val="ListBullet"/>
            </w:pPr>
            <w:r w:rsidRPr="008D53DF">
              <w:t>Fall prevention</w:t>
            </w:r>
          </w:p>
          <w:p w:rsidR="00000000" w:rsidRPr="008D53DF" w:rsidP="008D53DF">
            <w:pPr>
              <w:pStyle w:val="ListBullet"/>
            </w:pPr>
            <w:r w:rsidRPr="008D53DF">
              <w:t>Hazards</w:t>
            </w:r>
          </w:p>
          <w:p w:rsidR="00000000" w:rsidRPr="008D53DF" w:rsidP="008D53DF">
            <w:pPr>
              <w:pStyle w:val="ListBullet"/>
            </w:pPr>
            <w:r w:rsidRPr="008D53DF">
              <w:t>Identifying hazards</w:t>
            </w:r>
          </w:p>
          <w:p w:rsidR="00000000" w:rsidRPr="008D53DF" w:rsidP="008D53DF">
            <w:pPr>
              <w:pStyle w:val="ListBullet"/>
            </w:pPr>
            <w:r w:rsidRPr="008D53DF">
              <w:t>Inspect</w:t>
            </w:r>
          </w:p>
          <w:p w:rsidR="00000000" w:rsidRPr="008D53DF" w:rsidP="008D53DF">
            <w:pPr>
              <w:pStyle w:val="ListBullet"/>
            </w:pPr>
            <w:r w:rsidRPr="008D53DF">
              <w:t>Legislation</w:t>
            </w:r>
          </w:p>
          <w:p w:rsidR="00000000" w:rsidRPr="008D53DF" w:rsidP="008D53DF">
            <w:pPr>
              <w:pStyle w:val="ListBullet"/>
            </w:pPr>
            <w:r w:rsidRPr="008D53DF">
              <w:t>MSDS</w:t>
            </w:r>
          </w:p>
          <w:p w:rsidR="00000000" w:rsidRPr="008D53DF" w:rsidP="008D53DF">
            <w:pPr>
              <w:pStyle w:val="ListBullet"/>
            </w:pPr>
            <w:r w:rsidRPr="008D53DF">
              <w:t>Notification</w:t>
            </w:r>
          </w:p>
          <w:p w:rsidR="00000000" w:rsidRPr="008D53DF" w:rsidP="008D53DF">
            <w:pPr>
              <w:pStyle w:val="ListBullet"/>
            </w:pPr>
            <w:r w:rsidRPr="008D53DF">
              <w:t>OHS practices</w:t>
            </w:r>
          </w:p>
          <w:p w:rsidR="00000000" w:rsidRPr="008D53DF" w:rsidP="008D53DF">
            <w:pPr>
              <w:pStyle w:val="ListBullet"/>
            </w:pPr>
            <w:r w:rsidRPr="008D53DF">
              <w:t>OHS issues</w:t>
            </w:r>
          </w:p>
          <w:p w:rsidR="00000000" w:rsidRPr="008D53DF" w:rsidP="008D53DF">
            <w:pPr>
              <w:pStyle w:val="ListBullet"/>
            </w:pPr>
            <w:r w:rsidRPr="008D53DF">
              <w:t>Permits and/o</w:t>
            </w:r>
            <w:r w:rsidRPr="008D53DF">
              <w:t>r permits to work</w:t>
            </w:r>
          </w:p>
          <w:p w:rsidR="00000000" w:rsidRPr="008D53DF" w:rsidP="008D53DF">
            <w:pPr>
              <w:pStyle w:val="ListBullet"/>
            </w:pPr>
            <w:r w:rsidRPr="008D53DF">
              <w:t>Personnel</w:t>
            </w:r>
          </w:p>
          <w:p w:rsidR="00000000" w:rsidRPr="008D53DF" w:rsidP="008D53DF">
            <w:pPr>
              <w:pStyle w:val="ListBullet"/>
            </w:pPr>
            <w:r w:rsidRPr="008D53DF">
              <w:t>Quality assurance systems</w:t>
            </w:r>
          </w:p>
          <w:p w:rsidR="00000000" w:rsidRPr="008D53DF" w:rsidP="008D53DF">
            <w:pPr>
              <w:pStyle w:val="ListBullet"/>
            </w:pPr>
            <w:r w:rsidRPr="008D53DF">
              <w:t>Requirements</w:t>
            </w:r>
          </w:p>
          <w:p w:rsidR="00000000" w:rsidRPr="008D53DF" w:rsidP="008D53DF">
            <w:pPr>
              <w:pStyle w:val="ListBullet"/>
            </w:pPr>
            <w:r w:rsidRPr="008D53DF">
              <w:t>Testing procedures</w:t>
            </w:r>
          </w:p>
          <w:p w:rsidR="00000000" w:rsidRPr="008D53DF" w:rsidP="008D53DF">
            <w:pPr>
              <w:pStyle w:val="ListBullet"/>
            </w:pPr>
            <w:r w:rsidRPr="008D53DF">
              <w:t>Work clearance systems</w:t>
            </w:r>
          </w:p>
        </w:tc>
      </w:tr>
    </w:tbl>
    <w:p w:rsidR="00572728" w:rsidP="008D53DF">
      <w:pPr>
        <w:pStyle w:val="BodyText"/>
      </w:pPr>
    </w:p>
    <w:p w:rsidR="00572728" w:rsidP="008D53DF">
      <w:pPr>
        <w:pStyle w:val="BodyText"/>
      </w:pPr>
    </w:p>
    <w:p w:rsidR="00000000" w:rsidRPr="008D53DF" w:rsidP="008D53DF">
      <w:pPr>
        <w:pStyle w:val="Heading1"/>
      </w:pPr>
      <w:bookmarkStart w:id="12" w:name="O_297259"/>
      <w:bookmarkEnd w:id="12"/>
      <w:r w:rsidRPr="008D53DF">
        <w:t>Unit Sector(s)</w:t>
      </w:r>
    </w:p>
    <w:p w:rsidR="00000000" w:rsidRPr="008D53DF" w:rsidP="008D53DF">
      <w:pPr>
        <w:pStyle w:val="BodyText"/>
      </w:pPr>
      <w:r w:rsidRPr="008D53DF">
        <w:t>Not Applicable</w:t>
      </w:r>
    </w:p>
    <w:p w:rsidR="00000000" w:rsidRPr="008D53DF" w:rsidP="008D53DF">
      <w:pPr>
        <w:pStyle w:val="AllowPageBreak"/>
      </w:pPr>
    </w:p>
    <w:p w:rsidR="00000000" w:rsidRPr="008D53DF" w:rsidP="008D53DF">
      <w:pPr>
        <w:pStyle w:val="Heading1"/>
      </w:pPr>
      <w:bookmarkStart w:id="13" w:name="O_232106"/>
      <w:bookmarkEnd w:id="13"/>
      <w:r w:rsidRPr="008D53DF">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572728">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2</w:t>
            </w:r>
            <w:r w:rsidRPr="008D53DF">
              <w:t>.</w:t>
            </w:r>
            <w:r w:rsidRPr="008D53DF">
              <w:rPr>
                <w:rStyle w:val="SpecialBold"/>
              </w:rPr>
              <w:t>2</w:t>
            </w:r>
            <w:r w:rsidRPr="008D53DF">
              <w:t xml:space="preserve">) </w:t>
            </w:r>
            <w:r w:rsidRPr="008D53DF">
              <w:rPr>
                <w:rStyle w:val="SpecialBold"/>
              </w:rPr>
              <w:t>Literacy and numeracy skills</w:t>
            </w:r>
          </w:p>
          <w:p w:rsidR="00000000" w:rsidP="008D53DF">
            <w:pPr>
              <w:pStyle w:val="BodyText"/>
              <w:rPr>
                <w:lang w:val="en-NZ"/>
              </w:rPr>
            </w:pPr>
            <w:r w:rsidRPr="008D53DF">
              <w:t>Participants are best equipped to achieve this unit if they have reading, writing and numeracy skills indicated by the following scales. Description of each scale is given in Volume 2, Part 3 "Literacy and Numeracy"</w:t>
            </w:r>
          </w:p>
        </w:tc>
      </w:tr>
      <w:tr w:rsidTr="00572728">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Reading</w:t>
            </w:r>
          </w:p>
        </w:tc>
        <w:tc>
          <w:tcPr>
            <w:tcW w:w="1207"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3</w:t>
            </w:r>
          </w:p>
        </w:tc>
        <w:tc>
          <w:tcPr>
            <w:tcW w:w="1776"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Writing</w:t>
            </w:r>
          </w:p>
        </w:tc>
        <w:tc>
          <w:tcPr>
            <w:tcW w:w="1207"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3</w:t>
            </w:r>
          </w:p>
        </w:tc>
        <w:tc>
          <w:tcPr>
            <w:tcW w:w="1758"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t>Numeracy</w:t>
            </w:r>
          </w:p>
        </w:tc>
        <w:tc>
          <w:tcPr>
            <w:tcW w:w="1207" w:type="dxa"/>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t>3</w:t>
            </w:r>
          </w:p>
        </w:tc>
      </w:tr>
    </w:tbl>
    <w:p w:rsidR="00572728" w:rsidP="008D53DF">
      <w:pPr>
        <w:pStyle w:val="BodyText"/>
      </w:pPr>
    </w:p>
    <w:p w:rsidR="00572728" w:rsidP="008D53DF">
      <w:pPr>
        <w:pStyle w:val="BodyText"/>
      </w:pPr>
    </w:p>
    <w:p w:rsidR="00000000" w:rsidRPr="008D53DF" w:rsidP="008D53DF">
      <w:pPr>
        <w:pStyle w:val="Heading1"/>
      </w:pPr>
      <w:bookmarkStart w:id="14" w:name="O_232109"/>
      <w:bookmarkEnd w:id="14"/>
      <w:r w:rsidRPr="008D53DF">
        <w:t>Competency Field</w:t>
      </w:r>
    </w:p>
    <w:tbl>
      <w:tblPr>
        <w:tblW w:w="0" w:type="auto"/>
        <w:tblLayout w:type="fixed"/>
        <w:tblCellMar>
          <w:left w:w="62" w:type="dxa"/>
          <w:right w:w="62" w:type="dxa"/>
        </w:tblCellMar>
        <w:tblLook w:val="0000"/>
      </w:tblPr>
      <w:tblGrid>
        <w:gridCol w:w="2758"/>
        <w:gridCol w:w="5882"/>
      </w:tblGrid>
      <w:tr w:rsidTr="0057272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8D53DF">
            <w:pPr>
              <w:pStyle w:val="BodyText"/>
              <w:rPr>
                <w:lang w:val="en-NZ"/>
              </w:rPr>
            </w:pPr>
            <w:r w:rsidRPr="008D53DF">
              <w:rPr>
                <w:rStyle w:val="SpecialBold"/>
              </w:rPr>
              <w:t>5</w:t>
            </w:r>
            <w:r w:rsidRPr="008D53DF">
              <w:t>)</w:t>
            </w:r>
          </w:p>
        </w:tc>
      </w:tr>
      <w:tr w:rsidTr="0057272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D53DF" w:rsidP="008D53DF">
            <w:pPr>
              <w:pStyle w:val="BodyText"/>
            </w:pPr>
            <w:r w:rsidRPr="008D53DF">
              <w:t>Transmission Units</w:t>
            </w:r>
          </w:p>
        </w:tc>
      </w:tr>
    </w:tbl>
    <w:p w:rsidR="00572728" w:rsidP="008D53DF">
      <w:pPr>
        <w:pStyle w:val="BodyText"/>
      </w:pPr>
    </w:p>
    <w:p w:rsidR="00572728" w:rsidP="008D53DF">
      <w:pPr>
        <w:pStyle w:val="BodyText"/>
      </w:pPr>
    </w:p>
    <w:p w:rsidR="00000000" w:rsidRPr="008D53DF" w:rsidP="008D53DF"/>
    <w:sectPr w:rsidSect="008D53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3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728" w:rsidP="005727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3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28" w:rsidP="008D53D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72728" w:rsidP="008D53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72728" w:rsidP="008D53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3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3DF" w:rsidRPr="00572728" w:rsidP="005727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3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28" w:rsidRPr="002D2AF8" w:rsidP="008D53DF">
    <w:pPr>
      <w:pStyle w:val="Header"/>
      <w:framePr w:wrap="around"/>
    </w:pPr>
    <w:r>
      <w:fldChar w:fldCharType="begin"/>
    </w:r>
    <w:r>
      <w:instrText xml:space="preserve"> TITLE   \* MERGEFORMAT </w:instrText>
    </w:r>
    <w:r>
      <w:fldChar w:fldCharType="separate"/>
    </w:r>
    <w:r>
      <w:t>UETTDRTP10B Inspect overhead structures and electrical apparatus (towers)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572728" w:rsidP="008D53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ACF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F4B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5ED1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3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3DF"/>
    <w:pPr>
      <w:spacing w:before="360" w:after="60"/>
      <w:outlineLvl w:val="0"/>
    </w:pPr>
    <w:rPr>
      <w:sz w:val="32"/>
    </w:rPr>
  </w:style>
  <w:style w:type="paragraph" w:styleId="Heading2">
    <w:name w:val="heading 2"/>
    <w:basedOn w:val="HeadingBase"/>
    <w:next w:val="BodyText"/>
    <w:link w:val="Heading2Char"/>
    <w:qFormat/>
    <w:rsid w:val="008D53DF"/>
    <w:pPr>
      <w:keepLines/>
      <w:spacing w:before="240" w:after="120"/>
      <w:outlineLvl w:val="1"/>
    </w:pPr>
    <w:rPr>
      <w:sz w:val="28"/>
      <w:szCs w:val="40"/>
    </w:rPr>
  </w:style>
  <w:style w:type="paragraph" w:styleId="Heading3">
    <w:name w:val="heading 3"/>
    <w:basedOn w:val="HeadingBase"/>
    <w:next w:val="BodyText"/>
    <w:link w:val="Heading3Char"/>
    <w:qFormat/>
    <w:rsid w:val="008D53DF"/>
    <w:pPr>
      <w:spacing w:before="180" w:after="120"/>
      <w:outlineLvl w:val="2"/>
    </w:pPr>
    <w:rPr>
      <w:spacing w:val="-10"/>
      <w:kern w:val="32"/>
    </w:rPr>
  </w:style>
  <w:style w:type="paragraph" w:styleId="Heading4">
    <w:name w:val="heading 4"/>
    <w:basedOn w:val="HeadingBase"/>
    <w:next w:val="BodyText"/>
    <w:link w:val="Heading4Char"/>
    <w:qFormat/>
    <w:rsid w:val="008D53DF"/>
    <w:pPr>
      <w:spacing w:before="160" w:after="120"/>
      <w:outlineLvl w:val="3"/>
    </w:pPr>
    <w:rPr>
      <w:sz w:val="22"/>
    </w:rPr>
  </w:style>
  <w:style w:type="paragraph" w:styleId="Heading5">
    <w:name w:val="heading 5"/>
    <w:basedOn w:val="HeadingBase"/>
    <w:next w:val="Normal"/>
    <w:link w:val="Heading5Char"/>
    <w:qFormat/>
    <w:rsid w:val="008D53DF"/>
    <w:pPr>
      <w:spacing w:before="80"/>
      <w:outlineLvl w:val="4"/>
    </w:pPr>
    <w:rPr>
      <w:color w:val="918585"/>
      <w:sz w:val="20"/>
    </w:rPr>
  </w:style>
  <w:style w:type="paragraph" w:styleId="Heading6">
    <w:name w:val="heading 6"/>
    <w:basedOn w:val="HeadingBase"/>
    <w:next w:val="Normal"/>
    <w:link w:val="Heading6Char"/>
    <w:qFormat/>
    <w:rsid w:val="008D53DF"/>
    <w:pPr>
      <w:spacing w:before="60"/>
      <w:outlineLvl w:val="5"/>
    </w:pPr>
    <w:rPr>
      <w:color w:val="918585"/>
      <w:sz w:val="20"/>
    </w:rPr>
  </w:style>
  <w:style w:type="paragraph" w:styleId="Heading7">
    <w:name w:val="heading 7"/>
    <w:basedOn w:val="Normal"/>
    <w:next w:val="Normal"/>
    <w:link w:val="Heading7Char"/>
    <w:qFormat/>
    <w:rsid w:val="008D53DF"/>
    <w:pPr>
      <w:ind w:left="720"/>
      <w:outlineLvl w:val="6"/>
    </w:pPr>
    <w:rPr>
      <w:i/>
    </w:rPr>
  </w:style>
  <w:style w:type="paragraph" w:styleId="Heading8">
    <w:name w:val="heading 8"/>
    <w:basedOn w:val="Normal"/>
    <w:next w:val="Normal"/>
    <w:link w:val="Heading8Char"/>
    <w:qFormat/>
    <w:rsid w:val="008D53DF"/>
    <w:pPr>
      <w:ind w:left="720"/>
      <w:outlineLvl w:val="7"/>
    </w:pPr>
    <w:rPr>
      <w:i/>
    </w:rPr>
  </w:style>
  <w:style w:type="paragraph" w:styleId="Heading9">
    <w:name w:val="heading 9"/>
    <w:basedOn w:val="Normal"/>
    <w:next w:val="Normal"/>
    <w:link w:val="Heading9Char"/>
    <w:qFormat/>
    <w:rsid w:val="008D53DF"/>
    <w:pPr>
      <w:ind w:left="720"/>
      <w:outlineLvl w:val="8"/>
    </w:pPr>
    <w:rPr>
      <w:i/>
    </w:rPr>
  </w:style>
  <w:style w:type="character" w:default="1" w:styleId="DefaultParagraphFont">
    <w:name w:val="Default Paragraph Font"/>
    <w:uiPriority w:val="1"/>
    <w:unhideWhenUsed/>
    <w:rsid w:val="008D53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3DF"/>
  </w:style>
  <w:style w:type="character" w:customStyle="1" w:styleId="Heading1Char">
    <w:name w:val="Heading 1 Char"/>
    <w:basedOn w:val="DefaultParagraphFont"/>
    <w:link w:val="Heading1"/>
    <w:rsid w:val="008D53DF"/>
    <w:rPr>
      <w:rFonts w:ascii="Times New Roman" w:eastAsia="Times New Roman" w:hAnsi="Times New Roman" w:cs="Times New Roman"/>
      <w:b/>
      <w:sz w:val="32"/>
      <w:szCs w:val="20"/>
      <w:lang w:eastAsia="en-US"/>
    </w:rPr>
  </w:style>
  <w:style w:type="paragraph" w:styleId="BodyText">
    <w:name w:val="Body Text"/>
    <w:basedOn w:val="Normal"/>
    <w:link w:val="BodyTextChar"/>
    <w:rsid w:val="008D53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53DF"/>
    <w:rPr>
      <w:rFonts w:ascii="Times New Roman" w:eastAsia="Times New Roman" w:hAnsi="Times New Roman" w:cs="Times New Roman"/>
      <w:sz w:val="24"/>
      <w:lang w:eastAsia="en-US"/>
    </w:rPr>
  </w:style>
  <w:style w:type="paragraph" w:styleId="Footer">
    <w:name w:val="footer"/>
    <w:basedOn w:val="Normal"/>
    <w:link w:val="FooterChar"/>
    <w:rsid w:val="008D53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3DF"/>
    <w:rPr>
      <w:rFonts w:ascii="Times New Roman" w:eastAsia="Times New Roman" w:hAnsi="Times New Roman" w:cs="Times New Roman"/>
      <w:sz w:val="16"/>
      <w:lang w:eastAsia="en-US"/>
    </w:rPr>
  </w:style>
  <w:style w:type="paragraph" w:styleId="ListBullet">
    <w:name w:val="List Bullet"/>
    <w:basedOn w:val="List"/>
    <w:rsid w:val="008D53DF"/>
    <w:pPr>
      <w:numPr>
        <w:numId w:val="13"/>
      </w:numPr>
      <w:tabs>
        <w:tab w:val="clear" w:pos="340"/>
      </w:tabs>
      <w:spacing w:before="40" w:after="40"/>
    </w:pPr>
  </w:style>
  <w:style w:type="character" w:customStyle="1" w:styleId="SpecialBold">
    <w:name w:val="Special Bold"/>
    <w:basedOn w:val="DefaultParagraphFont"/>
    <w:rsid w:val="008D53DF"/>
    <w:rPr>
      <w:b/>
      <w:spacing w:val="0"/>
    </w:rPr>
  </w:style>
  <w:style w:type="paragraph" w:styleId="ListBullet2">
    <w:name w:val="List Bullet 2"/>
    <w:basedOn w:val="List2"/>
    <w:rsid w:val="008D53DF"/>
    <w:pPr>
      <w:numPr>
        <w:numId w:val="14"/>
      </w:numPr>
      <w:tabs>
        <w:tab w:val="clear" w:pos="680"/>
      </w:tabs>
    </w:pPr>
  </w:style>
  <w:style w:type="paragraph" w:customStyle="1" w:styleId="SuperHeading">
    <w:name w:val="SuperHeading"/>
    <w:basedOn w:val="Normal"/>
    <w:rsid w:val="008D53DF"/>
    <w:pPr>
      <w:spacing w:before="240" w:after="120"/>
      <w:outlineLvl w:val="0"/>
    </w:pPr>
    <w:rPr>
      <w:rFonts w:ascii="Times New Roman" w:hAnsi="Times New Roman"/>
      <w:b/>
      <w:sz w:val="28"/>
    </w:rPr>
  </w:style>
  <w:style w:type="paragraph" w:customStyle="1" w:styleId="AllowPageBreak">
    <w:name w:val="AllowPageBreak"/>
    <w:rsid w:val="008D53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53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3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3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3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3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3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3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3DF"/>
    <w:rPr>
      <w:rFonts w:ascii="Courier New" w:eastAsia="Times New Roman" w:hAnsi="Courier New" w:cs="Times New Roman"/>
      <w:i/>
      <w:szCs w:val="20"/>
      <w:lang w:eastAsia="en-US"/>
    </w:rPr>
  </w:style>
  <w:style w:type="paragraph" w:customStyle="1" w:styleId="HeadingBase">
    <w:name w:val="Heading Base"/>
    <w:rsid w:val="008D53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3DF"/>
    <w:pPr>
      <w:tabs>
        <w:tab w:val="right" w:leader="dot" w:pos="9072"/>
      </w:tabs>
      <w:ind w:left="567"/>
    </w:pPr>
    <w:rPr>
      <w:szCs w:val="22"/>
    </w:rPr>
  </w:style>
  <w:style w:type="paragraph" w:customStyle="1" w:styleId="TOCBase">
    <w:name w:val="TOC Base"/>
    <w:rsid w:val="008D53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3DF"/>
    <w:pPr>
      <w:tabs>
        <w:tab w:val="right" w:leader="dot" w:pos="9072"/>
      </w:tabs>
      <w:spacing w:before="40" w:after="40"/>
      <w:ind w:left="284"/>
    </w:pPr>
    <w:rPr>
      <w:rFonts w:ascii="Times New Roman" w:hAnsi="Times New Roman"/>
    </w:rPr>
  </w:style>
  <w:style w:type="paragraph" w:styleId="TOC1">
    <w:name w:val="toc 1"/>
    <w:basedOn w:val="TOCBase"/>
    <w:next w:val="Normal"/>
    <w:rsid w:val="008D53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53DF"/>
    <w:pPr>
      <w:spacing w:before="5040"/>
      <w:jc w:val="center"/>
    </w:pPr>
    <w:rPr>
      <w:sz w:val="48"/>
      <w:szCs w:val="72"/>
      <w:lang w:val="en-US"/>
    </w:rPr>
  </w:style>
  <w:style w:type="character" w:customStyle="1" w:styleId="TitleChar">
    <w:name w:val="Title Char"/>
    <w:basedOn w:val="DefaultParagraphFont"/>
    <w:link w:val="Title"/>
    <w:rsid w:val="008D53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3DF"/>
    <w:pPr>
      <w:tabs>
        <w:tab w:val="left" w:pos="3600"/>
        <w:tab w:val="left" w:pos="3958"/>
      </w:tabs>
    </w:pPr>
  </w:style>
  <w:style w:type="paragraph" w:styleId="List">
    <w:name w:val="List"/>
    <w:basedOn w:val="BodyText"/>
    <w:next w:val="BodyText"/>
    <w:rsid w:val="008D53DF"/>
    <w:pPr>
      <w:tabs>
        <w:tab w:val="left" w:pos="340"/>
      </w:tabs>
      <w:spacing w:before="60" w:after="60"/>
      <w:ind w:left="340" w:hanging="340"/>
    </w:pPr>
  </w:style>
  <w:style w:type="paragraph" w:customStyle="1" w:styleId="Note">
    <w:name w:val="Note"/>
    <w:basedOn w:val="BodyText"/>
    <w:rsid w:val="008D53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3DF"/>
    <w:pPr>
      <w:framePr w:wrap="auto" w:hAnchor="text" w:y="6049"/>
    </w:pPr>
    <w:rPr>
      <w:color w:val="000000"/>
      <w:sz w:val="40"/>
    </w:rPr>
  </w:style>
  <w:style w:type="paragraph" w:customStyle="1" w:styleId="TOCTitle">
    <w:name w:val="TOCTitle"/>
    <w:basedOn w:val="Heading1"/>
    <w:rsid w:val="008D53DF"/>
    <w:pPr>
      <w:spacing w:after="240"/>
      <w:jc w:val="center"/>
      <w:outlineLvl w:val="9"/>
    </w:pPr>
    <w:rPr>
      <w:caps/>
    </w:rPr>
  </w:style>
  <w:style w:type="paragraph" w:customStyle="1" w:styleId="Version">
    <w:name w:val="Version"/>
    <w:rsid w:val="008D53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3DF"/>
    <w:pPr>
      <w:keepNext w:val="0"/>
      <w:tabs>
        <w:tab w:val="right" w:pos="4176"/>
      </w:tabs>
      <w:ind w:left="198" w:hanging="198"/>
    </w:pPr>
    <w:rPr>
      <w:rFonts w:ascii="Garamond" w:hAnsi="Garamond"/>
    </w:rPr>
  </w:style>
  <w:style w:type="paragraph" w:styleId="IndexHeading">
    <w:name w:val="index heading"/>
    <w:basedOn w:val="Normal"/>
    <w:next w:val="Index1"/>
    <w:semiHidden/>
    <w:rsid w:val="008D53DF"/>
    <w:pPr>
      <w:spacing w:before="120" w:after="120"/>
    </w:pPr>
    <w:rPr>
      <w:rFonts w:ascii="Arial" w:hAnsi="Arial"/>
      <w:b/>
      <w:color w:val="918585"/>
      <w:sz w:val="24"/>
    </w:rPr>
  </w:style>
  <w:style w:type="paragraph" w:styleId="Header">
    <w:name w:val="header"/>
    <w:basedOn w:val="Normal"/>
    <w:link w:val="HeaderChar"/>
    <w:rsid w:val="008D53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3DF"/>
    <w:rPr>
      <w:rFonts w:ascii="Times New Roman" w:eastAsia="Times New Roman" w:hAnsi="Times New Roman" w:cs="Times New Roman"/>
      <w:sz w:val="16"/>
      <w:szCs w:val="20"/>
      <w:lang w:val="en-GB" w:eastAsia="en-US"/>
    </w:rPr>
  </w:style>
  <w:style w:type="paragraph" w:customStyle="1" w:styleId="Chapter">
    <w:name w:val="Chapter"/>
    <w:basedOn w:val="Normal"/>
    <w:rsid w:val="008D53DF"/>
    <w:pPr>
      <w:spacing w:before="240"/>
    </w:pPr>
    <w:rPr>
      <w:rFonts w:ascii="Times New Roman" w:hAnsi="Times New Roman"/>
      <w:smallCaps/>
      <w:spacing w:val="80"/>
      <w:sz w:val="28"/>
    </w:rPr>
  </w:style>
  <w:style w:type="paragraph" w:customStyle="1" w:styleId="InChapter">
    <w:name w:val="InChapter"/>
    <w:basedOn w:val="Heading3"/>
    <w:rsid w:val="008D53DF"/>
    <w:pPr>
      <w:spacing w:after="240"/>
      <w:outlineLvl w:val="9"/>
    </w:pPr>
    <w:rPr>
      <w:noProof/>
    </w:rPr>
  </w:style>
  <w:style w:type="paragraph" w:styleId="Index2">
    <w:name w:val="index 2"/>
    <w:basedOn w:val="Normal"/>
    <w:next w:val="Normal"/>
    <w:semiHidden/>
    <w:rsid w:val="008D53DF"/>
    <w:pPr>
      <w:tabs>
        <w:tab w:val="right" w:pos="4176"/>
      </w:tabs>
      <w:ind w:left="568" w:hanging="284"/>
    </w:pPr>
    <w:rPr>
      <w:rFonts w:ascii="Garamond" w:hAnsi="Garamond"/>
    </w:rPr>
  </w:style>
  <w:style w:type="paragraph" w:customStyle="1" w:styleId="Byline">
    <w:name w:val="Byline"/>
    <w:rsid w:val="008D53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3DF"/>
    <w:pPr>
      <w:tabs>
        <w:tab w:val="clear" w:pos="3600"/>
        <w:tab w:val="clear" w:pos="3958"/>
      </w:tabs>
      <w:jc w:val="right"/>
    </w:pPr>
  </w:style>
  <w:style w:type="character" w:styleId="Emphasis">
    <w:name w:val="Emphasis"/>
    <w:basedOn w:val="DefaultParagraphFont"/>
    <w:qFormat/>
    <w:rsid w:val="008D53DF"/>
    <w:rPr>
      <w:i/>
    </w:rPr>
  </w:style>
  <w:style w:type="paragraph" w:styleId="Caption">
    <w:name w:val="caption"/>
    <w:basedOn w:val="BodyText"/>
    <w:next w:val="Normal"/>
    <w:qFormat/>
    <w:rsid w:val="008D53DF"/>
    <w:pPr>
      <w:framePr w:w="2268" w:hSpace="181" w:vSpace="181" w:wrap="around" w:vAnchor="text" w:hAnchor="page" w:x="1135" w:y="285" w:anchorLock="1"/>
    </w:pPr>
    <w:rPr>
      <w:i/>
    </w:rPr>
  </w:style>
  <w:style w:type="paragraph" w:customStyle="1" w:styleId="MiniTOCTitle">
    <w:name w:val="MiniTOCTitle"/>
    <w:basedOn w:val="Heading4"/>
    <w:rsid w:val="008D53DF"/>
    <w:pPr>
      <w:spacing w:before="240"/>
      <w:outlineLvl w:val="9"/>
    </w:pPr>
    <w:rPr>
      <w:noProof/>
      <w:sz w:val="24"/>
    </w:rPr>
  </w:style>
  <w:style w:type="paragraph" w:customStyle="1" w:styleId="MiniTOCItem">
    <w:name w:val="MiniTOCItem"/>
    <w:basedOn w:val="ListBullet"/>
    <w:rsid w:val="008D53DF"/>
    <w:pPr>
      <w:numPr>
        <w:numId w:val="0"/>
      </w:numPr>
      <w:tabs>
        <w:tab w:val="right" w:leader="dot" w:pos="6521"/>
      </w:tabs>
      <w:spacing w:before="0" w:after="0"/>
    </w:pPr>
  </w:style>
  <w:style w:type="paragraph" w:customStyle="1" w:styleId="TOFTitle">
    <w:name w:val="TOFTitle"/>
    <w:basedOn w:val="TOCTitle"/>
    <w:rsid w:val="008D53DF"/>
  </w:style>
  <w:style w:type="paragraph" w:styleId="TableofFigures">
    <w:name w:val="table of figures"/>
    <w:basedOn w:val="Normal"/>
    <w:next w:val="Normal"/>
    <w:semiHidden/>
    <w:rsid w:val="008D53DF"/>
    <w:pPr>
      <w:tabs>
        <w:tab w:val="right" w:leader="dot" w:pos="9072"/>
      </w:tabs>
      <w:ind w:left="970" w:hanging="403"/>
    </w:pPr>
    <w:rPr>
      <w:rFonts w:ascii="Times New Roman" w:hAnsi="Times New Roman"/>
      <w:b/>
    </w:rPr>
  </w:style>
  <w:style w:type="paragraph" w:styleId="ListNumber">
    <w:name w:val="List Number"/>
    <w:basedOn w:val="List"/>
    <w:rsid w:val="008D53DF"/>
    <w:pPr>
      <w:numPr>
        <w:numId w:val="11"/>
      </w:numPr>
    </w:pPr>
  </w:style>
  <w:style w:type="character" w:customStyle="1" w:styleId="WingdingSymbols">
    <w:name w:val="Wingding Symbols"/>
    <w:rsid w:val="008D53DF"/>
    <w:rPr>
      <w:rFonts w:ascii="Wingdings" w:hAnsi="Wingdings"/>
    </w:rPr>
  </w:style>
  <w:style w:type="paragraph" w:customStyle="1" w:styleId="TableHeading">
    <w:name w:val="Table Heading"/>
    <w:basedOn w:val="HeadingBase"/>
    <w:rsid w:val="008D53DF"/>
    <w:pPr>
      <w:keepLines/>
      <w:pBdr>
        <w:bottom w:val="single" w:sz="6" w:space="1" w:color="918585"/>
      </w:pBdr>
      <w:spacing w:before="240"/>
    </w:pPr>
  </w:style>
  <w:style w:type="character" w:customStyle="1" w:styleId="HotSpot">
    <w:name w:val="HotSpot"/>
    <w:rsid w:val="008D53DF"/>
    <w:rPr>
      <w:color w:val="0033CC"/>
      <w:u w:val="none"/>
    </w:rPr>
  </w:style>
  <w:style w:type="paragraph" w:customStyle="1" w:styleId="BodyTextRight">
    <w:name w:val="Body Text Right"/>
    <w:basedOn w:val="BodyText"/>
    <w:rsid w:val="008D53DF"/>
    <w:pPr>
      <w:spacing w:before="0" w:after="0"/>
      <w:jc w:val="right"/>
    </w:pPr>
  </w:style>
  <w:style w:type="paragraph" w:styleId="Index3">
    <w:name w:val="index 3"/>
    <w:basedOn w:val="ListNumber2"/>
    <w:next w:val="Normal"/>
    <w:semiHidden/>
    <w:rsid w:val="008D53DF"/>
    <w:pPr>
      <w:numPr>
        <w:numId w:val="0"/>
      </w:numPr>
      <w:tabs>
        <w:tab w:val="right" w:leader="dot" w:pos="4176"/>
      </w:tabs>
    </w:pPr>
  </w:style>
  <w:style w:type="paragraph" w:styleId="ListNumber2">
    <w:name w:val="List Number 2"/>
    <w:basedOn w:val="List2"/>
    <w:rsid w:val="008D53DF"/>
    <w:pPr>
      <w:numPr>
        <w:numId w:val="10"/>
      </w:numPr>
      <w:tabs>
        <w:tab w:val="clear" w:pos="1060"/>
      </w:tabs>
    </w:pPr>
  </w:style>
  <w:style w:type="paragraph" w:customStyle="1" w:styleId="MarginNote">
    <w:name w:val="Margin Note"/>
    <w:basedOn w:val="BodyText"/>
    <w:rsid w:val="008D53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3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3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3DF"/>
    <w:rPr>
      <w:sz w:val="32"/>
    </w:rPr>
  </w:style>
  <w:style w:type="paragraph" w:customStyle="1" w:styleId="HeadingProcedure">
    <w:name w:val="Heading Procedure"/>
    <w:basedOn w:val="HeadingBase"/>
    <w:next w:val="Normal"/>
    <w:rsid w:val="008D53DF"/>
    <w:pPr>
      <w:tabs>
        <w:tab w:val="left" w:pos="0"/>
      </w:tabs>
      <w:spacing w:before="120" w:after="60"/>
    </w:pPr>
    <w:rPr>
      <w:i/>
      <w:color w:val="918585"/>
      <w:sz w:val="22"/>
    </w:rPr>
  </w:style>
  <w:style w:type="paragraph" w:customStyle="1" w:styleId="TableBodyText">
    <w:name w:val="Table Body Text"/>
    <w:basedOn w:val="BodyText"/>
    <w:rsid w:val="008D53DF"/>
    <w:pPr>
      <w:spacing w:before="60" w:after="60"/>
    </w:pPr>
  </w:style>
  <w:style w:type="paragraph" w:styleId="ListContinue">
    <w:name w:val="List Continue"/>
    <w:basedOn w:val="List"/>
    <w:rsid w:val="008D53DF"/>
    <w:pPr>
      <w:ind w:firstLine="0"/>
    </w:pPr>
  </w:style>
  <w:style w:type="paragraph" w:customStyle="1" w:styleId="ListNote">
    <w:name w:val="List Note"/>
    <w:basedOn w:val="List"/>
    <w:rsid w:val="008D53DF"/>
    <w:pPr>
      <w:pBdr>
        <w:top w:val="single" w:sz="6" w:space="2" w:color="918585"/>
        <w:bottom w:val="single" w:sz="6" w:space="2" w:color="918585"/>
      </w:pBdr>
      <w:tabs>
        <w:tab w:val="left" w:pos="1021"/>
      </w:tabs>
      <w:ind w:firstLine="0"/>
    </w:pPr>
  </w:style>
  <w:style w:type="paragraph" w:customStyle="1" w:styleId="Warning">
    <w:name w:val="Warning"/>
    <w:basedOn w:val="BodyText"/>
    <w:rsid w:val="008D53DF"/>
    <w:pPr>
      <w:shd w:val="clear" w:color="auto" w:fill="D9D9D9"/>
      <w:tabs>
        <w:tab w:val="left" w:pos="992"/>
      </w:tabs>
      <w:ind w:left="119" w:right="119"/>
    </w:pPr>
    <w:rPr>
      <w:sz w:val="20"/>
    </w:rPr>
  </w:style>
  <w:style w:type="paragraph" w:customStyle="1" w:styleId="MarginIcons">
    <w:name w:val="Margin Icons"/>
    <w:basedOn w:val="BodyText"/>
    <w:rsid w:val="008D53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3DF"/>
    <w:rPr>
      <w:rFonts w:ascii="Courier New" w:hAnsi="Courier New"/>
    </w:rPr>
  </w:style>
  <w:style w:type="paragraph" w:customStyle="1" w:styleId="NoteBullet">
    <w:name w:val="Note Bullet"/>
    <w:basedOn w:val="Note"/>
    <w:rsid w:val="008D53DF"/>
    <w:pPr>
      <w:tabs>
        <w:tab w:val="clear" w:pos="680"/>
      </w:tabs>
      <w:spacing w:before="60" w:after="60"/>
    </w:pPr>
  </w:style>
  <w:style w:type="paragraph" w:customStyle="1" w:styleId="SubHeading2">
    <w:name w:val="SubHeading2"/>
    <w:basedOn w:val="HeadingBase"/>
    <w:rsid w:val="008D53DF"/>
    <w:pPr>
      <w:spacing w:before="240" w:after="60"/>
    </w:pPr>
    <w:rPr>
      <w:sz w:val="20"/>
    </w:rPr>
  </w:style>
  <w:style w:type="paragraph" w:customStyle="1" w:styleId="SubHeading1">
    <w:name w:val="SubHeading1"/>
    <w:basedOn w:val="HeadingBase"/>
    <w:rsid w:val="008D53DF"/>
    <w:pPr>
      <w:spacing w:before="240" w:after="60"/>
    </w:pPr>
    <w:rPr>
      <w:color w:val="918585"/>
      <w:sz w:val="22"/>
    </w:rPr>
  </w:style>
  <w:style w:type="paragraph" w:customStyle="1" w:styleId="SideHeading">
    <w:name w:val="Side Heading"/>
    <w:basedOn w:val="HeadingBase"/>
    <w:rsid w:val="008D53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3DF"/>
    <w:pPr>
      <w:numPr>
        <w:numId w:val="12"/>
      </w:numPr>
    </w:pPr>
  </w:style>
  <w:style w:type="paragraph" w:styleId="PlainText">
    <w:name w:val="Plain Text"/>
    <w:basedOn w:val="Normal"/>
    <w:link w:val="PlainTextChar"/>
    <w:rsid w:val="008D53DF"/>
    <w:rPr>
      <w:sz w:val="20"/>
    </w:rPr>
  </w:style>
  <w:style w:type="character" w:customStyle="1" w:styleId="PlainTextChar">
    <w:name w:val="Plain Text Char"/>
    <w:basedOn w:val="DefaultParagraphFont"/>
    <w:link w:val="PlainText"/>
    <w:rsid w:val="008D53DF"/>
    <w:rPr>
      <w:rFonts w:ascii="Courier New" w:eastAsia="Times New Roman" w:hAnsi="Courier New" w:cs="Times New Roman"/>
      <w:sz w:val="20"/>
      <w:szCs w:val="20"/>
      <w:lang w:eastAsia="en-US"/>
    </w:rPr>
  </w:style>
  <w:style w:type="character" w:customStyle="1" w:styleId="MenuOption">
    <w:name w:val="Menu Option"/>
    <w:basedOn w:val="DefaultParagraphFont"/>
    <w:rsid w:val="008D53DF"/>
    <w:rPr>
      <w:b/>
      <w:smallCaps/>
    </w:rPr>
  </w:style>
  <w:style w:type="paragraph" w:customStyle="1" w:styleId="TableListNumber">
    <w:name w:val="Table List Number"/>
    <w:basedOn w:val="ListNumber"/>
    <w:rsid w:val="008D53DF"/>
    <w:pPr>
      <w:numPr>
        <w:numId w:val="0"/>
      </w:numPr>
    </w:pPr>
  </w:style>
  <w:style w:type="paragraph" w:styleId="TOC4">
    <w:name w:val="toc 4"/>
    <w:basedOn w:val="TOCBase"/>
    <w:next w:val="Normal"/>
    <w:semiHidden/>
    <w:rsid w:val="008D53DF"/>
    <w:pPr>
      <w:tabs>
        <w:tab w:val="right" w:leader="dot" w:pos="9071"/>
      </w:tabs>
      <w:ind w:left="1701"/>
    </w:pPr>
  </w:style>
  <w:style w:type="paragraph" w:customStyle="1" w:styleId="ListAlpha">
    <w:name w:val="List Alpha"/>
    <w:basedOn w:val="List"/>
    <w:rsid w:val="008D53DF"/>
    <w:pPr>
      <w:numPr>
        <w:numId w:val="9"/>
      </w:numPr>
    </w:pPr>
  </w:style>
  <w:style w:type="paragraph" w:customStyle="1" w:styleId="ListAlpha2">
    <w:name w:val="List Alpha 2"/>
    <w:basedOn w:val="List2"/>
    <w:rsid w:val="008D53DF"/>
    <w:pPr>
      <w:numPr>
        <w:numId w:val="8"/>
      </w:numPr>
    </w:pPr>
  </w:style>
  <w:style w:type="paragraph" w:styleId="List2">
    <w:name w:val="List 2"/>
    <w:basedOn w:val="BodyText"/>
    <w:rsid w:val="008D53DF"/>
    <w:pPr>
      <w:tabs>
        <w:tab w:val="left" w:pos="680"/>
      </w:tabs>
      <w:spacing w:before="60" w:after="60"/>
      <w:ind w:left="680" w:hanging="340"/>
    </w:pPr>
  </w:style>
  <w:style w:type="paragraph" w:styleId="List3">
    <w:name w:val="List 3"/>
    <w:basedOn w:val="BodyText"/>
    <w:rsid w:val="008D53DF"/>
    <w:pPr>
      <w:tabs>
        <w:tab w:val="left" w:pos="1021"/>
      </w:tabs>
      <w:spacing w:before="60" w:after="60"/>
      <w:ind w:left="1020" w:hanging="340"/>
    </w:pPr>
  </w:style>
  <w:style w:type="paragraph" w:styleId="List4">
    <w:name w:val="List 4"/>
    <w:basedOn w:val="BodyText"/>
    <w:rsid w:val="008D53DF"/>
    <w:pPr>
      <w:tabs>
        <w:tab w:val="left" w:pos="1361"/>
      </w:tabs>
      <w:spacing w:before="60" w:after="60"/>
      <w:ind w:left="1361" w:hanging="340"/>
    </w:pPr>
  </w:style>
  <w:style w:type="paragraph" w:styleId="List5">
    <w:name w:val="List 5"/>
    <w:basedOn w:val="BodyText"/>
    <w:rsid w:val="008D53DF"/>
    <w:pPr>
      <w:tabs>
        <w:tab w:val="left" w:pos="1701"/>
      </w:tabs>
      <w:spacing w:before="60" w:after="60"/>
      <w:ind w:left="1701" w:hanging="340"/>
    </w:pPr>
  </w:style>
  <w:style w:type="paragraph" w:styleId="ListBullet3">
    <w:name w:val="List Bullet 3"/>
    <w:basedOn w:val="List3"/>
    <w:rsid w:val="008D53DF"/>
    <w:pPr>
      <w:numPr>
        <w:numId w:val="15"/>
      </w:numPr>
      <w:tabs>
        <w:tab w:val="clear" w:pos="1021"/>
      </w:tabs>
      <w:ind w:left="1037" w:hanging="357"/>
    </w:pPr>
  </w:style>
  <w:style w:type="paragraph" w:styleId="ListBullet4">
    <w:name w:val="List Bullet 4"/>
    <w:basedOn w:val="List4"/>
    <w:rsid w:val="008D53DF"/>
    <w:pPr>
      <w:numPr>
        <w:numId w:val="3"/>
      </w:numPr>
    </w:pPr>
  </w:style>
  <w:style w:type="paragraph" w:styleId="ListBullet5">
    <w:name w:val="List Bullet 5"/>
    <w:basedOn w:val="List5"/>
    <w:rsid w:val="008D53DF"/>
    <w:pPr>
      <w:numPr>
        <w:numId w:val="4"/>
      </w:numPr>
    </w:pPr>
  </w:style>
  <w:style w:type="paragraph" w:styleId="ListContinue2">
    <w:name w:val="List Continue 2"/>
    <w:basedOn w:val="List2"/>
    <w:rsid w:val="008D53DF"/>
    <w:pPr>
      <w:ind w:firstLine="0"/>
    </w:pPr>
  </w:style>
  <w:style w:type="paragraph" w:styleId="ListContinue3">
    <w:name w:val="List Continue 3"/>
    <w:basedOn w:val="List3"/>
    <w:rsid w:val="008D53DF"/>
    <w:pPr>
      <w:ind w:left="1021" w:firstLine="0"/>
    </w:pPr>
  </w:style>
  <w:style w:type="paragraph" w:styleId="ListContinue4">
    <w:name w:val="List Continue 4"/>
    <w:basedOn w:val="List4"/>
    <w:rsid w:val="008D53DF"/>
    <w:pPr>
      <w:ind w:firstLine="0"/>
    </w:pPr>
  </w:style>
  <w:style w:type="paragraph" w:styleId="ListContinue5">
    <w:name w:val="List Continue 5"/>
    <w:basedOn w:val="List5"/>
    <w:rsid w:val="008D53DF"/>
    <w:pPr>
      <w:ind w:firstLine="0"/>
    </w:pPr>
  </w:style>
  <w:style w:type="paragraph" w:styleId="ListNumber3">
    <w:name w:val="List Number 3"/>
    <w:basedOn w:val="List3"/>
    <w:rsid w:val="008D53DF"/>
    <w:pPr>
      <w:numPr>
        <w:numId w:val="5"/>
      </w:numPr>
    </w:pPr>
  </w:style>
  <w:style w:type="paragraph" w:styleId="ListNumber4">
    <w:name w:val="List Number 4"/>
    <w:basedOn w:val="List4"/>
    <w:rsid w:val="008D53DF"/>
    <w:pPr>
      <w:numPr>
        <w:numId w:val="6"/>
      </w:numPr>
    </w:pPr>
  </w:style>
  <w:style w:type="paragraph" w:styleId="ListNumber5">
    <w:name w:val="List Number 5"/>
    <w:basedOn w:val="List5"/>
    <w:rsid w:val="008D53DF"/>
    <w:pPr>
      <w:numPr>
        <w:numId w:val="7"/>
      </w:numPr>
    </w:pPr>
  </w:style>
  <w:style w:type="paragraph" w:styleId="BlockText">
    <w:name w:val="Block Text"/>
    <w:basedOn w:val="Normal"/>
    <w:rsid w:val="008D53DF"/>
    <w:pPr>
      <w:spacing w:after="120"/>
      <w:ind w:left="1440" w:right="1440"/>
    </w:pPr>
  </w:style>
  <w:style w:type="character" w:customStyle="1" w:styleId="Subscript">
    <w:name w:val="Subscript"/>
    <w:basedOn w:val="DefaultParagraphFont"/>
    <w:rsid w:val="008D53DF"/>
    <w:rPr>
      <w:sz w:val="16"/>
      <w:vertAlign w:val="subscript"/>
    </w:rPr>
  </w:style>
  <w:style w:type="character" w:customStyle="1" w:styleId="Superscript">
    <w:name w:val="Superscript"/>
    <w:basedOn w:val="DefaultParagraphFont"/>
    <w:rsid w:val="008D53DF"/>
    <w:rPr>
      <w:sz w:val="16"/>
      <w:vertAlign w:val="superscript"/>
    </w:rPr>
  </w:style>
  <w:style w:type="character" w:customStyle="1" w:styleId="Symbols">
    <w:name w:val="Symbols"/>
    <w:basedOn w:val="DefaultParagraphFont"/>
    <w:rsid w:val="008D53DF"/>
    <w:rPr>
      <w:rFonts w:ascii="Symbol" w:hAnsi="Symbol"/>
    </w:rPr>
  </w:style>
  <w:style w:type="character" w:customStyle="1" w:styleId="MenuOptions">
    <w:name w:val="Menu Options"/>
    <w:basedOn w:val="DefaultParagraphFont"/>
    <w:rsid w:val="008D53DF"/>
    <w:rPr>
      <w:rFonts w:ascii="Arial Narrow" w:hAnsi="Arial Narrow"/>
      <w:smallCaps/>
    </w:rPr>
  </w:style>
  <w:style w:type="character" w:customStyle="1" w:styleId="Buttons">
    <w:name w:val="Buttons"/>
    <w:basedOn w:val="DefaultParagraphFont"/>
    <w:rsid w:val="008D53DF"/>
    <w:rPr>
      <w:b/>
    </w:rPr>
  </w:style>
  <w:style w:type="character" w:customStyle="1" w:styleId="Underlined">
    <w:name w:val="Underlined"/>
    <w:basedOn w:val="DefaultParagraphFont"/>
    <w:rsid w:val="008D53DF"/>
    <w:rPr>
      <w:u w:val="single"/>
    </w:rPr>
  </w:style>
  <w:style w:type="paragraph" w:customStyle="1" w:styleId="TableBodyTextRight">
    <w:name w:val="Table Body Text Right"/>
    <w:basedOn w:val="TableBodyText"/>
    <w:rsid w:val="008D53DF"/>
    <w:pPr>
      <w:widowControl w:val="0"/>
      <w:autoSpaceDE w:val="0"/>
      <w:autoSpaceDN w:val="0"/>
      <w:adjustRightInd w:val="0"/>
      <w:jc w:val="right"/>
    </w:pPr>
    <w:rPr>
      <w:rFonts w:cs="Arial"/>
      <w:szCs w:val="18"/>
    </w:rPr>
  </w:style>
  <w:style w:type="paragraph" w:customStyle="1" w:styleId="CopyrightText">
    <w:name w:val="Copyright Text"/>
    <w:basedOn w:val="BodyText"/>
    <w:rsid w:val="008D53DF"/>
    <w:rPr>
      <w:sz w:val="18"/>
    </w:rPr>
  </w:style>
  <w:style w:type="paragraph" w:customStyle="1" w:styleId="BodySmallRight">
    <w:name w:val="Body Small Right"/>
    <w:basedOn w:val="BodyTextRight"/>
    <w:rsid w:val="008D53DF"/>
    <w:rPr>
      <w:sz w:val="18"/>
      <w:szCs w:val="18"/>
    </w:rPr>
  </w:style>
  <w:style w:type="paragraph" w:customStyle="1" w:styleId="MarginEdition">
    <w:name w:val="Margin Edition"/>
    <w:basedOn w:val="MarginNote"/>
    <w:rsid w:val="008D53DF"/>
    <w:pPr>
      <w:spacing w:before="0" w:after="0"/>
    </w:pPr>
    <w:rPr>
      <w:rFonts w:ascii="Times New Roman" w:hAnsi="Times New Roman"/>
      <w:color w:val="999999"/>
    </w:rPr>
  </w:style>
  <w:style w:type="paragraph" w:customStyle="1" w:styleId="Spacer">
    <w:name w:val="Spacer"/>
    <w:basedOn w:val="Normal"/>
    <w:rsid w:val="008D53DF"/>
    <w:rPr>
      <w:sz w:val="2"/>
      <w:szCs w:val="2"/>
    </w:rPr>
  </w:style>
  <w:style w:type="character" w:customStyle="1" w:styleId="Small">
    <w:name w:val="Small"/>
    <w:basedOn w:val="DefaultParagraphFont"/>
    <w:rsid w:val="008D53DF"/>
    <w:rPr>
      <w:sz w:val="16"/>
    </w:rPr>
  </w:style>
  <w:style w:type="paragraph" w:customStyle="1" w:styleId="WideTable">
    <w:name w:val="Wide Table"/>
    <w:basedOn w:val="Normal"/>
    <w:rsid w:val="008D53DF"/>
    <w:pPr>
      <w:ind w:left="-1418"/>
    </w:pPr>
    <w:rPr>
      <w:sz w:val="2"/>
      <w:szCs w:val="2"/>
    </w:rPr>
  </w:style>
  <w:style w:type="character" w:styleId="PageNumber">
    <w:name w:val="page number"/>
    <w:basedOn w:val="DefaultParagraphFont"/>
    <w:rsid w:val="008D53DF"/>
  </w:style>
  <w:style w:type="paragraph" w:styleId="Quote">
    <w:name w:val="Quote"/>
    <w:basedOn w:val="Heading1"/>
    <w:link w:val="QuoteChar"/>
    <w:qFormat/>
    <w:rsid w:val="008D53DF"/>
    <w:rPr>
      <w:b w:val="0"/>
      <w:sz w:val="72"/>
      <w:szCs w:val="72"/>
      <w:lang w:val="en-NZ"/>
    </w:rPr>
  </w:style>
  <w:style w:type="character" w:customStyle="1" w:styleId="QuoteChar">
    <w:name w:val="Quote Char"/>
    <w:basedOn w:val="DefaultParagraphFont"/>
    <w:link w:val="Quote"/>
    <w:rsid w:val="008D53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3DF"/>
    <w:pPr>
      <w:pageBreakBefore/>
    </w:pPr>
  </w:style>
  <w:style w:type="paragraph" w:customStyle="1" w:styleId="Border">
    <w:name w:val="Border"/>
    <w:basedOn w:val="Normal"/>
    <w:qFormat/>
    <w:rsid w:val="008D53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3DF"/>
    <w:rPr>
      <w:b/>
      <w:bCs/>
      <w:i/>
      <w:iCs/>
      <w:color w:val="auto"/>
    </w:rPr>
  </w:style>
  <w:style w:type="paragraph" w:styleId="IntenseQuote">
    <w:name w:val="Intense Quote"/>
    <w:basedOn w:val="Normal"/>
    <w:next w:val="Normal"/>
    <w:link w:val="IntenseQuoteChar"/>
    <w:uiPriority w:val="30"/>
    <w:qFormat/>
    <w:rsid w:val="008D53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3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3DF"/>
    <w:rPr>
      <w:smallCaps/>
      <w:color w:val="auto"/>
      <w:u w:val="single"/>
    </w:rPr>
  </w:style>
  <w:style w:type="character" w:styleId="IntenseReference">
    <w:name w:val="Intense Reference"/>
    <w:basedOn w:val="DefaultParagraphFont"/>
    <w:uiPriority w:val="32"/>
    <w:qFormat/>
    <w:rsid w:val="008D53DF"/>
    <w:rPr>
      <w:b/>
      <w:bCs/>
      <w:smallCaps/>
      <w:color w:val="auto"/>
      <w:spacing w:val="5"/>
      <w:u w:val="single"/>
    </w:rPr>
  </w:style>
  <w:style w:type="paragraph" w:customStyle="1" w:styleId="2ColumnHeading">
    <w:name w:val="2Column Heading"/>
    <w:basedOn w:val="BodyText"/>
    <w:qFormat/>
    <w:rsid w:val="008D53DF"/>
    <w:pPr>
      <w:spacing w:after="60"/>
      <w:ind w:left="-2268"/>
    </w:pPr>
    <w:rPr>
      <w:b/>
    </w:rPr>
  </w:style>
  <w:style w:type="paragraph" w:customStyle="1" w:styleId="Heading1TOC">
    <w:name w:val="Heading1 TOC"/>
    <w:basedOn w:val="Normal"/>
    <w:qFormat/>
    <w:rsid w:val="008D53DF"/>
    <w:pPr>
      <w:spacing w:before="240" w:after="120"/>
    </w:pPr>
    <w:rPr>
      <w:rFonts w:ascii="Times New Roman" w:hAnsi="Times New Roman"/>
      <w:b/>
      <w:sz w:val="32"/>
    </w:rPr>
  </w:style>
  <w:style w:type="paragraph" w:customStyle="1" w:styleId="Heading2TOC">
    <w:name w:val="Heading2 TOC"/>
    <w:basedOn w:val="Normal"/>
    <w:qFormat/>
    <w:rsid w:val="008D53DF"/>
    <w:pPr>
      <w:spacing w:before="240" w:after="60"/>
    </w:pPr>
    <w:rPr>
      <w:rFonts w:ascii="Times New Roman" w:hAnsi="Times New Roman"/>
      <w:b/>
      <w:sz w:val="28"/>
    </w:rPr>
  </w:style>
  <w:style w:type="character" w:customStyle="1" w:styleId="Underline">
    <w:name w:val="Underline"/>
    <w:basedOn w:val="DefaultParagraphFont"/>
    <w:qFormat/>
    <w:rsid w:val="008D53DF"/>
    <w:rPr>
      <w:u w:val="single"/>
    </w:rPr>
  </w:style>
  <w:style w:type="character" w:customStyle="1" w:styleId="BoldandItalics">
    <w:name w:val="Bold and Italics"/>
    <w:qFormat/>
    <w:rsid w:val="008D53DF"/>
    <w:rPr>
      <w:b/>
      <w:i/>
      <w:u w:val="none"/>
    </w:rPr>
  </w:style>
  <w:style w:type="paragraph" w:styleId="BalloonText">
    <w:name w:val="Balloon Text"/>
    <w:basedOn w:val="Normal"/>
    <w:link w:val="BalloonTextChar"/>
    <w:rsid w:val="008D53DF"/>
    <w:rPr>
      <w:rFonts w:ascii="Tahoma" w:hAnsi="Tahoma" w:cs="Tahoma"/>
      <w:sz w:val="16"/>
      <w:szCs w:val="16"/>
    </w:rPr>
  </w:style>
  <w:style w:type="character" w:customStyle="1" w:styleId="BalloonTextChar">
    <w:name w:val="Balloon Text Char"/>
    <w:basedOn w:val="DefaultParagraphFont"/>
    <w:link w:val="BalloonText"/>
    <w:rsid w:val="008D53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3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53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3DF"/>
    <w:rPr>
      <w:b/>
      <w:color w:val="660033"/>
      <w:spacing w:val="0"/>
    </w:rPr>
  </w:style>
  <w:style w:type="paragraph" w:customStyle="1" w:styleId="Nameditemlist">
    <w:name w:val="Named item list"/>
    <w:basedOn w:val="BodyText"/>
    <w:qFormat/>
    <w:rsid w:val="008D53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2231</Words>
  <Characters>13753</Characters>
  <Application>Microsoft Office Word</Application>
  <DocSecurity>0</DocSecurity>
  <Lines>551</Lines>
  <Paragraphs>217</Paragraphs>
  <ScaleCrop>false</ScaleCrop>
  <Company>Author-it Software Corporation Ltd.</Company>
  <LinksUpToDate>false</LinksUpToDate>
  <CharactersWithSpaces>15816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UETTDRTP10B Inspect overhead structures and electrical apparatus (towers)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2012-10-01T04:43:00Z</dcterms:created>
  <dcterms:modified xsi:type="dcterms:W3CDTF">2012-10-01T04:43:00Z</dcterms:modified>
</cp:coreProperties>
</file>