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5EF9" w:rsidP="00AD5EF9">
      <w:pPr>
        <w:pStyle w:val="Title"/>
      </w:pPr>
      <w:r>
        <w:fldChar w:fldCharType="begin"/>
      </w:r>
      <w:r>
        <w:instrText xml:space="preserve"> TITLE   \* MERGEFORMAT </w:instrText>
      </w:r>
      <w:r>
        <w:fldChar w:fldCharType="separate"/>
      </w:r>
      <w:r>
        <w:t>UETTDRTP07B Maintain transmission towers and associated hardware</w:t>
      </w:r>
      <w:r>
        <w:fldChar w:fldCharType="end"/>
      </w:r>
    </w:p>
    <w:p w:rsidR="00AD5EF9" w:rsidP="00AD5EF9">
      <w:pPr>
        <w:pStyle w:val="Version"/>
        <w:sectPr w:rsidSect="007E23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358" w:rsidP="007E2358">
      <w:pPr>
        <w:pStyle w:val="SuperHeading"/>
      </w:pPr>
      <w:r w:rsidRPr="007E2358">
        <w:t>UETTDRTP07B Maintain transmission towers and associated hardware</w:t>
      </w:r>
    </w:p>
    <w:p w:rsidR="00000000" w:rsidRPr="007E2358" w:rsidP="007E2358">
      <w:pPr>
        <w:pStyle w:val="Heading1"/>
      </w:pPr>
      <w:bookmarkStart w:id="1" w:name="O_275562"/>
      <w:bookmarkEnd w:id="1"/>
      <w:r w:rsidRPr="007E2358">
        <w:t>Modification History</w:t>
      </w:r>
    </w:p>
    <w:p w:rsidR="00000000" w:rsidRPr="007E2358" w:rsidP="007E2358">
      <w:pPr>
        <w:pStyle w:val="BodyText"/>
      </w:pPr>
      <w:r w:rsidRPr="007E2358">
        <w:t>Not Applicable</w:t>
      </w:r>
    </w:p>
    <w:p w:rsidR="00000000" w:rsidRPr="007E2358" w:rsidP="007E2358">
      <w:pPr>
        <w:pStyle w:val="AllowPageBreak"/>
      </w:pPr>
    </w:p>
    <w:p w:rsidR="00000000" w:rsidRPr="007E2358" w:rsidP="007E2358">
      <w:pPr>
        <w:pStyle w:val="Heading1"/>
      </w:pPr>
      <w:bookmarkStart w:id="2" w:name="O_232082"/>
      <w:bookmarkEnd w:id="2"/>
      <w:r w:rsidRPr="007E2358">
        <w:t>Unit Descriptor</w:t>
      </w:r>
    </w:p>
    <w:tbl>
      <w:tblPr>
        <w:tblW w:w="0" w:type="auto"/>
        <w:tblLayout w:type="fixed"/>
        <w:tblCellMar>
          <w:left w:w="62" w:type="dxa"/>
          <w:right w:w="62" w:type="dxa"/>
        </w:tblCellMar>
        <w:tblLook w:val="0000"/>
      </w:tblPr>
      <w:tblGrid>
        <w:gridCol w:w="2755"/>
        <w:gridCol w:w="5885"/>
      </w:tblGrid>
      <w:tr w:rsidTr="00AD5EF9">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rPr>
                <w:rStyle w:val="SpecialBold"/>
              </w:rPr>
              <w:t>Unit Descriptor</w:t>
            </w:r>
          </w:p>
        </w:tc>
        <w:tc>
          <w:tcPr>
            <w:tcW w:w="5885" w:type="dxa"/>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rPr>
                <w:rStyle w:val="SpecialBold"/>
              </w:rPr>
              <w:t>1</w:t>
            </w:r>
            <w:r w:rsidRPr="007E2358">
              <w:t xml:space="preserve">) </w:t>
            </w:r>
          </w:p>
          <w:p w:rsidR="00000000" w:rsidP="007E2358">
            <w:pPr>
              <w:pStyle w:val="BodyText"/>
              <w:rPr>
                <w:lang w:val="en-NZ"/>
              </w:rPr>
            </w:pPr>
            <w:r w:rsidRPr="007E2358">
              <w:rPr>
                <w:rStyle w:val="SpecialBold"/>
              </w:rPr>
              <w:t>1</w:t>
            </w:r>
            <w:r w:rsidRPr="007E2358">
              <w:t>.</w:t>
            </w:r>
            <w:r w:rsidRPr="007E2358">
              <w:rPr>
                <w:rStyle w:val="SpecialBold"/>
              </w:rPr>
              <w:t>1</w:t>
            </w:r>
            <w:r w:rsidRPr="007E2358">
              <w:t xml:space="preserve">) </w:t>
            </w:r>
            <w:r w:rsidRPr="007E2358">
              <w:rPr>
                <w:rStyle w:val="SpecialBold"/>
              </w:rPr>
              <w:t>Descriptor</w:t>
            </w:r>
          </w:p>
        </w:tc>
      </w:tr>
      <w:tr w:rsidTr="00AD5EF9">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5" w:type="dxa"/>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t>This Competency Standard Unit covers the maintenance of non-energised, pyramid, delta, Pi or enterprise specific transmission towers and associated hardware. It includes the repair, and or replacement of components in accordance with construction plans, sp</w:t>
            </w:r>
            <w:r w:rsidRPr="007E2358">
              <w:t>ecifications, work orders and standing enterprise requirements. Maintenance could also involve cleaning and welding. The updating of system data, records and or completion of relevant documentation in accordance with enterprise requirements also forms part</w:t>
            </w:r>
            <w:r w:rsidRPr="007E2358">
              <w:t xml:space="preserve"> of this competency.</w:t>
            </w:r>
          </w:p>
        </w:tc>
      </w:tr>
    </w:tbl>
    <w:p w:rsidR="00AD5EF9" w:rsidP="007E2358">
      <w:pPr>
        <w:pStyle w:val="BodyText"/>
      </w:pPr>
    </w:p>
    <w:p w:rsidR="00AD5EF9" w:rsidP="007E2358">
      <w:pPr>
        <w:pStyle w:val="BodyText"/>
      </w:pPr>
    </w:p>
    <w:p w:rsidR="00000000" w:rsidRPr="007E2358" w:rsidP="007E2358">
      <w:pPr>
        <w:pStyle w:val="Heading1"/>
      </w:pPr>
      <w:bookmarkStart w:id="3" w:name="O_232087"/>
      <w:bookmarkEnd w:id="3"/>
      <w:r w:rsidRPr="007E2358">
        <w:t>Application of the Unit</w:t>
      </w:r>
    </w:p>
    <w:tbl>
      <w:tblPr>
        <w:tblW w:w="0" w:type="auto"/>
        <w:tblLayout w:type="fixed"/>
        <w:tblCellMar>
          <w:left w:w="62" w:type="dxa"/>
          <w:right w:w="62" w:type="dxa"/>
        </w:tblCellMar>
        <w:tblLook w:val="0000"/>
      </w:tblPr>
      <w:tblGrid>
        <w:gridCol w:w="2755"/>
        <w:gridCol w:w="5885"/>
      </w:tblGrid>
      <w:tr w:rsidTr="00AD5EF9">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rPr>
                <w:rStyle w:val="SpecialBold"/>
              </w:rPr>
              <w:t>Application of the Unit</w:t>
            </w:r>
          </w:p>
        </w:tc>
        <w:tc>
          <w:tcPr>
            <w:tcW w:w="5885"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rPr>
                <w:rStyle w:val="SpecialBold"/>
              </w:rPr>
              <w:t>4</w:t>
            </w:r>
            <w:r w:rsidRPr="007E2358">
              <w:t>)</w:t>
            </w:r>
          </w:p>
        </w:tc>
      </w:tr>
      <w:tr w:rsidTr="00AD5EF9">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5" w:type="dxa"/>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t xml:space="preserve">This Competency Standard Unit is intended to augment formally acquired competencies. It is suitable for employment-based programs under an </w:t>
            </w:r>
            <w:r w:rsidRPr="007E2358">
              <w:t>approved contract of training.</w:t>
            </w:r>
          </w:p>
        </w:tc>
      </w:tr>
    </w:tbl>
    <w:p w:rsidR="00AD5EF9" w:rsidP="007E2358">
      <w:pPr>
        <w:pStyle w:val="BodyText"/>
      </w:pPr>
    </w:p>
    <w:p w:rsidR="00AD5EF9" w:rsidP="007E2358">
      <w:pPr>
        <w:pStyle w:val="BodyText"/>
      </w:pPr>
    </w:p>
    <w:p w:rsidR="00000000" w:rsidRPr="007E2358" w:rsidP="007E2358">
      <w:pPr>
        <w:pStyle w:val="Heading1"/>
      </w:pPr>
      <w:bookmarkStart w:id="4" w:name="O_232083"/>
      <w:bookmarkEnd w:id="4"/>
      <w:r w:rsidRPr="007E2358">
        <w:t>Licensing/Regulatory Information</w:t>
      </w:r>
    </w:p>
    <w:tbl>
      <w:tblPr>
        <w:tblW w:w="0" w:type="auto"/>
        <w:tblLayout w:type="fixed"/>
        <w:tblCellMar>
          <w:left w:w="62" w:type="dxa"/>
          <w:right w:w="62" w:type="dxa"/>
        </w:tblCellMar>
        <w:tblLook w:val="0000"/>
      </w:tblPr>
      <w:tblGrid>
        <w:gridCol w:w="8640"/>
      </w:tblGrid>
      <w:tr w:rsidTr="00AD5EF9">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rPr>
                <w:rStyle w:val="SpecialBold"/>
              </w:rPr>
              <w:t>1</w:t>
            </w:r>
            <w:r w:rsidRPr="007E2358">
              <w:t>.</w:t>
            </w:r>
            <w:r w:rsidRPr="007E2358">
              <w:rPr>
                <w:rStyle w:val="SpecialBold"/>
              </w:rPr>
              <w:t>2</w:t>
            </w:r>
            <w:r w:rsidRPr="007E2358">
              <w:t xml:space="preserve">) </w:t>
            </w:r>
            <w:r w:rsidRPr="007E2358">
              <w:rPr>
                <w:rStyle w:val="SpecialBold"/>
              </w:rPr>
              <w:t>License to practice</w:t>
            </w:r>
          </w:p>
        </w:tc>
      </w:tr>
      <w:tr w:rsidTr="00AD5EF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t xml:space="preserve">The skills and knowledge described in this unit may require a licence/registration to practice in the work place subject to regulations for </w:t>
            </w:r>
            <w:r w:rsidRPr="007E2358">
              <w:t>undertaking of electrical work. Practice in workplace and during training is also subject to regulations directly related to Occupational Health and Safety, electricity/telecommunications/gas/water industry safety and compliance, industrial relations, envi</w:t>
            </w:r>
            <w:r w:rsidRPr="007E2358">
              <w:t>ronmental protection, anti discrimination and training. Commonwealth, State/Territory or Local Government legislation and regulations may exist that limits the age of operating certain equipment.</w:t>
            </w:r>
          </w:p>
        </w:tc>
      </w:tr>
    </w:tbl>
    <w:p w:rsidR="00AD5EF9" w:rsidP="007E2358">
      <w:pPr>
        <w:pStyle w:val="BodyText"/>
      </w:pPr>
    </w:p>
    <w:p w:rsidR="00AD5EF9" w:rsidP="007E2358">
      <w:pPr>
        <w:pStyle w:val="BodyText"/>
      </w:pPr>
    </w:p>
    <w:p w:rsidR="00000000" w:rsidRPr="007E2358" w:rsidP="007E2358">
      <w:pPr>
        <w:pStyle w:val="Heading1"/>
      </w:pPr>
      <w:bookmarkStart w:id="5" w:name="O_232084"/>
      <w:bookmarkEnd w:id="5"/>
      <w:r w:rsidRPr="007E2358">
        <w:t>Pre-Requisites</w:t>
      </w:r>
    </w:p>
    <w:tbl>
      <w:tblPr>
        <w:tblW w:w="0" w:type="auto"/>
        <w:tblLayout w:type="fixed"/>
        <w:tblCellMar>
          <w:left w:w="62" w:type="dxa"/>
          <w:right w:w="62" w:type="dxa"/>
        </w:tblCellMar>
        <w:tblLook w:val="0000"/>
      </w:tblPr>
      <w:tblGrid>
        <w:gridCol w:w="2755"/>
        <w:gridCol w:w="735"/>
        <w:gridCol w:w="2022"/>
        <w:gridCol w:w="3128"/>
      </w:tblGrid>
      <w:tr w:rsidTr="00AD5EF9">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rPr>
                <w:rStyle w:val="SpecialBold"/>
              </w:rPr>
              <w:t>Prerequisite Unit</w:t>
            </w:r>
            <w:r w:rsidRPr="007E2358">
              <w:t>(</w:t>
            </w:r>
            <w:r w:rsidRPr="007E2358">
              <w:rPr>
                <w:rStyle w:val="SpecialBold"/>
              </w:rPr>
              <w:t>s</w:t>
            </w:r>
            <w:r w:rsidRPr="007E2358">
              <w:t>)</w:t>
            </w:r>
          </w:p>
        </w:tc>
        <w:tc>
          <w:tcPr>
            <w:tcW w:w="5885" w:type="dxa"/>
            <w:gridSpan w:val="3"/>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rPr>
                <w:rStyle w:val="SpecialBold"/>
              </w:rPr>
              <w:t>2</w:t>
            </w:r>
            <w:r w:rsidRPr="007E2358">
              <w:t xml:space="preserve">) </w:t>
            </w:r>
          </w:p>
        </w:tc>
      </w:tr>
      <w:tr w:rsidTr="00AD5EF9">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RPr="007E2358">
            <w:pPr>
              <w:pStyle w:val="BodyText"/>
              <w:keepNext w:val="0"/>
              <w:keepLines w:val="0"/>
              <w:contextualSpacing w:val="0"/>
            </w:pPr>
          </w:p>
        </w:tc>
        <w:tc>
          <w:tcPr>
            <w:tcW w:w="5885" w:type="dxa"/>
            <w:gridSpan w:val="3"/>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rPr>
                <w:rStyle w:val="SpecialBold"/>
              </w:rPr>
              <w:t>2</w:t>
            </w:r>
            <w:r w:rsidRPr="007E2358">
              <w:t>.</w:t>
            </w:r>
            <w:r w:rsidRPr="007E2358">
              <w:rPr>
                <w:rStyle w:val="SpecialBold"/>
              </w:rPr>
              <w:t>1</w:t>
            </w:r>
            <w:r w:rsidRPr="007E2358">
              <w:t xml:space="preserve">) </w:t>
            </w:r>
            <w:r w:rsidRPr="007E2358">
              <w:rPr>
                <w:rStyle w:val="SpecialBold"/>
              </w:rPr>
              <w:t>Competencies</w:t>
            </w:r>
          </w:p>
        </w:tc>
      </w:tr>
      <w:tr w:rsidTr="00AD5EF9">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5" w:type="dxa"/>
            <w:gridSpan w:val="3"/>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Granting of competency in this unit shall be made only after competency in the following unit(s) has/have been confirmed:.</w:t>
            </w:r>
          </w:p>
        </w:tc>
      </w:tr>
      <w:tr w:rsidTr="00AD5EF9">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UETTDRTP06B</w:t>
            </w:r>
          </w:p>
        </w:tc>
        <w:tc>
          <w:tcPr>
            <w:tcW w:w="3128"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Erect transmission towers and associated hardware</w:t>
            </w:r>
          </w:p>
        </w:tc>
      </w:tr>
      <w:tr w:rsidTr="00AD5EF9">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5" w:type="dxa"/>
            <w:gridSpan w:val="3"/>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t>For the full prerequisite chain details for this unit please refer to Table 3 in Volume 1, Part 2</w:t>
            </w:r>
          </w:p>
        </w:tc>
      </w:tr>
    </w:tbl>
    <w:p w:rsidR="00AD5EF9" w:rsidP="007E2358">
      <w:pPr>
        <w:pStyle w:val="BodyText"/>
      </w:pPr>
    </w:p>
    <w:p w:rsidR="00AD5EF9" w:rsidP="007E2358">
      <w:pPr>
        <w:pStyle w:val="BodyText"/>
      </w:pPr>
    </w:p>
    <w:p w:rsidR="00000000" w:rsidRPr="007E2358" w:rsidP="007E2358">
      <w:pPr>
        <w:pStyle w:val="Heading1"/>
      </w:pPr>
      <w:bookmarkStart w:id="6" w:name="O_232086"/>
      <w:bookmarkEnd w:id="6"/>
      <w:r w:rsidRPr="007E2358">
        <w:t>Employability Skills Information</w:t>
      </w:r>
    </w:p>
    <w:tbl>
      <w:tblPr>
        <w:tblW w:w="0" w:type="auto"/>
        <w:tblLayout w:type="fixed"/>
        <w:tblCellMar>
          <w:left w:w="62" w:type="dxa"/>
          <w:right w:w="62" w:type="dxa"/>
        </w:tblCellMar>
        <w:tblLook w:val="0000"/>
      </w:tblPr>
      <w:tblGrid>
        <w:gridCol w:w="2755"/>
        <w:gridCol w:w="5885"/>
      </w:tblGrid>
      <w:tr w:rsidTr="00AD5EF9">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rPr>
                <w:rStyle w:val="SpecialBold"/>
              </w:rPr>
              <w:t>Employability Skills</w:t>
            </w:r>
          </w:p>
        </w:tc>
        <w:tc>
          <w:tcPr>
            <w:tcW w:w="5885" w:type="dxa"/>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rPr>
                <w:rStyle w:val="SpecialBold"/>
              </w:rPr>
              <w:t>3</w:t>
            </w:r>
            <w:r w:rsidRPr="007E2358">
              <w:t>)</w:t>
            </w:r>
          </w:p>
          <w:p w:rsidR="00000000" w:rsidRPr="007E2358" w:rsidP="007E2358">
            <w:pPr>
              <w:pStyle w:val="BodyText"/>
            </w:pPr>
            <w:r w:rsidRPr="007E2358">
              <w:t>The required outcomes described in this unit of competency contain applicable f</w:t>
            </w:r>
            <w:r w:rsidRPr="007E2358">
              <w:t>acets of Employability Skills. The Employability Skills Summary of the qualification in which this unit of competency is packaged will assist in identifying Employability Skill requirements.</w:t>
            </w:r>
          </w:p>
        </w:tc>
      </w:tr>
    </w:tbl>
    <w:p w:rsidR="00AD5EF9" w:rsidP="007E2358">
      <w:pPr>
        <w:pStyle w:val="BodyText"/>
      </w:pPr>
    </w:p>
    <w:p w:rsidR="00AD5EF9" w:rsidP="007E2358">
      <w:pPr>
        <w:pStyle w:val="BodyText"/>
      </w:pPr>
    </w:p>
    <w:p w:rsidR="00000000" w:rsidRPr="007E2358" w:rsidP="007E2358">
      <w:pPr>
        <w:pStyle w:val="Heading1"/>
      </w:pPr>
      <w:bookmarkStart w:id="7" w:name="O_293608"/>
      <w:bookmarkEnd w:id="7"/>
      <w:r w:rsidRPr="007E2358">
        <w:t>Elements and Performance Criteria Pre-Content</w:t>
      </w:r>
    </w:p>
    <w:tbl>
      <w:tblPr>
        <w:tblW w:w="0" w:type="auto"/>
        <w:tblLayout w:type="fixed"/>
        <w:tblCellMar>
          <w:left w:w="62" w:type="dxa"/>
          <w:right w:w="62" w:type="dxa"/>
        </w:tblCellMar>
        <w:tblLook w:val="0000"/>
      </w:tblPr>
      <w:tblGrid>
        <w:gridCol w:w="2755"/>
        <w:gridCol w:w="5885"/>
      </w:tblGrid>
      <w:tr w:rsidTr="00AD5EF9">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rPr>
                <w:rStyle w:val="SpecialBold"/>
              </w:rPr>
              <w:t>6</w:t>
            </w:r>
            <w:r w:rsidRPr="007E2358">
              <w:t xml:space="preserve">) </w:t>
            </w:r>
            <w:r w:rsidRPr="007E2358">
              <w:rPr>
                <w:rStyle w:val="SpecialBold"/>
              </w:rPr>
              <w:t>Elements</w:t>
            </w:r>
            <w:r w:rsidRPr="007E2358">
              <w:t>: Elements describe the essential outcomes of a unit of competency</w:t>
            </w:r>
          </w:p>
        </w:tc>
        <w:tc>
          <w:tcPr>
            <w:tcW w:w="5885" w:type="dxa"/>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t>Performance Criteria describe the required performance needed to demonstrate achievement of the element. Assessment of performance is to be consistent with the Evidence Guide.</w:t>
            </w:r>
          </w:p>
        </w:tc>
      </w:tr>
    </w:tbl>
    <w:p w:rsidR="00000000" w:rsidRPr="007E2358" w:rsidP="007E2358">
      <w:pPr>
        <w:pStyle w:val="BodyText"/>
      </w:pPr>
    </w:p>
    <w:p w:rsidR="00000000" w:rsidRPr="007E2358" w:rsidP="007E2358">
      <w:pPr>
        <w:pStyle w:val="AllowPageBreak"/>
      </w:pPr>
    </w:p>
    <w:p w:rsidR="00000000" w:rsidRPr="007E2358" w:rsidP="007E2358">
      <w:pPr>
        <w:pStyle w:val="Heading1"/>
      </w:pPr>
      <w:bookmarkStart w:id="8" w:name="O_240276"/>
      <w:bookmarkEnd w:id="8"/>
      <w:r w:rsidRPr="007E2358">
        <w:t>Elements and Performance Criteria</w:t>
      </w:r>
    </w:p>
    <w:tbl>
      <w:tblPr>
        <w:tblW w:w="0" w:type="auto"/>
        <w:tblLayout w:type="fixed"/>
        <w:tblCellMar>
          <w:left w:w="62" w:type="dxa"/>
          <w:right w:w="62" w:type="dxa"/>
        </w:tblCellMar>
        <w:tblLook w:val="0000"/>
      </w:tblPr>
      <w:tblGrid>
        <w:gridCol w:w="412"/>
        <w:gridCol w:w="2343"/>
        <w:gridCol w:w="919"/>
        <w:gridCol w:w="4966"/>
      </w:tblGrid>
      <w:tr w:rsidTr="00AD5EF9">
        <w:tblPrEx>
          <w:tblW w:w="0" w:type="auto"/>
          <w:tblLayout w:type="fixed"/>
          <w:tblCellMar>
            <w:left w:w="62" w:type="dxa"/>
            <w:right w:w="62" w:type="dxa"/>
          </w:tblCellMar>
          <w:tblLook w:val="0000"/>
        </w:tblPrEx>
        <w:trPr>
          <w:tblHeader/>
        </w:trPr>
        <w:tc>
          <w:tcPr>
            <w:tcW w:w="2755" w:type="dxa"/>
            <w:gridSpan w:val="2"/>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rPr>
                <w:rStyle w:val="SpecialBold"/>
              </w:rPr>
              <w:t>ELEMENT</w:t>
            </w:r>
          </w:p>
        </w:tc>
        <w:tc>
          <w:tcPr>
            <w:tcW w:w="5885" w:type="dxa"/>
            <w:gridSpan w:val="2"/>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rPr>
                <w:rStyle w:val="SpecialBold"/>
              </w:rPr>
              <w:t>PERFORMANCE CRITERIA</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1</w:t>
            </w:r>
          </w:p>
        </w:tc>
        <w:tc>
          <w:tcPr>
            <w:tcW w:w="2343"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Prepare to maintain transmission towers and associated hardware</w:t>
            </w: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1.1</w:t>
            </w:r>
          </w:p>
        </w:tc>
        <w:tc>
          <w:tcPr>
            <w:tcW w:w="4966"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Works schedule(s), including drawings, plans, requirements, established procedures, and material lists, are received, analysed and confirmed, if necessary, by site inspection.</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1.2</w:t>
            </w:r>
          </w:p>
        </w:tc>
        <w:tc>
          <w:tcPr>
            <w:tcW w:w="4966"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Relevant requirements and established procedures for the work are communi</w:t>
            </w:r>
            <w:r w:rsidRPr="007E2358">
              <w:t>cated to all personnel and identified for all work sites.</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1.3</w:t>
            </w:r>
          </w:p>
        </w:tc>
        <w:tc>
          <w:tcPr>
            <w:tcW w:w="4966"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OHS policies and procedures related to requirements and established procedures for the maintenance of towers and associated hardware are obtained and confirmed for the purposes of the work to</w:t>
            </w:r>
            <w:r w:rsidRPr="007E2358">
              <w:t xml:space="preserve"> be performed and communicated.</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1.4</w:t>
            </w:r>
          </w:p>
        </w:tc>
        <w:tc>
          <w:tcPr>
            <w:tcW w:w="4966"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Work is prioritised and sequenced following consultation with others for completion within acceptable timeframes and in accordance with established procedures.</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1.5</w:t>
            </w:r>
          </w:p>
        </w:tc>
        <w:tc>
          <w:tcPr>
            <w:tcW w:w="4966"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Hazards are identified, OHS risks assessed and control measures are prioritised, implemented and monitored including emergency exits kept clear according to established procedures.</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1.6</w:t>
            </w:r>
          </w:p>
        </w:tc>
        <w:tc>
          <w:tcPr>
            <w:tcW w:w="4966"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Resources including personnel, equipment, tools and personal protect</w:t>
            </w:r>
            <w:r w:rsidRPr="007E2358">
              <w:t>ive equipment required for the job are obtained and confirmed in working order.</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1.7</w:t>
            </w:r>
          </w:p>
        </w:tc>
        <w:tc>
          <w:tcPr>
            <w:tcW w:w="4966"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Relevant work permits are obtained to access and perform work according to requirements and/or established procedures.</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1.8</w:t>
            </w:r>
          </w:p>
        </w:tc>
        <w:tc>
          <w:tcPr>
            <w:tcW w:w="4966"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Relevant personnel at work site are confirmed current in First Aid, Pole Tower/Top Rescue and other related work procedures according to requirements.</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1.9</w:t>
            </w:r>
          </w:p>
        </w:tc>
        <w:tc>
          <w:tcPr>
            <w:tcW w:w="4966"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Liaison and communication issues with other/authorised personnel, authorities, clients and land ow</w:t>
            </w:r>
            <w:r w:rsidRPr="007E2358">
              <w:t>ners are resolved to carry out work where necessary.</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1.10</w:t>
            </w:r>
          </w:p>
        </w:tc>
        <w:tc>
          <w:tcPr>
            <w:tcW w:w="4966"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Site is prepared according to the work schedule and to minimise risk and damage to property, commerce, and individuals in accordance with established procedures.</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1.11</w:t>
            </w:r>
          </w:p>
        </w:tc>
        <w:tc>
          <w:tcPr>
            <w:tcW w:w="4966"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Personnel participating i</w:t>
            </w:r>
            <w:r w:rsidRPr="007E2358">
              <w:t>n the work, including plant operators and contractors, are fully briefed and respective responsibilities confirmed where applicable in accordance with established procedures.</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1.12</w:t>
            </w:r>
          </w:p>
        </w:tc>
        <w:tc>
          <w:tcPr>
            <w:tcW w:w="4966"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Traffic management plan is identified and implemented.</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2</w:t>
            </w:r>
          </w:p>
        </w:tc>
        <w:tc>
          <w:tcPr>
            <w:tcW w:w="2343"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Carry out the maintenance of transmission towers and associated hardware</w:t>
            </w: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2.1</w:t>
            </w:r>
          </w:p>
        </w:tc>
        <w:tc>
          <w:tcPr>
            <w:tcW w:w="4966"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OHS, sustainable energy and environmental principles and practices to reduce the incidents of accidents and minimise waste are monitored and followed in accordance with requiremen</w:t>
            </w:r>
            <w:r w:rsidRPr="007E2358">
              <w:t>ts and/or established procedures.</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2.2</w:t>
            </w:r>
          </w:p>
        </w:tc>
        <w:tc>
          <w:tcPr>
            <w:tcW w:w="4966"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Towers and associated hardware to be erected are stabilised according to requirements.</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2.3</w:t>
            </w:r>
          </w:p>
        </w:tc>
        <w:tc>
          <w:tcPr>
            <w:tcW w:w="4966"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Lifting, climbing, working aloft, and use of power tools/equipment, techniques and practices are safely followed and, cur</w:t>
            </w:r>
            <w:r w:rsidRPr="007E2358">
              <w:t>rency according to requirements confirmed.</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2.4</w:t>
            </w:r>
          </w:p>
        </w:tc>
        <w:tc>
          <w:tcPr>
            <w:tcW w:w="4966"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Essential knowledge and associated skills are applied in the safe erection of towers and associated hardware to ensure completion in an agreed timeframe and, to quality standards with a minimum of waste acc</w:t>
            </w:r>
            <w:r w:rsidRPr="007E2358">
              <w:t>ording to requirements.</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2.5</w:t>
            </w:r>
          </w:p>
        </w:tc>
        <w:tc>
          <w:tcPr>
            <w:tcW w:w="4966"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Hazard warnings and safety signs are recognised and hazards and assessed OHS risks are reported to the immediate authorised persons for directions according to established procedures.</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2.6</w:t>
            </w:r>
          </w:p>
        </w:tc>
        <w:tc>
          <w:tcPr>
            <w:tcW w:w="4966"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Maintenance, including repair and/or replacement of towers is carried out, in accordance with the work schedule and requirements/established procedures.</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2.7</w:t>
            </w:r>
          </w:p>
        </w:tc>
        <w:tc>
          <w:tcPr>
            <w:tcW w:w="4966"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Unplanned events in the erection of towers and associated hardware are undertaken within the sco</w:t>
            </w:r>
            <w:r w:rsidRPr="007E2358">
              <w:t>pe of established procedures.</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2.8</w:t>
            </w:r>
          </w:p>
        </w:tc>
        <w:tc>
          <w:tcPr>
            <w:tcW w:w="4966"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Known solutions to a variety of problems are applied using acquired essential knowledge and associated skills.</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2.9</w:t>
            </w:r>
          </w:p>
        </w:tc>
        <w:tc>
          <w:tcPr>
            <w:tcW w:w="4966"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On going checks</w:t>
            </w:r>
            <w:r w:rsidRPr="007E2358">
              <w:t xml:space="preserve"> of quality of the work are undertaken in accordance with instructions and established procedures.</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3</w:t>
            </w:r>
          </w:p>
        </w:tc>
        <w:tc>
          <w:tcPr>
            <w:tcW w:w="2343" w:type="dxa"/>
            <w:vMerge w:val="restart"/>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Complete the maintenance of transmission towers and associated hardware</w:t>
            </w: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3.1</w:t>
            </w:r>
          </w:p>
        </w:tc>
        <w:tc>
          <w:tcPr>
            <w:tcW w:w="4966"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Work undertaken is checked against works schedule for conformance with require</w:t>
            </w:r>
            <w:r w:rsidRPr="007E2358">
              <w:t>ments and anomalies reported in accordance with established procedures.</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3.2</w:t>
            </w:r>
          </w:p>
        </w:tc>
        <w:tc>
          <w:tcPr>
            <w:tcW w:w="4966"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Accidents and/or injuries are reported in accordance with requirements/established procedures, where applicable.</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3.3</w:t>
            </w:r>
          </w:p>
        </w:tc>
        <w:tc>
          <w:tcPr>
            <w:tcW w:w="4966"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Work site is rehabilitated, cleaned up and made safe in accordance with established procedures.</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3.4</w:t>
            </w:r>
          </w:p>
        </w:tc>
        <w:tc>
          <w:tcPr>
            <w:tcW w:w="4966"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Tools, equipment and any surplus resources and materials are, where appropriate, cleaned, checked and returned to storage or disposed of in accordance wi</w:t>
            </w:r>
            <w:r w:rsidRPr="007E2358">
              <w:t>th established procedures.</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3.5</w:t>
            </w:r>
          </w:p>
        </w:tc>
        <w:tc>
          <w:tcPr>
            <w:tcW w:w="4966"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Relevant work permit(s) are signed off and, towers and associated hardware are returned to service in accordance with requirements.</w:t>
            </w:r>
          </w:p>
        </w:tc>
      </w:tr>
      <w:tr w:rsidTr="00AD5EF9">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3.6</w:t>
            </w:r>
          </w:p>
        </w:tc>
        <w:tc>
          <w:tcPr>
            <w:tcW w:w="4966" w:type="dxa"/>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t>Works completion records, reports, as installed /modified drawing and/or documentation and information are finalised and processed and appropriate personnel notified.</w:t>
            </w:r>
          </w:p>
        </w:tc>
      </w:tr>
    </w:tbl>
    <w:p w:rsidR="00AD5EF9" w:rsidP="007E2358">
      <w:pPr>
        <w:pStyle w:val="BodyText"/>
      </w:pPr>
    </w:p>
    <w:p w:rsidR="00AD5EF9" w:rsidP="007E2358">
      <w:pPr>
        <w:pStyle w:val="BodyText"/>
      </w:pPr>
    </w:p>
    <w:p w:rsidR="00000000" w:rsidRPr="007E2358" w:rsidP="007E2358">
      <w:pPr>
        <w:pStyle w:val="Heading1"/>
      </w:pPr>
      <w:bookmarkStart w:id="9" w:name="O_264067"/>
      <w:bookmarkEnd w:id="9"/>
      <w:r w:rsidRPr="007E2358">
        <w:t>Required Skills and Knowledge</w:t>
      </w:r>
    </w:p>
    <w:tbl>
      <w:tblPr>
        <w:tblW w:w="0" w:type="auto"/>
        <w:tblLayout w:type="fixed"/>
        <w:tblCellMar>
          <w:left w:w="62" w:type="dxa"/>
          <w:right w:w="62" w:type="dxa"/>
        </w:tblCellMar>
        <w:tblLook w:val="0000"/>
      </w:tblPr>
      <w:tblGrid>
        <w:gridCol w:w="2755"/>
        <w:gridCol w:w="1103"/>
        <w:gridCol w:w="4782"/>
      </w:tblGrid>
      <w:tr w:rsidTr="00AD5EF9">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rPr>
                <w:rStyle w:val="SpecialBold"/>
              </w:rPr>
              <w:t>REQUIRED SKILLS AND KNOWLEDGE</w:t>
            </w:r>
          </w:p>
        </w:tc>
      </w:tr>
      <w:tr w:rsidTr="00AD5EF9">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rPr>
                <w:rStyle w:val="SpecialBold"/>
              </w:rPr>
              <w:t>7</w:t>
            </w:r>
            <w:r w:rsidRPr="007E2358">
              <w:t xml:space="preserve">) </w:t>
            </w:r>
            <w:r w:rsidRPr="007E2358">
              <w:rPr>
                <w:rStyle w:val="SpecialBold"/>
              </w:rPr>
              <w:t>Ess</w:t>
            </w:r>
            <w:r w:rsidRPr="007E2358">
              <w:rPr>
                <w:rStyle w:val="SpecialBold"/>
              </w:rPr>
              <w:t>ential Knowledge and Associated Skills</w:t>
            </w:r>
            <w:r w:rsidRPr="007E2358">
              <w:t xml:space="preserve"> (</w:t>
            </w:r>
            <w:r w:rsidRPr="007E2358">
              <w:rPr>
                <w:rStyle w:val="SpecialBold"/>
              </w:rPr>
              <w:t>EKAS</w:t>
            </w:r>
            <w:r w:rsidRPr="007E2358">
              <w:t>): This describes the essential skills and knowledge and their level, required for this unit.</w:t>
            </w:r>
          </w:p>
        </w:tc>
      </w:tr>
      <w:tr w:rsidTr="00AD5EF9">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t xml:space="preserve">Evidence shall show that knowledge has been acquired of maintaining transmission towers and associated hardware. </w:t>
            </w:r>
          </w:p>
          <w:p w:rsidR="00000000" w:rsidRPr="007E2358" w:rsidP="007E2358">
            <w:pPr>
              <w:pStyle w:val="BodyText"/>
            </w:pPr>
            <w:r w:rsidRPr="007E2358">
              <w:t>All knowledge and skills detailed in this unit should be contextualised to current industry practices and technologies.</w:t>
            </w:r>
          </w:p>
          <w:p w:rsidR="00000000" w:rsidP="007E2358">
            <w:pPr>
              <w:pStyle w:val="BodyText"/>
              <w:rPr>
                <w:lang w:val="en-NZ"/>
              </w:rPr>
            </w:pPr>
            <w:r w:rsidRPr="007E2358">
              <w:t>The extent of the essential knowledge and associated skills (EKAS) required is given in Volume 2 - Part 2.2 EKAS. It forms an integral p</w:t>
            </w:r>
            <w:r w:rsidRPr="007E2358">
              <w:t>art of this unit.</w:t>
            </w:r>
          </w:p>
        </w:tc>
      </w:tr>
      <w:tr w:rsidTr="00AD5EF9">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E2.8.2.2</w:t>
            </w:r>
          </w:p>
        </w:tc>
        <w:tc>
          <w:tcPr>
            <w:tcW w:w="4782"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Alternating current principles - power</w:t>
            </w:r>
          </w:p>
        </w:tc>
      </w:tr>
      <w:tr w:rsidTr="00AD5EF9">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E2.8.5</w:t>
            </w:r>
          </w:p>
        </w:tc>
        <w:tc>
          <w:tcPr>
            <w:tcW w:w="4782"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Magnetism</w:t>
            </w:r>
          </w:p>
        </w:tc>
      </w:tr>
      <w:tr w:rsidTr="00AD5EF9">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 xml:space="preserve">E2.8.6 </w:t>
            </w:r>
          </w:p>
        </w:tc>
        <w:tc>
          <w:tcPr>
            <w:tcW w:w="4782"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Electromagnetic principles</w:t>
            </w:r>
          </w:p>
        </w:tc>
      </w:tr>
      <w:tr w:rsidTr="00AD5EF9">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 xml:space="preserve">T2.2.11 </w:t>
            </w:r>
          </w:p>
        </w:tc>
        <w:tc>
          <w:tcPr>
            <w:tcW w:w="4782"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 xml:space="preserve">Routine maintenance on transmission structures </w:t>
            </w:r>
          </w:p>
        </w:tc>
      </w:tr>
      <w:tr w:rsidTr="00AD5EF9">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 xml:space="preserve">T2.3.1 </w:t>
            </w:r>
          </w:p>
        </w:tc>
        <w:tc>
          <w:tcPr>
            <w:tcW w:w="4782" w:type="dxa"/>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t>Powerline safety practices</w:t>
            </w:r>
          </w:p>
        </w:tc>
      </w:tr>
    </w:tbl>
    <w:p w:rsidR="00AD5EF9" w:rsidP="007E2358">
      <w:pPr>
        <w:pStyle w:val="BodyText"/>
      </w:pPr>
    </w:p>
    <w:p w:rsidR="00AD5EF9" w:rsidP="007E2358">
      <w:pPr>
        <w:pStyle w:val="BodyText"/>
      </w:pPr>
    </w:p>
    <w:p w:rsidR="00000000" w:rsidRPr="007E2358" w:rsidP="007E2358">
      <w:pPr>
        <w:pStyle w:val="Heading1"/>
      </w:pPr>
      <w:bookmarkStart w:id="10" w:name="O_248259"/>
      <w:bookmarkEnd w:id="10"/>
      <w:r w:rsidRPr="007E2358">
        <w:t>Evidence Guide</w:t>
      </w:r>
    </w:p>
    <w:tbl>
      <w:tblPr>
        <w:tblW w:w="0" w:type="auto"/>
        <w:tblLayout w:type="fixed"/>
        <w:tblCellMar>
          <w:left w:w="62" w:type="dxa"/>
          <w:right w:w="62" w:type="dxa"/>
        </w:tblCellMar>
        <w:tblLook w:val="0000"/>
      </w:tblPr>
      <w:tblGrid>
        <w:gridCol w:w="2204"/>
        <w:gridCol w:w="735"/>
        <w:gridCol w:w="971"/>
        <w:gridCol w:w="1592"/>
        <w:gridCol w:w="3138"/>
      </w:tblGrid>
      <w:tr w:rsidTr="00AD5EF9">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rPr>
                <w:rStyle w:val="SpecialBold"/>
              </w:rPr>
              <w:t>EVIDENCE GUIDE</w:t>
            </w:r>
          </w:p>
        </w:tc>
      </w:tr>
      <w:tr w:rsidTr="00AD5EF9">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rPr>
                <w:rStyle w:val="SpecialBold"/>
              </w:rPr>
              <w:t>9</w:t>
            </w:r>
            <w:r w:rsidRPr="007E2358">
              <w:t>) This provides essential advice for assessment of the unit of competency and must be read in conjunction with the Performance Criteria and the Range Statement of the unit of competency and the Training Package Assessment Guidelines.</w:t>
            </w:r>
          </w:p>
          <w:p w:rsidR="00000000" w:rsidP="007E2358">
            <w:pPr>
              <w:pStyle w:val="BodyText"/>
              <w:rPr>
                <w:lang w:val="en-NZ"/>
              </w:rPr>
            </w:pPr>
            <w:r w:rsidRPr="007E2358">
              <w:t>The Evidence Guide forms an integral part of this Competency Standard Unit and shall be used in conjunction with all component parts of this unit and, performed in accordance with the Assessment Guidelines of this Training Package.</w:t>
            </w:r>
          </w:p>
        </w:tc>
      </w:tr>
      <w:tr w:rsidTr="00AD5EF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rPr>
                <w:rStyle w:val="SpecialBold"/>
              </w:rPr>
              <w:t>Overview of Assessm</w:t>
            </w:r>
            <w:r w:rsidRPr="007E2358">
              <w:rPr>
                <w:rStyle w:val="SpecialBold"/>
              </w:rPr>
              <w:t>ent</w:t>
            </w:r>
          </w:p>
        </w:tc>
        <w:tc>
          <w:tcPr>
            <w:tcW w:w="6436" w:type="dxa"/>
            <w:gridSpan w:val="4"/>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rPr>
                <w:rStyle w:val="SpecialBold"/>
              </w:rPr>
              <w:t>9</w:t>
            </w:r>
            <w:r w:rsidRPr="007E2358">
              <w:t>.</w:t>
            </w:r>
            <w:r w:rsidRPr="007E2358">
              <w:rPr>
                <w:rStyle w:val="SpecialBold"/>
              </w:rPr>
              <w:t>1</w:t>
            </w:r>
            <w:r w:rsidRPr="007E2358">
              <w:t xml:space="preserve">) </w:t>
            </w:r>
          </w:p>
          <w:p w:rsidR="00000000" w:rsidRPr="007E2358" w:rsidP="007E2358">
            <w:pPr>
              <w:pStyle w:val="BodyText"/>
            </w:pPr>
            <w:r w:rsidRPr="007E2358">
              <w:t xml:space="preserve">Longitudinal competency development approaches to assessment, such as Profiling, require data to be reliably gathered in a form that can be consistently interpreted over time. This approach is best utilised in Apprenticeship programs and reduces </w:t>
            </w:r>
            <w:r w:rsidRPr="007E2358">
              <w:t>assessment intervention. It is the Industry's preferred model for apprenticeships. However, where summative (or final) assessment is used it is to include the application of the competency in the normal work environment or, at a minimum, the application of</w:t>
            </w:r>
            <w:r w:rsidRPr="007E2358">
              <w:t xml:space="preserve"> 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7E2358" w:rsidP="007E2358">
            <w:pPr>
              <w:pStyle w:val="BodyText"/>
            </w:pPr>
            <w:r w:rsidRPr="007E2358">
              <w:t>Meth</w:t>
            </w:r>
            <w:r w:rsidRPr="007E2358">
              <w:t>ods chosen for a particular assessment will be influenced by various factors. These include the extent of the assessment, the most effective locations for the assessment activities to take place, access to physical resources, additional safety measures tha</w:t>
            </w:r>
            <w:r w:rsidRPr="007E2358">
              <w:t>t may be required and the critical nature of the competencies being assessed.</w:t>
            </w:r>
          </w:p>
          <w:p w:rsidR="00000000" w:rsidRPr="007E2358" w:rsidP="007E2358">
            <w:pPr>
              <w:pStyle w:val="BodyText"/>
            </w:pPr>
            <w:r w:rsidRPr="007E2358">
              <w:t>The critical safety nature of working with electricity, electrical equipment, gas or any other hazardous substance/material carries risk in deeming a person competent. Hence, sou</w:t>
            </w:r>
            <w:r w:rsidRPr="007E2358">
              <w:t>rces of evidence need to be 'rich' in nature so as to minimise error in judgment.</w:t>
            </w:r>
          </w:p>
          <w:p w:rsidR="00000000" w:rsidP="007E2358">
            <w:pPr>
              <w:pStyle w:val="BodyText"/>
              <w:rPr>
                <w:lang w:val="en-NZ"/>
              </w:rPr>
            </w:pPr>
            <w:r w:rsidRPr="007E2358">
              <w:t>Activities associated with normal every day work have a bearing on the decision as to how much and how detailed the data gathered will contribute to its 'richness'. Some skil</w:t>
            </w:r>
            <w:r w:rsidRPr="007E2358">
              <w:t>ls are more critical to safety and operational requirements while the same skills may be more or less frequently practiced. These points are raised for the assessors to consider when choosing an assessment method and developing assessment instruments. Samp</w:t>
            </w:r>
            <w:r w:rsidRPr="007E2358">
              <w:t>le assessment instruments are included for Assessors in the Assessment Guidelines of this Training Package.</w:t>
            </w:r>
          </w:p>
        </w:tc>
      </w:tr>
      <w:tr w:rsidTr="00AD5EF9">
        <w:tblPrEx>
          <w:tblW w:w="0" w:type="auto"/>
          <w:tblLayout w:type="fixed"/>
          <w:tblCellMar>
            <w:left w:w="62" w:type="dxa"/>
            <w:right w:w="62" w:type="dxa"/>
          </w:tblCellMar>
          <w:tblLook w:val="0000"/>
        </w:tblPrEx>
        <w:tc>
          <w:tcPr>
            <w:tcW w:w="2204" w:type="dxa"/>
            <w:vMerge w:val="restart"/>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rPr>
                <w:rStyle w:val="SpecialBold"/>
              </w:rPr>
              <w:t>Critical aspects of evidence required to demonstrate competency in this unit</w:t>
            </w:r>
          </w:p>
        </w:tc>
        <w:tc>
          <w:tcPr>
            <w:tcW w:w="6436" w:type="dxa"/>
            <w:gridSpan w:val="4"/>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rPr>
                <w:rStyle w:val="SpecialBold"/>
              </w:rPr>
              <w:t>9</w:t>
            </w:r>
            <w:r w:rsidRPr="007E2358">
              <w:t>.</w:t>
            </w:r>
            <w:r w:rsidRPr="007E2358">
              <w:rPr>
                <w:rStyle w:val="SpecialBold"/>
              </w:rPr>
              <w:t>2</w:t>
            </w:r>
            <w:r w:rsidRPr="007E2358">
              <w:t xml:space="preserve">) </w:t>
            </w:r>
          </w:p>
          <w:p w:rsidR="00000000" w:rsidP="007E2358">
            <w:pPr>
              <w:pStyle w:val="BodyText"/>
              <w:rPr>
                <w:lang w:val="en-NZ"/>
              </w:rPr>
            </w:pPr>
            <w:r w:rsidRPr="007E2358">
              <w:t>Before the critical aspects of evidence are considered all prerequisites shall be met.</w:t>
            </w:r>
          </w:p>
        </w:tc>
      </w:tr>
      <w:tr w:rsidTr="00AD5EF9">
        <w:tblPrEx>
          <w:tblW w:w="0" w:type="auto"/>
          <w:tblLayout w:type="fixed"/>
          <w:tblCellMar>
            <w:left w:w="62" w:type="dxa"/>
            <w:right w:w="62" w:type="dxa"/>
          </w:tblCellMar>
          <w:tblLook w:val="0000"/>
        </w:tblPrEx>
        <w:tc>
          <w:tcPr>
            <w:tcW w:w="22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6" w:type="dxa"/>
            <w:gridSpan w:val="4"/>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t>Evidence for competence in this unit shall be considered holistically. Each element and associated Performance Criteria shall be demonstrated on at least two occasi</w:t>
            </w:r>
            <w:r w:rsidRPr="007E2358">
              <w:t>ons in accordance with the "Assessment Guidelines - UET09". Evidence shall also comprise:</w:t>
            </w:r>
          </w:p>
          <w:p w:rsidR="00000000" w:rsidP="007E2358">
            <w:pPr>
              <w:pStyle w:val="ListBullet"/>
              <w:rPr>
                <w:lang w:val="en-NZ"/>
              </w:rPr>
            </w:pPr>
            <w:r w:rsidRPr="007E2358">
              <w:t>A representative body of Performance Criteria demonstrated within the timeframes typically expected of the discipline, work function and industrial environment. In p</w:t>
            </w:r>
            <w:r w:rsidRPr="007E2358">
              <w:t>articular this shall incorporate evidence that shows a candidate is able to:</w:t>
            </w:r>
          </w:p>
        </w:tc>
      </w:tr>
      <w:tr w:rsidTr="00AD5EF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p>
        </w:tc>
        <w:tc>
          <w:tcPr>
            <w:tcW w:w="6436" w:type="dxa"/>
            <w:gridSpan w:val="4"/>
            <w:tcBorders>
              <w:top w:val="nil"/>
              <w:left w:val="nil"/>
              <w:bottom w:val="nil"/>
              <w:right w:val="nil"/>
            </w:tcBorders>
            <w:tcMar>
              <w:top w:w="0" w:type="dxa"/>
              <w:left w:w="62" w:type="dxa"/>
              <w:bottom w:w="0" w:type="dxa"/>
              <w:right w:w="62" w:type="dxa"/>
            </w:tcMar>
          </w:tcPr>
          <w:p w:rsidR="00000000" w:rsidRPr="007E2358" w:rsidP="007E2358">
            <w:pPr>
              <w:pStyle w:val="ListBullet2"/>
            </w:pPr>
            <w:r w:rsidRPr="007E2358">
              <w:t xml:space="preserve">Implement Occupational Health and Safety workplace procedures and practices including </w:t>
            </w:r>
            <w:r w:rsidRPr="007E2358">
              <w:t>the use of risk control measures as specified in the Performance Criteria and range; and</w:t>
            </w:r>
          </w:p>
          <w:p w:rsidR="00000000" w:rsidRPr="007E2358" w:rsidP="007E2358">
            <w:pPr>
              <w:pStyle w:val="ListBullet2"/>
            </w:pPr>
            <w:r w:rsidRPr="007E2358">
              <w:t>Apply sustainable energy principles and practices as specified in the Performance Criteria and range; and</w:t>
            </w:r>
          </w:p>
          <w:p w:rsidR="00000000" w:rsidRPr="007E2358" w:rsidP="007E2358">
            <w:pPr>
              <w:pStyle w:val="ListBullet2"/>
            </w:pPr>
            <w:r w:rsidRPr="007E2358">
              <w:t>Demonstrate an understanding of the essential knowledge and associated skills as described in this unit to such an extent that the learner's performance outcome is reported in accordance with the preferred approach; namely a percentile graded result, where</w:t>
            </w:r>
            <w:r w:rsidRPr="007E2358">
              <w:t xml:space="preserve"> required by the regulated environment; and</w:t>
            </w:r>
          </w:p>
          <w:p w:rsidR="00000000" w:rsidRPr="007E2358" w:rsidP="007E2358">
            <w:pPr>
              <w:pStyle w:val="ListBullet2"/>
            </w:pPr>
            <w:r w:rsidRPr="007E2358">
              <w:t>Demonstrate an appropriate level of employability skills; and</w:t>
            </w:r>
          </w:p>
          <w:p w:rsidR="00000000" w:rsidP="007E2358">
            <w:pPr>
              <w:pStyle w:val="ListBullet2"/>
              <w:rPr>
                <w:lang w:val="en-NZ"/>
              </w:rPr>
            </w:pPr>
            <w:r w:rsidRPr="007E2358">
              <w:t>Conduct work observing the relevant Anti Discrimination legislation, regulations, policies and workplace procedures; and</w:t>
            </w:r>
          </w:p>
        </w:tc>
      </w:tr>
      <w:tr w:rsidTr="00AD5EF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p>
        </w:tc>
        <w:tc>
          <w:tcPr>
            <w:tcW w:w="6436" w:type="dxa"/>
            <w:gridSpan w:val="4"/>
            <w:tcBorders>
              <w:top w:val="nil"/>
              <w:left w:val="nil"/>
              <w:bottom w:val="nil"/>
              <w:right w:val="nil"/>
            </w:tcBorders>
            <w:tcMar>
              <w:top w:w="0" w:type="dxa"/>
              <w:left w:w="62" w:type="dxa"/>
              <w:bottom w:w="0" w:type="dxa"/>
              <w:right w:w="62" w:type="dxa"/>
            </w:tcMar>
          </w:tcPr>
          <w:p w:rsidR="00000000" w:rsidP="007E2358">
            <w:pPr>
              <w:pStyle w:val="ListBullet"/>
              <w:rPr>
                <w:lang w:val="en-NZ"/>
              </w:rPr>
            </w:pPr>
            <w:r w:rsidRPr="007E2358">
              <w:t>Demonstrated performanc</w:t>
            </w:r>
            <w:r w:rsidRPr="007E2358">
              <w:t>e across a representative range of contexts from the prescribed items below:</w:t>
            </w:r>
          </w:p>
        </w:tc>
      </w:tr>
      <w:tr w:rsidTr="00AD5EF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7E2358">
            <w:pPr>
              <w:pStyle w:val="BodyText"/>
              <w:keepNext w:val="0"/>
              <w:keepLines w:val="0"/>
              <w:contextualSpacing w:val="0"/>
            </w:pPr>
          </w:p>
        </w:tc>
        <w:tc>
          <w:tcPr>
            <w:tcW w:w="5701"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358">
            <w:pPr>
              <w:pStyle w:val="BodyText"/>
              <w:rPr>
                <w:lang w:val="en-NZ"/>
              </w:rPr>
            </w:pPr>
            <w:r w:rsidRPr="007E2358">
              <w:rPr>
                <w:rStyle w:val="SpecialBold"/>
              </w:rPr>
              <w:t>Range of tools</w:t>
            </w:r>
            <w:r w:rsidRPr="007E2358">
              <w:t>/</w:t>
            </w:r>
            <w:r w:rsidRPr="007E2358">
              <w:rPr>
                <w:rStyle w:val="SpecialBold"/>
              </w:rPr>
              <w:t>equipment</w:t>
            </w:r>
            <w:r w:rsidRPr="007E2358">
              <w:t>/</w:t>
            </w:r>
            <w:r w:rsidRPr="007E2358">
              <w:rPr>
                <w:rStyle w:val="SpecialBold"/>
              </w:rPr>
              <w:t>materials</w:t>
            </w:r>
            <w:r w:rsidRPr="007E2358">
              <w:t>/</w:t>
            </w:r>
            <w:r w:rsidRPr="007E2358">
              <w:rPr>
                <w:rStyle w:val="SpecialBold"/>
              </w:rPr>
              <w:t>procedures</w:t>
            </w:r>
            <w:r w:rsidRPr="007E2358">
              <w:t>/</w:t>
            </w:r>
            <w:r w:rsidRPr="007E2358">
              <w:rPr>
                <w:rStyle w:val="SpecialBold"/>
              </w:rPr>
              <w:t>workplaces</w:t>
            </w:r>
            <w:r w:rsidRPr="007E2358">
              <w:t>/</w:t>
            </w:r>
            <w:r w:rsidRPr="007E2358">
              <w:rPr>
                <w:rStyle w:val="SpecialBold"/>
              </w:rPr>
              <w:t>other variables</w:t>
            </w:r>
          </w:p>
        </w:tc>
      </w:tr>
      <w:tr w:rsidTr="00AD5EF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7E2358">
            <w:pPr>
              <w:pStyle w:val="BodyText"/>
              <w:keepNext w:val="0"/>
              <w:keepLines w:val="0"/>
              <w:contextualSpacing w:val="0"/>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358" w:rsidP="007E2358">
            <w:pPr>
              <w:pStyle w:val="BodyText"/>
            </w:pPr>
            <w:r w:rsidRPr="007E2358">
              <w:rPr>
                <w:rStyle w:val="SpecialBold"/>
              </w:rPr>
              <w:t>Group No</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358" w:rsidP="007E2358">
            <w:pPr>
              <w:pStyle w:val="BodyText"/>
            </w:pPr>
            <w:r w:rsidRPr="007E2358">
              <w:rPr>
                <w:rStyle w:val="SpecialBold"/>
              </w:rPr>
              <w:t>The minimum number of items on which skill is to be demonstrated</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358">
            <w:pPr>
              <w:pStyle w:val="BodyText"/>
              <w:rPr>
                <w:lang w:val="en-NZ"/>
              </w:rPr>
            </w:pPr>
            <w:r w:rsidRPr="007E2358">
              <w:rPr>
                <w:rStyle w:val="SpecialBold"/>
              </w:rPr>
              <w:t>Item List</w:t>
            </w:r>
          </w:p>
        </w:tc>
      </w:tr>
      <w:tr w:rsidTr="00AD5EF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358">
            <w:pPr>
              <w:pStyle w:val="BodyText"/>
              <w:rPr>
                <w:lang w:val="en-NZ"/>
              </w:rPr>
            </w:pPr>
            <w:r w:rsidRPr="007E2358">
              <w:t>A</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358">
            <w:pPr>
              <w:pStyle w:val="BodyText"/>
              <w:rPr>
                <w:lang w:val="en-NZ"/>
              </w:rPr>
            </w:pPr>
            <w:r w:rsidRPr="007E2358">
              <w:t>Any one of the following:</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358" w:rsidP="007E2358">
            <w:pPr>
              <w:pStyle w:val="BodyText"/>
            </w:pPr>
            <w:r w:rsidRPr="007E2358">
              <w:t xml:space="preserve">Pyramid </w:t>
            </w:r>
          </w:p>
          <w:p w:rsidR="00000000" w:rsidRPr="007E2358" w:rsidP="007E2358">
            <w:pPr>
              <w:pStyle w:val="BodyText"/>
            </w:pPr>
            <w:r w:rsidRPr="007E2358">
              <w:t>Delta pi</w:t>
            </w:r>
          </w:p>
          <w:p w:rsidR="00000000" w:rsidP="007E2358">
            <w:pPr>
              <w:pStyle w:val="BodyText"/>
              <w:rPr>
                <w:lang w:val="en-NZ"/>
              </w:rPr>
            </w:pPr>
            <w:r w:rsidRPr="007E2358">
              <w:t>Enterprise specific type</w:t>
            </w:r>
          </w:p>
        </w:tc>
      </w:tr>
      <w:tr w:rsidTr="00AD5EF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358">
            <w:pPr>
              <w:pStyle w:val="BodyText"/>
              <w:rPr>
                <w:lang w:val="en-NZ"/>
              </w:rPr>
            </w:pPr>
            <w:r w:rsidRPr="007E2358">
              <w:t>B</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358">
            <w:pPr>
              <w:pStyle w:val="BodyText"/>
              <w:rPr>
                <w:lang w:val="en-NZ"/>
              </w:rPr>
            </w:pPr>
            <w:r w:rsidRPr="007E2358">
              <w:t>At least two of the following</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358" w:rsidP="007E2358">
            <w:pPr>
              <w:pStyle w:val="BodyText"/>
            </w:pPr>
            <w:r w:rsidRPr="007E2358">
              <w:t>Insulators</w:t>
            </w:r>
          </w:p>
          <w:p w:rsidR="00000000" w:rsidRPr="007E2358" w:rsidP="007E2358">
            <w:pPr>
              <w:pStyle w:val="BodyText"/>
            </w:pPr>
            <w:r w:rsidRPr="007E2358">
              <w:t>Clamps</w:t>
            </w:r>
          </w:p>
          <w:p w:rsidR="00000000" w:rsidRPr="007E2358" w:rsidP="007E2358">
            <w:pPr>
              <w:pStyle w:val="BodyText"/>
            </w:pPr>
            <w:r w:rsidRPr="007E2358">
              <w:t>Bolts</w:t>
            </w:r>
          </w:p>
          <w:p w:rsidR="00000000" w:rsidP="007E2358">
            <w:pPr>
              <w:pStyle w:val="BodyText"/>
              <w:rPr>
                <w:lang w:val="en-NZ"/>
              </w:rPr>
            </w:pPr>
            <w:r w:rsidRPr="007E2358">
              <w:t>Structural components</w:t>
            </w:r>
          </w:p>
        </w:tc>
      </w:tr>
      <w:tr w:rsidTr="00AD5EF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358">
            <w:pPr>
              <w:pStyle w:val="BodyText"/>
              <w:rPr>
                <w:lang w:val="en-NZ"/>
              </w:rPr>
            </w:pPr>
            <w:r w:rsidRPr="007E2358">
              <w:t>C</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358">
            <w:pPr>
              <w:pStyle w:val="BodyText"/>
              <w:rPr>
                <w:lang w:val="en-NZ"/>
              </w:rPr>
            </w:pPr>
            <w:r w:rsidRPr="007E2358">
              <w:t>At least one of the following:</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358" w:rsidP="007E2358">
            <w:pPr>
              <w:pStyle w:val="BodyText"/>
            </w:pPr>
            <w:r w:rsidRPr="007E2358">
              <w:t>Welding</w:t>
            </w:r>
          </w:p>
          <w:p w:rsidR="00000000" w:rsidP="007E2358">
            <w:pPr>
              <w:pStyle w:val="BodyText"/>
              <w:rPr>
                <w:lang w:val="en-NZ"/>
              </w:rPr>
            </w:pPr>
            <w:r w:rsidRPr="007E2358">
              <w:t>Cleaning</w:t>
            </w:r>
          </w:p>
        </w:tc>
      </w:tr>
      <w:tr w:rsidTr="00AD5EF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358">
            <w:pPr>
              <w:pStyle w:val="BodyText"/>
              <w:rPr>
                <w:lang w:val="en-NZ"/>
              </w:rPr>
            </w:pPr>
            <w:r w:rsidRPr="007E2358">
              <w:t>D</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358">
            <w:pPr>
              <w:pStyle w:val="BodyText"/>
              <w:rPr>
                <w:lang w:val="en-NZ"/>
              </w:rPr>
            </w:pPr>
            <w:r w:rsidRPr="007E2358">
              <w:t>At least one occasion</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358">
            <w:pPr>
              <w:pStyle w:val="BodyText"/>
              <w:rPr>
                <w:lang w:val="en-NZ"/>
              </w:rPr>
            </w:pPr>
            <w:r w:rsidRPr="007E2358">
              <w:t>Dealing with an unplanned event by drawing on essential knowledge and associated skills to provide appropriate solutions incorporated in the holistic assessment with the above listed items.</w:t>
            </w:r>
          </w:p>
        </w:tc>
      </w:tr>
      <w:tr w:rsidTr="00AD5EF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rPr>
                <w:rStyle w:val="SpecialBold"/>
              </w:rPr>
              <w:t>Context of and specific resources for assessment</w:t>
            </w:r>
          </w:p>
        </w:tc>
        <w:tc>
          <w:tcPr>
            <w:tcW w:w="6436" w:type="dxa"/>
            <w:gridSpan w:val="4"/>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rPr>
                <w:rStyle w:val="SpecialBold"/>
              </w:rPr>
              <w:t>9</w:t>
            </w:r>
            <w:r w:rsidRPr="007E2358">
              <w:t>.</w:t>
            </w:r>
            <w:r w:rsidRPr="007E2358">
              <w:rPr>
                <w:rStyle w:val="SpecialBold"/>
              </w:rPr>
              <w:t>3</w:t>
            </w:r>
            <w:r w:rsidRPr="007E2358">
              <w:t xml:space="preserve">) </w:t>
            </w:r>
          </w:p>
          <w:p w:rsidR="00000000" w:rsidRPr="007E2358" w:rsidP="007E2358">
            <w:pPr>
              <w:pStyle w:val="BodyText"/>
            </w:pPr>
            <w:r w:rsidRPr="007E2358">
              <w:t xml:space="preserve">This unit </w:t>
            </w:r>
            <w:r w:rsidRPr="007E2358">
              <w:t>should be assessed as it relates to normal work practice using procedures, information and resources typical of a workplace. This should include:</w:t>
            </w:r>
          </w:p>
          <w:p w:rsidR="00000000" w:rsidRPr="007E2358" w:rsidP="007E2358">
            <w:pPr>
              <w:pStyle w:val="ListBullet"/>
            </w:pPr>
            <w:r w:rsidRPr="007E2358">
              <w:t>OHS policy and work procedures and instructions.</w:t>
            </w:r>
          </w:p>
          <w:p w:rsidR="00000000" w:rsidP="007E2358">
            <w:pPr>
              <w:pStyle w:val="ListBullet"/>
              <w:rPr>
                <w:lang w:val="en-NZ"/>
              </w:rPr>
            </w:pPr>
            <w:r w:rsidRPr="007E2358">
              <w:t>Suitable work environment, facilities, equipment and materials to undertake actual pre-tension stringing of transmission overhead conductors and cables.</w:t>
            </w:r>
          </w:p>
        </w:tc>
      </w:tr>
      <w:tr w:rsidTr="00AD5EF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6" w:type="dxa"/>
            <w:gridSpan w:val="4"/>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In addition to the resources listed above, in Context of and specific resources for assessment, ev</w:t>
            </w:r>
            <w:r w:rsidRPr="007E2358">
              <w:t>idence should show demonstrated competency working below ground, in limited spaces, with different structural/construction types and method and in a variety of environments</w:t>
            </w:r>
          </w:p>
        </w:tc>
      </w:tr>
      <w:tr w:rsidTr="00AD5EF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rPr>
                <w:rStyle w:val="SpecialBold"/>
              </w:rPr>
              <w:t>Method of assessment</w:t>
            </w:r>
          </w:p>
        </w:tc>
        <w:tc>
          <w:tcPr>
            <w:tcW w:w="6436" w:type="dxa"/>
            <w:gridSpan w:val="4"/>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rPr>
                <w:rStyle w:val="SpecialBold"/>
              </w:rPr>
              <w:t>9</w:t>
            </w:r>
            <w:r w:rsidRPr="007E2358">
              <w:t>.</w:t>
            </w:r>
            <w:r w:rsidRPr="007E2358">
              <w:rPr>
                <w:rStyle w:val="SpecialBold"/>
              </w:rPr>
              <w:t>4</w:t>
            </w:r>
            <w:r w:rsidRPr="007E2358">
              <w:t xml:space="preserve">) </w:t>
            </w:r>
          </w:p>
          <w:p w:rsidR="00000000" w:rsidRPr="007E2358" w:rsidP="007E2358">
            <w:pPr>
              <w:pStyle w:val="BodyText"/>
            </w:pPr>
            <w:r w:rsidRPr="007E2358">
              <w:t>This Competency Standard Unit shall be assessed by m</w:t>
            </w:r>
            <w:r w:rsidRPr="007E2358">
              <w:t>ethods given in Volume 1, Part 3 "Assessment Guidelines".</w:t>
            </w:r>
          </w:p>
          <w:p w:rsidR="00000000" w:rsidP="007E2358">
            <w:pPr>
              <w:pStyle w:val="BodyText"/>
              <w:rPr>
                <w:lang w:val="en-NZ"/>
              </w:rPr>
            </w:pPr>
            <w:r w:rsidRPr="007E2358">
              <w:t>Note:</w:t>
            </w:r>
            <w:r w:rsidRPr="007E2358">
              <w:br/>
            </w:r>
            <w:r w:rsidRPr="007E2358">
              <w:t>Competent performance with inherent safe working practices is expected in the Transmission, Distribution and Rail Traction Industry. This requires that the specified essential knowledge and associated skills are assessed in a structured environment which i</w:t>
            </w:r>
            <w:r w:rsidRPr="007E2358">
              <w:t>s primarily intended for learning/assessment and incorporates all necessary equipment and facilities for learners to develop and demonstrate the essential knowledge and associated skills described in this unit.</w:t>
            </w:r>
          </w:p>
        </w:tc>
      </w:tr>
      <w:tr w:rsidTr="00AD5EF9">
        <w:tblPrEx>
          <w:tblW w:w="0" w:type="auto"/>
          <w:tblLayout w:type="fixed"/>
          <w:tblCellMar>
            <w:left w:w="62" w:type="dxa"/>
            <w:right w:w="62" w:type="dxa"/>
          </w:tblCellMar>
          <w:tblLook w:val="0000"/>
        </w:tblPrEx>
        <w:tc>
          <w:tcPr>
            <w:tcW w:w="2204" w:type="dxa"/>
            <w:vMerge w:val="restart"/>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rPr>
                <w:rStyle w:val="SpecialBold"/>
              </w:rPr>
              <w:t>Concurrent assessment and relationship wi</w:t>
            </w:r>
            <w:r w:rsidRPr="007E2358">
              <w:rPr>
                <w:rStyle w:val="SpecialBold"/>
              </w:rPr>
              <w:t>th other units</w:t>
            </w:r>
          </w:p>
        </w:tc>
        <w:tc>
          <w:tcPr>
            <w:tcW w:w="6436" w:type="dxa"/>
            <w:gridSpan w:val="4"/>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rPr>
                <w:rStyle w:val="SpecialBold"/>
              </w:rPr>
              <w:t>9</w:t>
            </w:r>
            <w:r w:rsidRPr="007E2358">
              <w:t>.</w:t>
            </w:r>
            <w:r w:rsidRPr="007E2358">
              <w:rPr>
                <w:rStyle w:val="SpecialBold"/>
              </w:rPr>
              <w:t>5</w:t>
            </w:r>
            <w:r w:rsidRPr="007E2358">
              <w:t>)</w:t>
            </w:r>
          </w:p>
        </w:tc>
      </w:tr>
      <w:tr w:rsidTr="00AD5EF9">
        <w:tblPrEx>
          <w:tblW w:w="0" w:type="auto"/>
          <w:tblLayout w:type="fixed"/>
          <w:tblCellMar>
            <w:left w:w="62" w:type="dxa"/>
            <w:right w:w="62" w:type="dxa"/>
          </w:tblCellMar>
          <w:tblLook w:val="0000"/>
        </w:tblPrEx>
        <w:tc>
          <w:tcPr>
            <w:tcW w:w="22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6" w:type="dxa"/>
            <w:gridSpan w:val="4"/>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t>There are no concurrent assessment recommendations for this unit.</w:t>
            </w:r>
          </w:p>
        </w:tc>
      </w:tr>
    </w:tbl>
    <w:p w:rsidR="00AD5EF9" w:rsidP="007E2358">
      <w:pPr>
        <w:pStyle w:val="BodyText"/>
      </w:pPr>
    </w:p>
    <w:p w:rsidR="00AD5EF9" w:rsidP="007E2358">
      <w:pPr>
        <w:pStyle w:val="BodyText"/>
      </w:pPr>
    </w:p>
    <w:p w:rsidR="00000000" w:rsidRPr="007E2358" w:rsidP="007E2358">
      <w:pPr>
        <w:pStyle w:val="Heading1"/>
      </w:pPr>
      <w:bookmarkStart w:id="11" w:name="O_256243"/>
      <w:bookmarkEnd w:id="11"/>
      <w:r w:rsidRPr="007E2358">
        <w:t>Range Statement</w:t>
      </w:r>
    </w:p>
    <w:tbl>
      <w:tblPr>
        <w:tblW w:w="0" w:type="auto"/>
        <w:tblLayout w:type="fixed"/>
        <w:tblCellMar>
          <w:left w:w="62" w:type="dxa"/>
          <w:right w:w="62" w:type="dxa"/>
        </w:tblCellMar>
        <w:tblLook w:val="0000"/>
      </w:tblPr>
      <w:tblGrid>
        <w:gridCol w:w="2204"/>
        <w:gridCol w:w="6436"/>
      </w:tblGrid>
      <w:tr w:rsidTr="00AD5EF9">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rPr>
                <w:rStyle w:val="SpecialBold"/>
              </w:rPr>
              <w:t>RANGE STATEMENT</w:t>
            </w:r>
          </w:p>
        </w:tc>
      </w:tr>
      <w:tr w:rsidTr="00AD5EF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rPr>
                <w:rStyle w:val="SpecialBold"/>
              </w:rPr>
              <w:t>8</w:t>
            </w:r>
            <w:r w:rsidRPr="007E2358">
              <w:t xml:space="preserve">) This relates to the unit of competency as a whole providing the range of contexts and conditions </w:t>
            </w:r>
            <w:r w:rsidRPr="007E2358">
              <w:t>to which the Performance Criteria apply. It allows for different work environments and situations that will affect performance.</w:t>
            </w:r>
          </w:p>
        </w:tc>
      </w:tr>
      <w:tr w:rsidTr="00AD5EF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t>This Competency Standard Unit shall/may be demonstrated in relation to the erection of non-energised, pyramid, delta, Pi or enterprise specific towers in accordance with construction plans and specifications</w:t>
            </w:r>
          </w:p>
          <w:p w:rsidR="00000000" w:rsidRPr="007E2358" w:rsidP="007E2358">
            <w:pPr>
              <w:pStyle w:val="BodyText"/>
            </w:pPr>
            <w:r w:rsidRPr="007E2358">
              <w:t>Tower types may include pyramid, delta and pi an</w:t>
            </w:r>
            <w:r w:rsidRPr="007E2358">
              <w:t>d other enterprise specific types.</w:t>
            </w:r>
          </w:p>
          <w:p w:rsidR="00000000" w:rsidRPr="007E2358" w:rsidP="007E2358">
            <w:pPr>
              <w:pStyle w:val="BodyText"/>
            </w:pPr>
            <w:r w:rsidRPr="007E2358">
              <w:t>Maintenance may include the removal, repair and replacement of tower components, including welding where appropriate; and the replacement, repair and cleaning of associated hardware.</w:t>
            </w:r>
          </w:p>
          <w:p w:rsidR="00000000" w:rsidP="007E2358">
            <w:pPr>
              <w:pStyle w:val="BodyText"/>
              <w:rPr>
                <w:lang w:val="en-NZ"/>
              </w:rPr>
            </w:pPr>
            <w:r w:rsidRPr="007E2358">
              <w:t xml:space="preserve">The following constants and variables </w:t>
            </w:r>
            <w:r w:rsidRPr="007E2358">
              <w:t>included in the element/Performance Criteria in this unit are fully described in the Definitions Section 1 of this volume and form an integral part of the Range Statement of this unit:</w:t>
            </w:r>
          </w:p>
        </w:tc>
      </w:tr>
      <w:tr w:rsidTr="00AD5EF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p>
        </w:tc>
        <w:tc>
          <w:tcPr>
            <w:tcW w:w="6436" w:type="dxa"/>
            <w:tcBorders>
              <w:top w:val="nil"/>
              <w:left w:val="nil"/>
              <w:bottom w:val="nil"/>
              <w:right w:val="nil"/>
            </w:tcBorders>
            <w:tcMar>
              <w:top w:w="0" w:type="dxa"/>
              <w:left w:w="62" w:type="dxa"/>
              <w:bottom w:w="0" w:type="dxa"/>
              <w:right w:w="62" w:type="dxa"/>
            </w:tcMar>
          </w:tcPr>
          <w:p w:rsidR="00000000" w:rsidRPr="007E2358" w:rsidP="007E2358">
            <w:pPr>
              <w:pStyle w:val="ListBullet"/>
            </w:pPr>
            <w:r w:rsidRPr="007E2358">
              <w:t>Appropriate and relevant persons (see Personnel)</w:t>
            </w:r>
          </w:p>
          <w:p w:rsidR="00000000" w:rsidRPr="007E2358" w:rsidP="007E2358">
            <w:pPr>
              <w:pStyle w:val="ListBullet"/>
            </w:pPr>
            <w:r w:rsidRPr="007E2358">
              <w:t>Appropriate author</w:t>
            </w:r>
            <w:r w:rsidRPr="007E2358">
              <w:t>ities</w:t>
            </w:r>
          </w:p>
          <w:p w:rsidR="00000000" w:rsidRPr="007E2358" w:rsidP="007E2358">
            <w:pPr>
              <w:pStyle w:val="ListBullet"/>
            </w:pPr>
            <w:r w:rsidRPr="007E2358">
              <w:t>Appropriate work platform</w:t>
            </w:r>
          </w:p>
          <w:p w:rsidR="00000000" w:rsidRPr="007E2358" w:rsidP="007E2358">
            <w:pPr>
              <w:pStyle w:val="ListBullet"/>
            </w:pPr>
            <w:r w:rsidRPr="007E2358">
              <w:t>Assessing risk</w:t>
            </w:r>
          </w:p>
          <w:p w:rsidR="00000000" w:rsidRPr="007E2358" w:rsidP="007E2358">
            <w:pPr>
              <w:pStyle w:val="ListBullet"/>
            </w:pPr>
            <w:r w:rsidRPr="007E2358">
              <w:t>Assessment</w:t>
            </w:r>
          </w:p>
          <w:p w:rsidR="00000000" w:rsidRPr="007E2358" w:rsidP="007E2358">
            <w:pPr>
              <w:pStyle w:val="ListBullet"/>
            </w:pPr>
            <w:r w:rsidRPr="007E2358">
              <w:t>Authorisation</w:t>
            </w:r>
          </w:p>
          <w:p w:rsidR="00000000" w:rsidRPr="007E2358" w:rsidP="007E2358">
            <w:pPr>
              <w:pStyle w:val="ListBullet"/>
            </w:pPr>
            <w:r w:rsidRPr="007E2358">
              <w:t>Diagnostic, testing and restoration</w:t>
            </w:r>
          </w:p>
          <w:p w:rsidR="00000000" w:rsidRPr="007E2358" w:rsidP="007E2358">
            <w:pPr>
              <w:pStyle w:val="ListBullet"/>
            </w:pPr>
            <w:r w:rsidRPr="007E2358">
              <w:t>Documenting detail work events, record keeping and or storage of information</w:t>
            </w:r>
          </w:p>
          <w:p w:rsidR="00000000" w:rsidRPr="007E2358" w:rsidP="007E2358">
            <w:pPr>
              <w:pStyle w:val="ListBullet"/>
            </w:pPr>
            <w:r w:rsidRPr="007E2358">
              <w:t>Drawings and specifications</w:t>
            </w:r>
          </w:p>
          <w:p w:rsidR="00000000" w:rsidRPr="007E2358" w:rsidP="007E2358">
            <w:pPr>
              <w:pStyle w:val="ListBullet"/>
            </w:pPr>
            <w:r w:rsidRPr="007E2358">
              <w:t>Emergency</w:t>
            </w:r>
          </w:p>
          <w:p w:rsidR="00000000" w:rsidRPr="007E2358" w:rsidP="007E2358">
            <w:pPr>
              <w:pStyle w:val="ListBullet"/>
            </w:pPr>
            <w:r w:rsidRPr="007E2358">
              <w:t>Environmental and sustainable energy procedures</w:t>
            </w:r>
          </w:p>
          <w:p w:rsidR="00000000" w:rsidRPr="007E2358" w:rsidP="007E2358">
            <w:pPr>
              <w:pStyle w:val="ListBullet"/>
            </w:pPr>
            <w:r w:rsidRPr="007E2358">
              <w:t>Environmental legislation</w:t>
            </w:r>
          </w:p>
          <w:p w:rsidR="00000000" w:rsidRPr="007E2358" w:rsidP="007E2358">
            <w:pPr>
              <w:pStyle w:val="ListBullet"/>
            </w:pPr>
            <w:r w:rsidRPr="007E2358">
              <w:t>Environmental management documentation</w:t>
            </w:r>
          </w:p>
          <w:p w:rsidR="00000000" w:rsidRPr="007E2358" w:rsidP="007E2358">
            <w:pPr>
              <w:pStyle w:val="ListBullet"/>
            </w:pPr>
            <w:r w:rsidRPr="007E2358">
              <w:t>Established procedures</w:t>
            </w:r>
          </w:p>
          <w:p w:rsidR="00000000" w:rsidRPr="007E2358" w:rsidP="007E2358">
            <w:pPr>
              <w:pStyle w:val="ListBullet"/>
            </w:pPr>
            <w:r w:rsidRPr="007E2358">
              <w:t>Fall prevention</w:t>
            </w:r>
          </w:p>
          <w:p w:rsidR="00000000" w:rsidRPr="007E2358" w:rsidP="007E2358">
            <w:pPr>
              <w:pStyle w:val="ListBullet"/>
            </w:pPr>
            <w:r w:rsidRPr="007E2358">
              <w:t>Hazards</w:t>
            </w:r>
          </w:p>
          <w:p w:rsidR="00000000" w:rsidRPr="007E2358" w:rsidP="007E2358">
            <w:pPr>
              <w:pStyle w:val="ListBullet"/>
            </w:pPr>
            <w:r w:rsidRPr="007E2358">
              <w:t>Identifying hazards</w:t>
            </w:r>
          </w:p>
          <w:p w:rsidR="00000000" w:rsidRPr="007E2358" w:rsidP="007E2358">
            <w:pPr>
              <w:pStyle w:val="ListBullet"/>
            </w:pPr>
            <w:r w:rsidRPr="007E2358">
              <w:t>Inspect</w:t>
            </w:r>
          </w:p>
          <w:p w:rsidR="00000000" w:rsidRPr="007E2358" w:rsidP="007E2358">
            <w:pPr>
              <w:pStyle w:val="ListBullet"/>
            </w:pPr>
            <w:r w:rsidRPr="007E2358">
              <w:t>Legislation</w:t>
            </w:r>
          </w:p>
          <w:p w:rsidR="00000000" w:rsidRPr="007E2358" w:rsidP="007E2358">
            <w:pPr>
              <w:pStyle w:val="ListBullet"/>
            </w:pPr>
            <w:r w:rsidRPr="007E2358">
              <w:t>MSDS</w:t>
            </w:r>
          </w:p>
          <w:p w:rsidR="00000000" w:rsidRPr="007E2358" w:rsidP="007E2358">
            <w:pPr>
              <w:pStyle w:val="ListBullet"/>
            </w:pPr>
            <w:r w:rsidRPr="007E2358">
              <w:t>Notification</w:t>
            </w:r>
          </w:p>
          <w:p w:rsidR="00000000" w:rsidRPr="007E2358" w:rsidP="007E2358">
            <w:pPr>
              <w:pStyle w:val="ListBullet"/>
            </w:pPr>
            <w:r w:rsidRPr="007E2358">
              <w:t>OHS practices</w:t>
            </w:r>
          </w:p>
          <w:p w:rsidR="00000000" w:rsidRPr="007E2358" w:rsidP="007E2358">
            <w:pPr>
              <w:pStyle w:val="ListBullet"/>
            </w:pPr>
            <w:r w:rsidRPr="007E2358">
              <w:t>OHS issues</w:t>
            </w:r>
          </w:p>
          <w:p w:rsidR="00000000" w:rsidRPr="007E2358" w:rsidP="007E2358">
            <w:pPr>
              <w:pStyle w:val="ListBullet"/>
            </w:pPr>
            <w:r w:rsidRPr="007E2358">
              <w:t>Permits and/o</w:t>
            </w:r>
            <w:r w:rsidRPr="007E2358">
              <w:t>r permits to work</w:t>
            </w:r>
          </w:p>
          <w:p w:rsidR="00000000" w:rsidRPr="007E2358" w:rsidP="007E2358">
            <w:pPr>
              <w:pStyle w:val="ListBullet"/>
            </w:pPr>
            <w:r w:rsidRPr="007E2358">
              <w:t>Personnel</w:t>
            </w:r>
          </w:p>
          <w:p w:rsidR="00000000" w:rsidRPr="007E2358" w:rsidP="007E2358">
            <w:pPr>
              <w:pStyle w:val="ListBullet"/>
            </w:pPr>
            <w:r w:rsidRPr="007E2358">
              <w:t>Quality assurance systems</w:t>
            </w:r>
          </w:p>
          <w:p w:rsidR="00000000" w:rsidRPr="007E2358" w:rsidP="007E2358">
            <w:pPr>
              <w:pStyle w:val="ListBullet"/>
            </w:pPr>
            <w:r w:rsidRPr="007E2358">
              <w:t>Requirements</w:t>
            </w:r>
          </w:p>
          <w:p w:rsidR="00000000" w:rsidRPr="007E2358" w:rsidP="007E2358">
            <w:pPr>
              <w:pStyle w:val="ListBullet"/>
            </w:pPr>
            <w:r w:rsidRPr="007E2358">
              <w:t>Testing procedures</w:t>
            </w:r>
          </w:p>
          <w:p w:rsidR="00000000" w:rsidRPr="007E2358" w:rsidP="007E2358">
            <w:pPr>
              <w:pStyle w:val="ListBullet"/>
            </w:pPr>
            <w:r w:rsidRPr="007E2358">
              <w:t>Work clearance systems</w:t>
            </w:r>
          </w:p>
        </w:tc>
      </w:tr>
    </w:tbl>
    <w:p w:rsidR="00AD5EF9" w:rsidP="007E2358">
      <w:pPr>
        <w:pStyle w:val="BodyText"/>
      </w:pPr>
    </w:p>
    <w:p w:rsidR="00AD5EF9" w:rsidP="007E2358">
      <w:pPr>
        <w:pStyle w:val="BodyText"/>
      </w:pPr>
    </w:p>
    <w:p w:rsidR="00000000" w:rsidRPr="007E2358" w:rsidP="007E2358">
      <w:pPr>
        <w:pStyle w:val="Heading1"/>
      </w:pPr>
      <w:bookmarkStart w:id="12" w:name="O_297256"/>
      <w:bookmarkEnd w:id="12"/>
      <w:r w:rsidRPr="007E2358">
        <w:t>Unit Sector(s)</w:t>
      </w:r>
    </w:p>
    <w:p w:rsidR="00000000" w:rsidRPr="007E2358" w:rsidP="007E2358">
      <w:pPr>
        <w:pStyle w:val="BodyText"/>
      </w:pPr>
      <w:r w:rsidRPr="007E2358">
        <w:t>Not Applicable</w:t>
      </w:r>
    </w:p>
    <w:p w:rsidR="00000000" w:rsidRPr="007E2358" w:rsidP="007E2358">
      <w:pPr>
        <w:pStyle w:val="AllowPageBreak"/>
      </w:pPr>
    </w:p>
    <w:p w:rsidR="00000000" w:rsidRPr="007E2358" w:rsidP="007E2358">
      <w:pPr>
        <w:pStyle w:val="Heading1"/>
      </w:pPr>
      <w:bookmarkStart w:id="13" w:name="O_232085"/>
      <w:bookmarkEnd w:id="13"/>
      <w:r w:rsidRPr="007E2358">
        <w:t>2.2) Literacy and numeracy skills</w:t>
      </w:r>
    </w:p>
    <w:tbl>
      <w:tblPr>
        <w:tblW w:w="0" w:type="auto"/>
        <w:tblLayout w:type="fixed"/>
        <w:tblCellMar>
          <w:left w:w="62" w:type="dxa"/>
          <w:right w:w="62" w:type="dxa"/>
        </w:tblCellMar>
        <w:tblLook w:val="0000"/>
      </w:tblPr>
      <w:tblGrid>
        <w:gridCol w:w="1483"/>
        <w:gridCol w:w="1207"/>
        <w:gridCol w:w="1775"/>
        <w:gridCol w:w="1207"/>
        <w:gridCol w:w="1757"/>
        <w:gridCol w:w="1211"/>
      </w:tblGrid>
      <w:tr w:rsidTr="00AD5EF9">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rPr>
                <w:rStyle w:val="SpecialBold"/>
              </w:rPr>
              <w:t>2</w:t>
            </w:r>
            <w:r w:rsidRPr="007E2358">
              <w:t>.</w:t>
            </w:r>
            <w:r w:rsidRPr="007E2358">
              <w:rPr>
                <w:rStyle w:val="SpecialBold"/>
              </w:rPr>
              <w:t>2</w:t>
            </w:r>
            <w:r w:rsidRPr="007E2358">
              <w:t xml:space="preserve">) </w:t>
            </w:r>
            <w:r w:rsidRPr="007E2358">
              <w:rPr>
                <w:rStyle w:val="SpecialBold"/>
              </w:rPr>
              <w:t>Literacy and numeracy skills</w:t>
            </w:r>
          </w:p>
          <w:p w:rsidR="00000000" w:rsidP="007E2358">
            <w:pPr>
              <w:pStyle w:val="BodyText"/>
              <w:rPr>
                <w:lang w:val="en-NZ"/>
              </w:rPr>
            </w:pPr>
            <w:r w:rsidRPr="007E2358">
              <w:t>Participants are best equipped to achieve this unit if they have reading, writing and numeracy skills indicated by the following scales. Description of each scale is given in Volume 2, Part 3 "Literacy and Numeracy"</w:t>
            </w:r>
          </w:p>
        </w:tc>
      </w:tr>
      <w:tr w:rsidTr="00AD5EF9">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Reading</w:t>
            </w:r>
          </w:p>
        </w:tc>
        <w:tc>
          <w:tcPr>
            <w:tcW w:w="1207"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3</w:t>
            </w:r>
          </w:p>
        </w:tc>
        <w:tc>
          <w:tcPr>
            <w:tcW w:w="1775"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Writing</w:t>
            </w:r>
          </w:p>
        </w:tc>
        <w:tc>
          <w:tcPr>
            <w:tcW w:w="1207"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3</w:t>
            </w:r>
          </w:p>
        </w:tc>
        <w:tc>
          <w:tcPr>
            <w:tcW w:w="1757"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t>Numeracy</w:t>
            </w:r>
          </w:p>
        </w:tc>
        <w:tc>
          <w:tcPr>
            <w:tcW w:w="1211" w:type="dxa"/>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t>3</w:t>
            </w:r>
          </w:p>
        </w:tc>
      </w:tr>
    </w:tbl>
    <w:p w:rsidR="00AD5EF9" w:rsidP="007E2358">
      <w:pPr>
        <w:pStyle w:val="BodyText"/>
      </w:pPr>
    </w:p>
    <w:p w:rsidR="00AD5EF9" w:rsidP="007E2358">
      <w:pPr>
        <w:pStyle w:val="BodyText"/>
      </w:pPr>
    </w:p>
    <w:p w:rsidR="00000000" w:rsidRPr="007E2358" w:rsidP="007E2358">
      <w:pPr>
        <w:pStyle w:val="Heading1"/>
      </w:pPr>
      <w:bookmarkStart w:id="14" w:name="O_232088"/>
      <w:bookmarkEnd w:id="14"/>
      <w:r w:rsidRPr="007E2358">
        <w:t>Competency Field</w:t>
      </w:r>
    </w:p>
    <w:tbl>
      <w:tblPr>
        <w:tblW w:w="0" w:type="auto"/>
        <w:tblLayout w:type="fixed"/>
        <w:tblCellMar>
          <w:left w:w="62" w:type="dxa"/>
          <w:right w:w="62" w:type="dxa"/>
        </w:tblCellMar>
        <w:tblLook w:val="0000"/>
      </w:tblPr>
      <w:tblGrid>
        <w:gridCol w:w="2755"/>
        <w:gridCol w:w="5885"/>
      </w:tblGrid>
      <w:tr w:rsidTr="00AD5EF9">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rPr>
                <w:rStyle w:val="SpecialBold"/>
              </w:rPr>
              <w:t>Competency Field</w:t>
            </w:r>
          </w:p>
        </w:tc>
        <w:tc>
          <w:tcPr>
            <w:tcW w:w="5885" w:type="dxa"/>
            <w:tcBorders>
              <w:top w:val="nil"/>
              <w:left w:val="nil"/>
              <w:bottom w:val="nil"/>
              <w:right w:val="nil"/>
            </w:tcBorders>
            <w:tcMar>
              <w:top w:w="0" w:type="dxa"/>
              <w:left w:w="62" w:type="dxa"/>
              <w:bottom w:w="0" w:type="dxa"/>
              <w:right w:w="62" w:type="dxa"/>
            </w:tcMar>
          </w:tcPr>
          <w:p w:rsidR="00000000" w:rsidP="007E2358">
            <w:pPr>
              <w:pStyle w:val="BodyText"/>
              <w:rPr>
                <w:lang w:val="en-NZ"/>
              </w:rPr>
            </w:pPr>
            <w:r w:rsidRPr="007E2358">
              <w:rPr>
                <w:rStyle w:val="SpecialBold"/>
              </w:rPr>
              <w:t>5</w:t>
            </w:r>
            <w:r w:rsidRPr="007E2358">
              <w:t>)</w:t>
            </w:r>
          </w:p>
        </w:tc>
      </w:tr>
      <w:tr w:rsidTr="00AD5EF9">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5" w:type="dxa"/>
            <w:tcBorders>
              <w:top w:val="nil"/>
              <w:left w:val="nil"/>
              <w:bottom w:val="nil"/>
              <w:right w:val="nil"/>
            </w:tcBorders>
            <w:tcMar>
              <w:top w:w="0" w:type="dxa"/>
              <w:left w:w="62" w:type="dxa"/>
              <w:bottom w:w="0" w:type="dxa"/>
              <w:right w:w="62" w:type="dxa"/>
            </w:tcMar>
          </w:tcPr>
          <w:p w:rsidR="00000000" w:rsidRPr="007E2358" w:rsidP="007E2358">
            <w:pPr>
              <w:pStyle w:val="BodyText"/>
            </w:pPr>
            <w:r w:rsidRPr="007E2358">
              <w:t>Transmission Units</w:t>
            </w:r>
          </w:p>
        </w:tc>
      </w:tr>
    </w:tbl>
    <w:p w:rsidR="00AD5EF9" w:rsidP="007E2358">
      <w:pPr>
        <w:pStyle w:val="BodyText"/>
      </w:pPr>
    </w:p>
    <w:p w:rsidR="00AD5EF9" w:rsidP="007E2358">
      <w:pPr>
        <w:pStyle w:val="BodyText"/>
      </w:pPr>
    </w:p>
    <w:p w:rsidR="00000000" w:rsidRPr="007E2358" w:rsidP="007E2358"/>
    <w:sectPr w:rsidSect="007E23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3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5EF9" w:rsidP="00AD5E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3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EF9" w:rsidP="007E23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D5EF9" w:rsidP="007E23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D5EF9" w:rsidP="007E23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3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5EF9" w:rsidP="00AD5E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3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EF9" w:rsidP="007E2358">
    <w:pPr>
      <w:pStyle w:val="Header"/>
      <w:framePr w:wrap="around"/>
    </w:pPr>
    <w:r>
      <w:fldChar w:fldCharType="begin"/>
    </w:r>
    <w:r>
      <w:instrText xml:space="preserve"> TITLE   \* MERGEFORMAT </w:instrText>
    </w:r>
    <w:r>
      <w:fldChar w:fldCharType="separate"/>
    </w:r>
    <w:r>
      <w:t>UETTDRTP07B Maintain transmission towers and associated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D5EF9" w:rsidP="007E23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1617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E23D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288D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3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2358"/>
    <w:pPr>
      <w:spacing w:before="360" w:after="60"/>
      <w:outlineLvl w:val="0"/>
    </w:pPr>
    <w:rPr>
      <w:sz w:val="32"/>
    </w:rPr>
  </w:style>
  <w:style w:type="paragraph" w:styleId="Heading2">
    <w:name w:val="heading 2"/>
    <w:basedOn w:val="HeadingBase"/>
    <w:next w:val="BodyText"/>
    <w:link w:val="Heading2Char"/>
    <w:qFormat/>
    <w:rsid w:val="007E2358"/>
    <w:pPr>
      <w:keepLines/>
      <w:spacing w:before="240" w:after="120"/>
      <w:outlineLvl w:val="1"/>
    </w:pPr>
    <w:rPr>
      <w:sz w:val="28"/>
      <w:szCs w:val="40"/>
    </w:rPr>
  </w:style>
  <w:style w:type="paragraph" w:styleId="Heading3">
    <w:name w:val="heading 3"/>
    <w:basedOn w:val="HeadingBase"/>
    <w:next w:val="BodyText"/>
    <w:link w:val="Heading3Char"/>
    <w:qFormat/>
    <w:rsid w:val="007E2358"/>
    <w:pPr>
      <w:spacing w:before="180" w:after="120"/>
      <w:outlineLvl w:val="2"/>
    </w:pPr>
    <w:rPr>
      <w:spacing w:val="-10"/>
      <w:kern w:val="32"/>
    </w:rPr>
  </w:style>
  <w:style w:type="paragraph" w:styleId="Heading4">
    <w:name w:val="heading 4"/>
    <w:basedOn w:val="HeadingBase"/>
    <w:next w:val="BodyText"/>
    <w:link w:val="Heading4Char"/>
    <w:qFormat/>
    <w:rsid w:val="007E2358"/>
    <w:pPr>
      <w:spacing w:before="160" w:after="120"/>
      <w:outlineLvl w:val="3"/>
    </w:pPr>
    <w:rPr>
      <w:sz w:val="22"/>
    </w:rPr>
  </w:style>
  <w:style w:type="paragraph" w:styleId="Heading5">
    <w:name w:val="heading 5"/>
    <w:basedOn w:val="HeadingBase"/>
    <w:next w:val="Normal"/>
    <w:link w:val="Heading5Char"/>
    <w:qFormat/>
    <w:rsid w:val="007E2358"/>
    <w:pPr>
      <w:spacing w:before="80"/>
      <w:outlineLvl w:val="4"/>
    </w:pPr>
    <w:rPr>
      <w:color w:val="918585"/>
      <w:sz w:val="20"/>
    </w:rPr>
  </w:style>
  <w:style w:type="paragraph" w:styleId="Heading6">
    <w:name w:val="heading 6"/>
    <w:basedOn w:val="HeadingBase"/>
    <w:next w:val="Normal"/>
    <w:link w:val="Heading6Char"/>
    <w:qFormat/>
    <w:rsid w:val="007E2358"/>
    <w:pPr>
      <w:spacing w:before="60"/>
      <w:outlineLvl w:val="5"/>
    </w:pPr>
    <w:rPr>
      <w:color w:val="918585"/>
      <w:sz w:val="20"/>
    </w:rPr>
  </w:style>
  <w:style w:type="paragraph" w:styleId="Heading7">
    <w:name w:val="heading 7"/>
    <w:basedOn w:val="Normal"/>
    <w:next w:val="Normal"/>
    <w:link w:val="Heading7Char"/>
    <w:qFormat/>
    <w:rsid w:val="007E2358"/>
    <w:pPr>
      <w:ind w:left="720"/>
      <w:outlineLvl w:val="6"/>
    </w:pPr>
    <w:rPr>
      <w:i/>
    </w:rPr>
  </w:style>
  <w:style w:type="paragraph" w:styleId="Heading8">
    <w:name w:val="heading 8"/>
    <w:basedOn w:val="Normal"/>
    <w:next w:val="Normal"/>
    <w:link w:val="Heading8Char"/>
    <w:qFormat/>
    <w:rsid w:val="007E2358"/>
    <w:pPr>
      <w:ind w:left="720"/>
      <w:outlineLvl w:val="7"/>
    </w:pPr>
    <w:rPr>
      <w:i/>
    </w:rPr>
  </w:style>
  <w:style w:type="paragraph" w:styleId="Heading9">
    <w:name w:val="heading 9"/>
    <w:basedOn w:val="Normal"/>
    <w:next w:val="Normal"/>
    <w:link w:val="Heading9Char"/>
    <w:qFormat/>
    <w:rsid w:val="007E2358"/>
    <w:pPr>
      <w:ind w:left="720"/>
      <w:outlineLvl w:val="8"/>
    </w:pPr>
    <w:rPr>
      <w:i/>
    </w:rPr>
  </w:style>
  <w:style w:type="character" w:default="1" w:styleId="DefaultParagraphFont">
    <w:name w:val="Default Paragraph Font"/>
    <w:uiPriority w:val="1"/>
    <w:unhideWhenUsed/>
    <w:rsid w:val="007E23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358"/>
  </w:style>
  <w:style w:type="character" w:customStyle="1" w:styleId="Heading1Char">
    <w:name w:val="Heading 1 Char"/>
    <w:basedOn w:val="DefaultParagraphFont"/>
    <w:link w:val="Heading1"/>
    <w:rsid w:val="007E2358"/>
    <w:rPr>
      <w:rFonts w:ascii="Times New Roman" w:eastAsia="Times New Roman" w:hAnsi="Times New Roman" w:cs="Times New Roman"/>
      <w:b/>
      <w:sz w:val="32"/>
      <w:szCs w:val="20"/>
      <w:lang w:eastAsia="en-US"/>
    </w:rPr>
  </w:style>
  <w:style w:type="paragraph" w:styleId="BodyText">
    <w:name w:val="Body Text"/>
    <w:basedOn w:val="Normal"/>
    <w:link w:val="BodyTextChar"/>
    <w:rsid w:val="007E23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2358"/>
    <w:rPr>
      <w:rFonts w:ascii="Times New Roman" w:eastAsia="Times New Roman" w:hAnsi="Times New Roman" w:cs="Times New Roman"/>
      <w:sz w:val="24"/>
      <w:lang w:val="en-US" w:eastAsia="en-US"/>
    </w:rPr>
  </w:style>
  <w:style w:type="paragraph" w:styleId="Footer">
    <w:name w:val="footer"/>
    <w:basedOn w:val="Normal"/>
    <w:link w:val="FooterChar"/>
    <w:rsid w:val="007E23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358"/>
    <w:rPr>
      <w:rFonts w:ascii="Times New Roman" w:eastAsia="Times New Roman" w:hAnsi="Times New Roman" w:cs="Times New Roman"/>
      <w:sz w:val="16"/>
      <w:lang w:val="en-US" w:eastAsia="en-US"/>
    </w:rPr>
  </w:style>
  <w:style w:type="paragraph" w:styleId="ListBullet">
    <w:name w:val="List Bullet"/>
    <w:basedOn w:val="List"/>
    <w:rsid w:val="007E2358"/>
    <w:pPr>
      <w:numPr>
        <w:numId w:val="13"/>
      </w:numPr>
      <w:tabs>
        <w:tab w:val="clear" w:pos="340"/>
      </w:tabs>
      <w:spacing w:before="40" w:after="40"/>
    </w:pPr>
  </w:style>
  <w:style w:type="character" w:customStyle="1" w:styleId="SpecialBold">
    <w:name w:val="Special Bold"/>
    <w:basedOn w:val="DefaultParagraphFont"/>
    <w:rsid w:val="007E2358"/>
    <w:rPr>
      <w:b/>
      <w:spacing w:val="0"/>
    </w:rPr>
  </w:style>
  <w:style w:type="paragraph" w:styleId="ListBullet2">
    <w:name w:val="List Bullet 2"/>
    <w:basedOn w:val="List2"/>
    <w:rsid w:val="007E2358"/>
    <w:pPr>
      <w:numPr>
        <w:numId w:val="14"/>
      </w:numPr>
      <w:tabs>
        <w:tab w:val="clear" w:pos="680"/>
      </w:tabs>
    </w:pPr>
  </w:style>
  <w:style w:type="paragraph" w:styleId="Header">
    <w:name w:val="header"/>
    <w:basedOn w:val="Normal"/>
    <w:link w:val="HeaderChar"/>
    <w:rsid w:val="007E23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3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2358"/>
    <w:pPr>
      <w:spacing w:before="240" w:after="120"/>
      <w:outlineLvl w:val="0"/>
    </w:pPr>
    <w:rPr>
      <w:rFonts w:ascii="Times New Roman" w:hAnsi="Times New Roman"/>
      <w:b/>
      <w:sz w:val="28"/>
    </w:rPr>
  </w:style>
  <w:style w:type="paragraph" w:customStyle="1" w:styleId="AllowPageBreak">
    <w:name w:val="AllowPageBreak"/>
    <w:rsid w:val="007E23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23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3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3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3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3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3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23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2358"/>
    <w:rPr>
      <w:rFonts w:ascii="Courier New" w:eastAsia="Times New Roman" w:hAnsi="Courier New" w:cs="Times New Roman"/>
      <w:i/>
      <w:szCs w:val="20"/>
      <w:lang w:val="en-US" w:eastAsia="en-US"/>
    </w:rPr>
  </w:style>
  <w:style w:type="paragraph" w:customStyle="1" w:styleId="HeadingBase">
    <w:name w:val="Heading Base"/>
    <w:rsid w:val="007E23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358"/>
    <w:pPr>
      <w:tabs>
        <w:tab w:val="right" w:leader="dot" w:pos="9072"/>
      </w:tabs>
      <w:ind w:left="567"/>
    </w:pPr>
    <w:rPr>
      <w:szCs w:val="22"/>
    </w:rPr>
  </w:style>
  <w:style w:type="paragraph" w:customStyle="1" w:styleId="TOCBase">
    <w:name w:val="TOC Base"/>
    <w:rsid w:val="007E23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358"/>
    <w:pPr>
      <w:tabs>
        <w:tab w:val="right" w:leader="dot" w:pos="9072"/>
      </w:tabs>
      <w:spacing w:before="40" w:after="40"/>
      <w:ind w:left="284"/>
    </w:pPr>
    <w:rPr>
      <w:rFonts w:ascii="Times New Roman" w:hAnsi="Times New Roman"/>
    </w:rPr>
  </w:style>
  <w:style w:type="paragraph" w:styleId="TOC1">
    <w:name w:val="toc 1"/>
    <w:basedOn w:val="TOCBase"/>
    <w:next w:val="Normal"/>
    <w:rsid w:val="007E23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2358"/>
    <w:pPr>
      <w:spacing w:before="5040"/>
      <w:jc w:val="center"/>
    </w:pPr>
    <w:rPr>
      <w:sz w:val="48"/>
      <w:szCs w:val="72"/>
      <w:lang w:val="en-US"/>
    </w:rPr>
  </w:style>
  <w:style w:type="character" w:customStyle="1" w:styleId="TitleChar">
    <w:name w:val="Title Char"/>
    <w:basedOn w:val="DefaultParagraphFont"/>
    <w:link w:val="Title"/>
    <w:rsid w:val="007E23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358"/>
    <w:pPr>
      <w:tabs>
        <w:tab w:val="left" w:pos="3600"/>
        <w:tab w:val="left" w:pos="3958"/>
      </w:tabs>
    </w:pPr>
  </w:style>
  <w:style w:type="paragraph" w:styleId="List">
    <w:name w:val="List"/>
    <w:basedOn w:val="BodyText"/>
    <w:next w:val="BodyText"/>
    <w:rsid w:val="007E2358"/>
    <w:pPr>
      <w:tabs>
        <w:tab w:val="left" w:pos="340"/>
      </w:tabs>
      <w:spacing w:before="60" w:after="60"/>
      <w:ind w:left="340" w:hanging="340"/>
    </w:pPr>
  </w:style>
  <w:style w:type="paragraph" w:customStyle="1" w:styleId="Note">
    <w:name w:val="Note"/>
    <w:basedOn w:val="BodyText"/>
    <w:rsid w:val="007E23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358"/>
    <w:pPr>
      <w:framePr w:wrap="auto" w:hAnchor="text" w:y="6049"/>
    </w:pPr>
    <w:rPr>
      <w:color w:val="000000"/>
      <w:sz w:val="40"/>
    </w:rPr>
  </w:style>
  <w:style w:type="paragraph" w:customStyle="1" w:styleId="TOCTitle">
    <w:name w:val="TOCTitle"/>
    <w:basedOn w:val="Heading1"/>
    <w:rsid w:val="007E2358"/>
    <w:pPr>
      <w:spacing w:after="240"/>
      <w:jc w:val="center"/>
      <w:outlineLvl w:val="9"/>
    </w:pPr>
    <w:rPr>
      <w:caps/>
    </w:rPr>
  </w:style>
  <w:style w:type="paragraph" w:customStyle="1" w:styleId="Version">
    <w:name w:val="Version"/>
    <w:rsid w:val="007E23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2358"/>
    <w:pPr>
      <w:keepNext w:val="0"/>
      <w:tabs>
        <w:tab w:val="right" w:pos="4176"/>
      </w:tabs>
      <w:ind w:left="198" w:hanging="198"/>
    </w:pPr>
    <w:rPr>
      <w:rFonts w:ascii="Garamond" w:hAnsi="Garamond"/>
    </w:rPr>
  </w:style>
  <w:style w:type="paragraph" w:styleId="IndexHeading">
    <w:name w:val="index heading"/>
    <w:basedOn w:val="Normal"/>
    <w:next w:val="Index1"/>
    <w:semiHidden/>
    <w:rsid w:val="007E2358"/>
    <w:pPr>
      <w:spacing w:before="120" w:after="120"/>
    </w:pPr>
    <w:rPr>
      <w:rFonts w:ascii="Arial" w:hAnsi="Arial"/>
      <w:b/>
      <w:color w:val="918585"/>
      <w:sz w:val="24"/>
    </w:rPr>
  </w:style>
  <w:style w:type="paragraph" w:customStyle="1" w:styleId="Chapter">
    <w:name w:val="Chapter"/>
    <w:basedOn w:val="Normal"/>
    <w:rsid w:val="007E2358"/>
    <w:pPr>
      <w:spacing w:before="240"/>
    </w:pPr>
    <w:rPr>
      <w:rFonts w:ascii="Times New Roman" w:hAnsi="Times New Roman"/>
      <w:smallCaps/>
      <w:spacing w:val="80"/>
      <w:sz w:val="28"/>
    </w:rPr>
  </w:style>
  <w:style w:type="paragraph" w:customStyle="1" w:styleId="InChapter">
    <w:name w:val="InChapter"/>
    <w:basedOn w:val="Heading3"/>
    <w:rsid w:val="007E2358"/>
    <w:pPr>
      <w:spacing w:after="240"/>
      <w:outlineLvl w:val="9"/>
    </w:pPr>
    <w:rPr>
      <w:noProof/>
    </w:rPr>
  </w:style>
  <w:style w:type="paragraph" w:styleId="Index2">
    <w:name w:val="index 2"/>
    <w:basedOn w:val="Normal"/>
    <w:next w:val="Normal"/>
    <w:semiHidden/>
    <w:rsid w:val="007E2358"/>
    <w:pPr>
      <w:tabs>
        <w:tab w:val="right" w:pos="4176"/>
      </w:tabs>
      <w:ind w:left="568" w:hanging="284"/>
    </w:pPr>
    <w:rPr>
      <w:rFonts w:ascii="Garamond" w:hAnsi="Garamond"/>
    </w:rPr>
  </w:style>
  <w:style w:type="paragraph" w:customStyle="1" w:styleId="Byline">
    <w:name w:val="Byline"/>
    <w:rsid w:val="007E23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358"/>
    <w:pPr>
      <w:tabs>
        <w:tab w:val="clear" w:pos="3600"/>
        <w:tab w:val="clear" w:pos="3958"/>
      </w:tabs>
      <w:jc w:val="right"/>
    </w:pPr>
  </w:style>
  <w:style w:type="character" w:styleId="Emphasis">
    <w:name w:val="Emphasis"/>
    <w:basedOn w:val="DefaultParagraphFont"/>
    <w:qFormat/>
    <w:rsid w:val="007E2358"/>
    <w:rPr>
      <w:i/>
    </w:rPr>
  </w:style>
  <w:style w:type="paragraph" w:styleId="Caption">
    <w:name w:val="caption"/>
    <w:basedOn w:val="BodyText"/>
    <w:next w:val="Normal"/>
    <w:qFormat/>
    <w:rsid w:val="007E2358"/>
    <w:pPr>
      <w:framePr w:w="2268" w:hSpace="181" w:vSpace="181" w:wrap="around" w:vAnchor="text" w:hAnchor="page" w:x="1135" w:y="285" w:anchorLock="1"/>
    </w:pPr>
    <w:rPr>
      <w:i/>
    </w:rPr>
  </w:style>
  <w:style w:type="paragraph" w:customStyle="1" w:styleId="MiniTOCTitle">
    <w:name w:val="MiniTOCTitle"/>
    <w:basedOn w:val="Heading4"/>
    <w:rsid w:val="007E2358"/>
    <w:pPr>
      <w:spacing w:before="240"/>
      <w:outlineLvl w:val="9"/>
    </w:pPr>
    <w:rPr>
      <w:noProof/>
      <w:sz w:val="24"/>
    </w:rPr>
  </w:style>
  <w:style w:type="paragraph" w:customStyle="1" w:styleId="MiniTOCItem">
    <w:name w:val="MiniTOCItem"/>
    <w:basedOn w:val="ListBullet"/>
    <w:rsid w:val="007E2358"/>
    <w:pPr>
      <w:numPr>
        <w:numId w:val="0"/>
      </w:numPr>
      <w:tabs>
        <w:tab w:val="right" w:leader="dot" w:pos="6521"/>
      </w:tabs>
      <w:spacing w:before="0" w:after="0"/>
    </w:pPr>
  </w:style>
  <w:style w:type="paragraph" w:customStyle="1" w:styleId="TOFTitle">
    <w:name w:val="TOFTitle"/>
    <w:basedOn w:val="TOCTitle"/>
    <w:rsid w:val="007E2358"/>
  </w:style>
  <w:style w:type="paragraph" w:styleId="TableofFigures">
    <w:name w:val="table of figures"/>
    <w:basedOn w:val="Normal"/>
    <w:next w:val="Normal"/>
    <w:semiHidden/>
    <w:rsid w:val="007E2358"/>
    <w:pPr>
      <w:tabs>
        <w:tab w:val="right" w:leader="dot" w:pos="9072"/>
      </w:tabs>
      <w:ind w:left="970" w:hanging="403"/>
    </w:pPr>
    <w:rPr>
      <w:rFonts w:ascii="Times New Roman" w:hAnsi="Times New Roman"/>
      <w:b/>
    </w:rPr>
  </w:style>
  <w:style w:type="paragraph" w:styleId="ListNumber">
    <w:name w:val="List Number"/>
    <w:basedOn w:val="List"/>
    <w:rsid w:val="007E2358"/>
    <w:pPr>
      <w:numPr>
        <w:numId w:val="11"/>
      </w:numPr>
    </w:pPr>
  </w:style>
  <w:style w:type="character" w:customStyle="1" w:styleId="WingdingSymbols">
    <w:name w:val="Wingding Symbols"/>
    <w:rsid w:val="007E2358"/>
    <w:rPr>
      <w:rFonts w:ascii="Wingdings" w:hAnsi="Wingdings"/>
    </w:rPr>
  </w:style>
  <w:style w:type="paragraph" w:customStyle="1" w:styleId="TableHeading">
    <w:name w:val="Table Heading"/>
    <w:basedOn w:val="HeadingBase"/>
    <w:rsid w:val="007E2358"/>
    <w:pPr>
      <w:keepLines/>
      <w:pBdr>
        <w:bottom w:val="single" w:sz="6" w:space="1" w:color="918585"/>
      </w:pBdr>
      <w:spacing w:before="240"/>
    </w:pPr>
  </w:style>
  <w:style w:type="character" w:customStyle="1" w:styleId="HotSpot">
    <w:name w:val="HotSpot"/>
    <w:rsid w:val="007E2358"/>
    <w:rPr>
      <w:color w:val="0033CC"/>
      <w:u w:val="none"/>
    </w:rPr>
  </w:style>
  <w:style w:type="paragraph" w:customStyle="1" w:styleId="BodyTextRight">
    <w:name w:val="Body Text Right"/>
    <w:basedOn w:val="BodyText"/>
    <w:rsid w:val="007E2358"/>
    <w:pPr>
      <w:spacing w:before="0" w:after="0"/>
      <w:jc w:val="right"/>
    </w:pPr>
  </w:style>
  <w:style w:type="paragraph" w:styleId="Index3">
    <w:name w:val="index 3"/>
    <w:basedOn w:val="ListNumber2"/>
    <w:next w:val="Normal"/>
    <w:semiHidden/>
    <w:rsid w:val="007E2358"/>
    <w:pPr>
      <w:numPr>
        <w:numId w:val="0"/>
      </w:numPr>
      <w:tabs>
        <w:tab w:val="right" w:leader="dot" w:pos="4176"/>
      </w:tabs>
    </w:pPr>
  </w:style>
  <w:style w:type="paragraph" w:styleId="ListNumber2">
    <w:name w:val="List Number 2"/>
    <w:basedOn w:val="List2"/>
    <w:rsid w:val="007E2358"/>
    <w:pPr>
      <w:numPr>
        <w:numId w:val="10"/>
      </w:numPr>
      <w:tabs>
        <w:tab w:val="clear" w:pos="1060"/>
      </w:tabs>
    </w:pPr>
  </w:style>
  <w:style w:type="paragraph" w:customStyle="1" w:styleId="MarginNote">
    <w:name w:val="Margin Note"/>
    <w:basedOn w:val="BodyText"/>
    <w:rsid w:val="007E23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3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3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2358"/>
    <w:rPr>
      <w:sz w:val="32"/>
    </w:rPr>
  </w:style>
  <w:style w:type="paragraph" w:customStyle="1" w:styleId="HeadingProcedure">
    <w:name w:val="Heading Procedure"/>
    <w:basedOn w:val="HeadingBase"/>
    <w:next w:val="Normal"/>
    <w:rsid w:val="007E2358"/>
    <w:pPr>
      <w:tabs>
        <w:tab w:val="left" w:pos="0"/>
      </w:tabs>
      <w:spacing w:before="120" w:after="60"/>
    </w:pPr>
    <w:rPr>
      <w:i/>
      <w:color w:val="918585"/>
      <w:sz w:val="22"/>
    </w:rPr>
  </w:style>
  <w:style w:type="paragraph" w:customStyle="1" w:styleId="TableBodyText">
    <w:name w:val="Table Body Text"/>
    <w:basedOn w:val="BodyText"/>
    <w:rsid w:val="007E2358"/>
    <w:pPr>
      <w:spacing w:before="60" w:after="60"/>
    </w:pPr>
  </w:style>
  <w:style w:type="paragraph" w:styleId="ListContinue">
    <w:name w:val="List Continue"/>
    <w:basedOn w:val="List"/>
    <w:rsid w:val="007E2358"/>
    <w:pPr>
      <w:ind w:firstLine="0"/>
    </w:pPr>
  </w:style>
  <w:style w:type="paragraph" w:customStyle="1" w:styleId="ListNote">
    <w:name w:val="List Note"/>
    <w:basedOn w:val="List"/>
    <w:rsid w:val="007E2358"/>
    <w:pPr>
      <w:pBdr>
        <w:top w:val="single" w:sz="6" w:space="2" w:color="918585"/>
        <w:bottom w:val="single" w:sz="6" w:space="2" w:color="918585"/>
      </w:pBdr>
      <w:tabs>
        <w:tab w:val="left" w:pos="1021"/>
      </w:tabs>
      <w:ind w:firstLine="0"/>
    </w:pPr>
  </w:style>
  <w:style w:type="paragraph" w:customStyle="1" w:styleId="Warning">
    <w:name w:val="Warning"/>
    <w:basedOn w:val="BodyText"/>
    <w:rsid w:val="007E2358"/>
    <w:pPr>
      <w:shd w:val="clear" w:color="auto" w:fill="D9D9D9"/>
      <w:tabs>
        <w:tab w:val="left" w:pos="992"/>
      </w:tabs>
      <w:ind w:left="119" w:right="119"/>
    </w:pPr>
    <w:rPr>
      <w:sz w:val="20"/>
    </w:rPr>
  </w:style>
  <w:style w:type="paragraph" w:customStyle="1" w:styleId="MarginIcons">
    <w:name w:val="Margin Icons"/>
    <w:basedOn w:val="BodyText"/>
    <w:rsid w:val="007E23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358"/>
    <w:rPr>
      <w:rFonts w:ascii="Courier New" w:hAnsi="Courier New"/>
    </w:rPr>
  </w:style>
  <w:style w:type="paragraph" w:customStyle="1" w:styleId="NoteBullet">
    <w:name w:val="Note Bullet"/>
    <w:basedOn w:val="Note"/>
    <w:rsid w:val="007E2358"/>
    <w:pPr>
      <w:tabs>
        <w:tab w:val="clear" w:pos="680"/>
      </w:tabs>
      <w:spacing w:before="60" w:after="60"/>
    </w:pPr>
  </w:style>
  <w:style w:type="paragraph" w:customStyle="1" w:styleId="SubHeading2">
    <w:name w:val="SubHeading2"/>
    <w:basedOn w:val="HeadingBase"/>
    <w:rsid w:val="007E2358"/>
    <w:pPr>
      <w:spacing w:before="240" w:after="60"/>
    </w:pPr>
    <w:rPr>
      <w:sz w:val="20"/>
    </w:rPr>
  </w:style>
  <w:style w:type="paragraph" w:customStyle="1" w:styleId="SubHeading1">
    <w:name w:val="SubHeading1"/>
    <w:basedOn w:val="HeadingBase"/>
    <w:rsid w:val="007E2358"/>
    <w:pPr>
      <w:spacing w:before="240" w:after="60"/>
    </w:pPr>
    <w:rPr>
      <w:color w:val="918585"/>
      <w:sz w:val="22"/>
    </w:rPr>
  </w:style>
  <w:style w:type="paragraph" w:customStyle="1" w:styleId="SideHeading">
    <w:name w:val="Side Heading"/>
    <w:basedOn w:val="HeadingBase"/>
    <w:rsid w:val="007E23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358"/>
    <w:pPr>
      <w:numPr>
        <w:numId w:val="12"/>
      </w:numPr>
    </w:pPr>
  </w:style>
  <w:style w:type="paragraph" w:styleId="PlainText">
    <w:name w:val="Plain Text"/>
    <w:basedOn w:val="Normal"/>
    <w:link w:val="PlainTextChar"/>
    <w:rsid w:val="007E2358"/>
    <w:rPr>
      <w:sz w:val="20"/>
    </w:rPr>
  </w:style>
  <w:style w:type="character" w:customStyle="1" w:styleId="PlainTextChar">
    <w:name w:val="Plain Text Char"/>
    <w:basedOn w:val="DefaultParagraphFont"/>
    <w:link w:val="PlainText"/>
    <w:rsid w:val="007E23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2358"/>
    <w:rPr>
      <w:b/>
      <w:smallCaps/>
    </w:rPr>
  </w:style>
  <w:style w:type="paragraph" w:customStyle="1" w:styleId="TableListNumber">
    <w:name w:val="Table List Number"/>
    <w:basedOn w:val="ListNumber"/>
    <w:rsid w:val="007E2358"/>
    <w:pPr>
      <w:numPr>
        <w:numId w:val="0"/>
      </w:numPr>
    </w:pPr>
  </w:style>
  <w:style w:type="paragraph" w:styleId="TOC4">
    <w:name w:val="toc 4"/>
    <w:basedOn w:val="TOCBase"/>
    <w:next w:val="Normal"/>
    <w:semiHidden/>
    <w:rsid w:val="007E2358"/>
    <w:pPr>
      <w:tabs>
        <w:tab w:val="right" w:leader="dot" w:pos="9071"/>
      </w:tabs>
      <w:ind w:left="1701"/>
    </w:pPr>
  </w:style>
  <w:style w:type="paragraph" w:customStyle="1" w:styleId="ListAlpha">
    <w:name w:val="List Alpha"/>
    <w:basedOn w:val="List"/>
    <w:rsid w:val="007E2358"/>
    <w:pPr>
      <w:numPr>
        <w:numId w:val="9"/>
      </w:numPr>
    </w:pPr>
  </w:style>
  <w:style w:type="paragraph" w:customStyle="1" w:styleId="ListAlpha2">
    <w:name w:val="List Alpha 2"/>
    <w:basedOn w:val="List2"/>
    <w:rsid w:val="007E2358"/>
    <w:pPr>
      <w:numPr>
        <w:numId w:val="8"/>
      </w:numPr>
    </w:pPr>
  </w:style>
  <w:style w:type="paragraph" w:styleId="List2">
    <w:name w:val="List 2"/>
    <w:basedOn w:val="BodyText"/>
    <w:rsid w:val="007E2358"/>
    <w:pPr>
      <w:tabs>
        <w:tab w:val="left" w:pos="680"/>
      </w:tabs>
      <w:spacing w:before="60" w:after="60"/>
      <w:ind w:left="680" w:hanging="340"/>
    </w:pPr>
  </w:style>
  <w:style w:type="paragraph" w:styleId="List3">
    <w:name w:val="List 3"/>
    <w:basedOn w:val="BodyText"/>
    <w:rsid w:val="007E2358"/>
    <w:pPr>
      <w:tabs>
        <w:tab w:val="left" w:pos="1021"/>
      </w:tabs>
      <w:spacing w:before="60" w:after="60"/>
      <w:ind w:left="1020" w:hanging="340"/>
    </w:pPr>
  </w:style>
  <w:style w:type="paragraph" w:styleId="List4">
    <w:name w:val="List 4"/>
    <w:basedOn w:val="BodyText"/>
    <w:rsid w:val="007E2358"/>
    <w:pPr>
      <w:tabs>
        <w:tab w:val="left" w:pos="1361"/>
      </w:tabs>
      <w:spacing w:before="60" w:after="60"/>
      <w:ind w:left="1361" w:hanging="340"/>
    </w:pPr>
  </w:style>
  <w:style w:type="paragraph" w:styleId="List5">
    <w:name w:val="List 5"/>
    <w:basedOn w:val="BodyText"/>
    <w:rsid w:val="007E2358"/>
    <w:pPr>
      <w:tabs>
        <w:tab w:val="left" w:pos="1701"/>
      </w:tabs>
      <w:spacing w:before="60" w:after="60"/>
      <w:ind w:left="1701" w:hanging="340"/>
    </w:pPr>
  </w:style>
  <w:style w:type="paragraph" w:styleId="ListBullet3">
    <w:name w:val="List Bullet 3"/>
    <w:basedOn w:val="List3"/>
    <w:rsid w:val="007E2358"/>
    <w:pPr>
      <w:numPr>
        <w:numId w:val="15"/>
      </w:numPr>
      <w:tabs>
        <w:tab w:val="clear" w:pos="1021"/>
      </w:tabs>
      <w:ind w:left="1037" w:hanging="357"/>
    </w:pPr>
  </w:style>
  <w:style w:type="paragraph" w:styleId="ListBullet4">
    <w:name w:val="List Bullet 4"/>
    <w:basedOn w:val="List4"/>
    <w:rsid w:val="007E2358"/>
    <w:pPr>
      <w:numPr>
        <w:numId w:val="3"/>
      </w:numPr>
    </w:pPr>
  </w:style>
  <w:style w:type="paragraph" w:styleId="ListBullet5">
    <w:name w:val="List Bullet 5"/>
    <w:basedOn w:val="List5"/>
    <w:rsid w:val="007E2358"/>
    <w:pPr>
      <w:numPr>
        <w:numId w:val="4"/>
      </w:numPr>
    </w:pPr>
  </w:style>
  <w:style w:type="paragraph" w:styleId="ListContinue2">
    <w:name w:val="List Continue 2"/>
    <w:basedOn w:val="List2"/>
    <w:rsid w:val="007E2358"/>
    <w:pPr>
      <w:ind w:firstLine="0"/>
    </w:pPr>
  </w:style>
  <w:style w:type="paragraph" w:styleId="ListContinue3">
    <w:name w:val="List Continue 3"/>
    <w:basedOn w:val="List3"/>
    <w:rsid w:val="007E2358"/>
    <w:pPr>
      <w:ind w:left="1021" w:firstLine="0"/>
    </w:pPr>
  </w:style>
  <w:style w:type="paragraph" w:styleId="ListContinue4">
    <w:name w:val="List Continue 4"/>
    <w:basedOn w:val="List4"/>
    <w:rsid w:val="007E2358"/>
    <w:pPr>
      <w:ind w:firstLine="0"/>
    </w:pPr>
  </w:style>
  <w:style w:type="paragraph" w:styleId="ListContinue5">
    <w:name w:val="List Continue 5"/>
    <w:basedOn w:val="List5"/>
    <w:rsid w:val="007E2358"/>
    <w:pPr>
      <w:ind w:firstLine="0"/>
    </w:pPr>
  </w:style>
  <w:style w:type="paragraph" w:styleId="ListNumber3">
    <w:name w:val="List Number 3"/>
    <w:basedOn w:val="List3"/>
    <w:rsid w:val="007E2358"/>
    <w:pPr>
      <w:numPr>
        <w:numId w:val="5"/>
      </w:numPr>
    </w:pPr>
  </w:style>
  <w:style w:type="paragraph" w:styleId="ListNumber4">
    <w:name w:val="List Number 4"/>
    <w:basedOn w:val="List4"/>
    <w:rsid w:val="007E2358"/>
    <w:pPr>
      <w:numPr>
        <w:numId w:val="6"/>
      </w:numPr>
    </w:pPr>
  </w:style>
  <w:style w:type="paragraph" w:styleId="ListNumber5">
    <w:name w:val="List Number 5"/>
    <w:basedOn w:val="List5"/>
    <w:rsid w:val="007E2358"/>
    <w:pPr>
      <w:numPr>
        <w:numId w:val="7"/>
      </w:numPr>
    </w:pPr>
  </w:style>
  <w:style w:type="paragraph" w:styleId="BlockText">
    <w:name w:val="Block Text"/>
    <w:basedOn w:val="Normal"/>
    <w:rsid w:val="007E2358"/>
    <w:pPr>
      <w:spacing w:after="120"/>
      <w:ind w:left="1440" w:right="1440"/>
    </w:pPr>
  </w:style>
  <w:style w:type="character" w:customStyle="1" w:styleId="Subscript">
    <w:name w:val="Subscript"/>
    <w:basedOn w:val="DefaultParagraphFont"/>
    <w:rsid w:val="007E2358"/>
    <w:rPr>
      <w:sz w:val="16"/>
      <w:vertAlign w:val="subscript"/>
    </w:rPr>
  </w:style>
  <w:style w:type="character" w:customStyle="1" w:styleId="Superscript">
    <w:name w:val="Superscript"/>
    <w:basedOn w:val="DefaultParagraphFont"/>
    <w:rsid w:val="007E2358"/>
    <w:rPr>
      <w:sz w:val="16"/>
      <w:vertAlign w:val="superscript"/>
    </w:rPr>
  </w:style>
  <w:style w:type="character" w:customStyle="1" w:styleId="Symbols">
    <w:name w:val="Symbols"/>
    <w:basedOn w:val="DefaultParagraphFont"/>
    <w:rsid w:val="007E2358"/>
    <w:rPr>
      <w:rFonts w:ascii="Symbol" w:hAnsi="Symbol"/>
    </w:rPr>
  </w:style>
  <w:style w:type="character" w:customStyle="1" w:styleId="MenuOptions">
    <w:name w:val="Menu Options"/>
    <w:basedOn w:val="DefaultParagraphFont"/>
    <w:rsid w:val="007E2358"/>
    <w:rPr>
      <w:rFonts w:ascii="Arial Narrow" w:hAnsi="Arial Narrow"/>
      <w:smallCaps/>
    </w:rPr>
  </w:style>
  <w:style w:type="character" w:customStyle="1" w:styleId="Buttons">
    <w:name w:val="Buttons"/>
    <w:basedOn w:val="DefaultParagraphFont"/>
    <w:rsid w:val="007E2358"/>
    <w:rPr>
      <w:b/>
    </w:rPr>
  </w:style>
  <w:style w:type="character" w:customStyle="1" w:styleId="Underlined">
    <w:name w:val="Underlined"/>
    <w:basedOn w:val="DefaultParagraphFont"/>
    <w:rsid w:val="007E2358"/>
    <w:rPr>
      <w:u w:val="single"/>
    </w:rPr>
  </w:style>
  <w:style w:type="paragraph" w:customStyle="1" w:styleId="TableBodyTextRight">
    <w:name w:val="Table Body Text Right"/>
    <w:basedOn w:val="TableBodyText"/>
    <w:rsid w:val="007E2358"/>
    <w:pPr>
      <w:widowControl w:val="0"/>
      <w:autoSpaceDE w:val="0"/>
      <w:autoSpaceDN w:val="0"/>
      <w:adjustRightInd w:val="0"/>
      <w:jc w:val="right"/>
    </w:pPr>
    <w:rPr>
      <w:rFonts w:cs="Arial"/>
      <w:szCs w:val="18"/>
    </w:rPr>
  </w:style>
  <w:style w:type="paragraph" w:customStyle="1" w:styleId="CopyrightText">
    <w:name w:val="Copyright Text"/>
    <w:basedOn w:val="BodyText"/>
    <w:rsid w:val="007E2358"/>
    <w:rPr>
      <w:sz w:val="18"/>
    </w:rPr>
  </w:style>
  <w:style w:type="paragraph" w:customStyle="1" w:styleId="BodySmallRight">
    <w:name w:val="Body Small Right"/>
    <w:basedOn w:val="BodyTextRight"/>
    <w:rsid w:val="007E2358"/>
    <w:rPr>
      <w:sz w:val="18"/>
      <w:szCs w:val="18"/>
    </w:rPr>
  </w:style>
  <w:style w:type="paragraph" w:customStyle="1" w:styleId="MarginEdition">
    <w:name w:val="Margin Edition"/>
    <w:basedOn w:val="MarginNote"/>
    <w:rsid w:val="007E2358"/>
    <w:pPr>
      <w:spacing w:before="0" w:after="0"/>
    </w:pPr>
    <w:rPr>
      <w:rFonts w:ascii="Times New Roman" w:hAnsi="Times New Roman"/>
      <w:color w:val="999999"/>
    </w:rPr>
  </w:style>
  <w:style w:type="paragraph" w:customStyle="1" w:styleId="Spacer">
    <w:name w:val="Spacer"/>
    <w:basedOn w:val="Normal"/>
    <w:rsid w:val="007E2358"/>
    <w:rPr>
      <w:sz w:val="2"/>
      <w:szCs w:val="2"/>
    </w:rPr>
  </w:style>
  <w:style w:type="character" w:customStyle="1" w:styleId="Small">
    <w:name w:val="Small"/>
    <w:basedOn w:val="DefaultParagraphFont"/>
    <w:rsid w:val="007E2358"/>
    <w:rPr>
      <w:sz w:val="16"/>
    </w:rPr>
  </w:style>
  <w:style w:type="paragraph" w:customStyle="1" w:styleId="WideTable">
    <w:name w:val="Wide Table"/>
    <w:basedOn w:val="Normal"/>
    <w:rsid w:val="007E2358"/>
    <w:pPr>
      <w:ind w:left="-1418"/>
    </w:pPr>
    <w:rPr>
      <w:sz w:val="2"/>
      <w:szCs w:val="2"/>
    </w:rPr>
  </w:style>
  <w:style w:type="character" w:styleId="PageNumber">
    <w:name w:val="page number"/>
    <w:basedOn w:val="DefaultParagraphFont"/>
    <w:rsid w:val="007E2358"/>
  </w:style>
  <w:style w:type="paragraph" w:styleId="Quote">
    <w:name w:val="Quote"/>
    <w:basedOn w:val="Heading1"/>
    <w:link w:val="QuoteChar"/>
    <w:qFormat/>
    <w:rsid w:val="007E2358"/>
    <w:rPr>
      <w:b w:val="0"/>
      <w:sz w:val="72"/>
      <w:szCs w:val="72"/>
      <w:lang w:val="en-NZ"/>
    </w:rPr>
  </w:style>
  <w:style w:type="character" w:customStyle="1" w:styleId="QuoteChar">
    <w:name w:val="Quote Char"/>
    <w:basedOn w:val="DefaultParagraphFont"/>
    <w:link w:val="Quote"/>
    <w:rsid w:val="007E23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358"/>
    <w:pPr>
      <w:pageBreakBefore/>
    </w:pPr>
  </w:style>
  <w:style w:type="paragraph" w:customStyle="1" w:styleId="Border">
    <w:name w:val="Border"/>
    <w:basedOn w:val="Normal"/>
    <w:qFormat/>
    <w:rsid w:val="007E23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358"/>
    <w:rPr>
      <w:b/>
      <w:bCs/>
      <w:i/>
      <w:iCs/>
      <w:color w:val="auto"/>
    </w:rPr>
  </w:style>
  <w:style w:type="paragraph" w:styleId="IntenseQuote">
    <w:name w:val="Intense Quote"/>
    <w:basedOn w:val="Normal"/>
    <w:next w:val="Normal"/>
    <w:link w:val="IntenseQuoteChar"/>
    <w:uiPriority w:val="30"/>
    <w:qFormat/>
    <w:rsid w:val="007E23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3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2358"/>
    <w:rPr>
      <w:smallCaps/>
      <w:color w:val="auto"/>
      <w:u w:val="single"/>
    </w:rPr>
  </w:style>
  <w:style w:type="character" w:styleId="IntenseReference">
    <w:name w:val="Intense Reference"/>
    <w:basedOn w:val="DefaultParagraphFont"/>
    <w:uiPriority w:val="32"/>
    <w:qFormat/>
    <w:rsid w:val="007E2358"/>
    <w:rPr>
      <w:b/>
      <w:bCs/>
      <w:smallCaps/>
      <w:color w:val="auto"/>
      <w:spacing w:val="5"/>
      <w:u w:val="single"/>
    </w:rPr>
  </w:style>
  <w:style w:type="paragraph" w:customStyle="1" w:styleId="2ColumnHeading">
    <w:name w:val="2Column Heading"/>
    <w:basedOn w:val="BodyText"/>
    <w:qFormat/>
    <w:rsid w:val="007E2358"/>
    <w:pPr>
      <w:spacing w:after="60"/>
      <w:ind w:left="-2268"/>
    </w:pPr>
    <w:rPr>
      <w:b/>
    </w:rPr>
  </w:style>
  <w:style w:type="paragraph" w:customStyle="1" w:styleId="Heading1TOC">
    <w:name w:val="Heading1 TOC"/>
    <w:basedOn w:val="Normal"/>
    <w:qFormat/>
    <w:rsid w:val="007E2358"/>
    <w:pPr>
      <w:spacing w:before="240" w:after="120"/>
    </w:pPr>
    <w:rPr>
      <w:rFonts w:ascii="Times New Roman" w:hAnsi="Times New Roman"/>
      <w:b/>
      <w:sz w:val="32"/>
    </w:rPr>
  </w:style>
  <w:style w:type="paragraph" w:customStyle="1" w:styleId="Heading2TOC">
    <w:name w:val="Heading2 TOC"/>
    <w:basedOn w:val="Normal"/>
    <w:qFormat/>
    <w:rsid w:val="007E2358"/>
    <w:pPr>
      <w:spacing w:before="240" w:after="60"/>
    </w:pPr>
    <w:rPr>
      <w:rFonts w:ascii="Times New Roman" w:hAnsi="Times New Roman"/>
      <w:b/>
      <w:sz w:val="28"/>
    </w:rPr>
  </w:style>
  <w:style w:type="character" w:customStyle="1" w:styleId="Underline">
    <w:name w:val="Underline"/>
    <w:basedOn w:val="DefaultParagraphFont"/>
    <w:qFormat/>
    <w:rsid w:val="007E2358"/>
    <w:rPr>
      <w:u w:val="single"/>
    </w:rPr>
  </w:style>
  <w:style w:type="character" w:customStyle="1" w:styleId="BoldandItalics">
    <w:name w:val="Bold and Italics"/>
    <w:qFormat/>
    <w:rsid w:val="007E2358"/>
    <w:rPr>
      <w:b/>
      <w:i/>
      <w:u w:val="none"/>
    </w:rPr>
  </w:style>
  <w:style w:type="paragraph" w:styleId="BalloonText">
    <w:name w:val="Balloon Text"/>
    <w:basedOn w:val="Normal"/>
    <w:link w:val="BalloonTextChar"/>
    <w:rsid w:val="007E2358"/>
    <w:rPr>
      <w:rFonts w:ascii="Tahoma" w:hAnsi="Tahoma" w:cs="Tahoma"/>
      <w:sz w:val="16"/>
      <w:szCs w:val="16"/>
    </w:rPr>
  </w:style>
  <w:style w:type="character" w:customStyle="1" w:styleId="BalloonTextChar">
    <w:name w:val="Balloon Text Char"/>
    <w:basedOn w:val="DefaultParagraphFont"/>
    <w:link w:val="BalloonText"/>
    <w:rsid w:val="007E23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23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23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2208</Words>
  <Characters>13619</Characters>
  <Application>Microsoft Office Word</Application>
  <DocSecurity>0</DocSecurity>
  <Lines>555</Lines>
  <Paragraphs>218</Paragraphs>
  <ScaleCrop>false</ScaleCrop>
  <Company>Author-it Software Corporation Ltd.</Company>
  <LinksUpToDate>false</LinksUpToDate>
  <CharactersWithSpaces>15658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UETTDRTP07B Maintain transmission towers and associated hardware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2012-05-26T12:23:00Z</dcterms:created>
  <dcterms:modified xsi:type="dcterms:W3CDTF">2012-05-26T12:23:00Z</dcterms:modified>
</cp:coreProperties>
</file>