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B0D" w:rsidP="00C03B0D">
      <w:pPr>
        <w:pStyle w:val="Title"/>
      </w:pPr>
      <w:r>
        <w:fldChar w:fldCharType="begin"/>
      </w:r>
      <w:r>
        <w:instrText xml:space="preserve"> TITLE   \* MERGEFORMAT </w:instrText>
      </w:r>
      <w:r>
        <w:fldChar w:fldCharType="separate"/>
      </w:r>
      <w:r>
        <w:t>UETTDRSO20A Respond to complex protection operations</w:t>
      </w:r>
      <w:r>
        <w:fldChar w:fldCharType="end"/>
      </w:r>
    </w:p>
    <w:p w:rsidR="00C03B0D" w:rsidP="00C03B0D">
      <w:pPr>
        <w:pStyle w:val="Version"/>
        <w:sectPr w:rsidSect="00BF2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2CD6" w:rsidP="00BF2CD6">
      <w:pPr>
        <w:pStyle w:val="SuperHeading"/>
      </w:pPr>
      <w:r w:rsidRPr="00BF2CD6">
        <w:t>UETTDRSO20A Respond to complex protection operations</w:t>
      </w:r>
    </w:p>
    <w:p w:rsidR="00000000" w:rsidRPr="00BF2CD6" w:rsidP="00BF2CD6">
      <w:pPr>
        <w:pStyle w:val="Heading1"/>
      </w:pPr>
      <w:bookmarkStart w:id="1" w:name="O_275555"/>
      <w:bookmarkEnd w:id="1"/>
      <w:r w:rsidRPr="00BF2CD6">
        <w:t>Modification History</w:t>
      </w:r>
    </w:p>
    <w:p w:rsidR="00000000" w:rsidRPr="00BF2CD6" w:rsidP="00BF2CD6">
      <w:pPr>
        <w:pStyle w:val="BodyText"/>
      </w:pPr>
      <w:r w:rsidRPr="00BF2CD6">
        <w:t>Not Applicable</w:t>
      </w:r>
    </w:p>
    <w:p w:rsidR="00000000" w:rsidRPr="00BF2CD6" w:rsidP="00BF2CD6">
      <w:pPr>
        <w:pStyle w:val="AllowPageBreak"/>
      </w:pPr>
    </w:p>
    <w:p w:rsidR="00000000" w:rsidRPr="00BF2CD6" w:rsidP="00BF2CD6">
      <w:pPr>
        <w:pStyle w:val="Heading1"/>
      </w:pPr>
      <w:bookmarkStart w:id="2" w:name="O_232033"/>
      <w:bookmarkEnd w:id="2"/>
      <w:r w:rsidRPr="00BF2CD6">
        <w:t>Unit Descriptor</w:t>
      </w:r>
    </w:p>
    <w:tbl>
      <w:tblPr>
        <w:tblW w:w="0" w:type="auto"/>
        <w:tblLayout w:type="fixed"/>
        <w:tblCellMar>
          <w:left w:w="62" w:type="dxa"/>
          <w:right w:w="62" w:type="dxa"/>
        </w:tblCellMar>
        <w:tblLook w:val="0000"/>
      </w:tblPr>
      <w:tblGrid>
        <w:gridCol w:w="2700"/>
        <w:gridCol w:w="5760"/>
      </w:tblGrid>
      <w:tr w:rsidTr="00C03B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1</w:t>
            </w:r>
            <w:r w:rsidRPr="00BF2CD6">
              <w:t xml:space="preserve">) </w:t>
            </w:r>
          </w:p>
          <w:p w:rsidR="00000000" w:rsidP="00BF2CD6">
            <w:pPr>
              <w:pStyle w:val="BodyText"/>
              <w:rPr>
                <w:lang w:val="en-NZ"/>
              </w:rPr>
            </w:pPr>
            <w:r w:rsidRPr="00BF2CD6">
              <w:rPr>
                <w:rStyle w:val="SpecialBold"/>
              </w:rPr>
              <w:t>1</w:t>
            </w:r>
            <w:r w:rsidRPr="00BF2CD6">
              <w:t>.</w:t>
            </w:r>
            <w:r w:rsidRPr="00BF2CD6">
              <w:rPr>
                <w:rStyle w:val="SpecialBold"/>
              </w:rPr>
              <w:t>1</w:t>
            </w:r>
            <w:r w:rsidRPr="00BF2CD6">
              <w:t xml:space="preserve">) </w:t>
            </w:r>
            <w:r w:rsidRPr="00BF2CD6">
              <w:rPr>
                <w:rStyle w:val="SpecialBold"/>
              </w:rPr>
              <w:t>Descriptor</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 xml:space="preserve">This Competency Standard Unit covers the coordination of response to complex protection operations due to system faults. </w:t>
            </w:r>
          </w:p>
        </w:tc>
      </w:tr>
    </w:tbl>
    <w:p w:rsidR="00C03B0D" w:rsidP="00BF2CD6">
      <w:pPr>
        <w:pStyle w:val="BodyText"/>
      </w:pPr>
    </w:p>
    <w:p w:rsidR="00C03B0D" w:rsidP="00BF2CD6">
      <w:pPr>
        <w:pStyle w:val="BodyText"/>
      </w:pPr>
    </w:p>
    <w:p w:rsidR="00000000" w:rsidRPr="00BF2CD6" w:rsidP="00BF2CD6">
      <w:pPr>
        <w:pStyle w:val="Heading1"/>
      </w:pPr>
      <w:bookmarkStart w:id="3" w:name="O_232038"/>
      <w:bookmarkEnd w:id="3"/>
      <w:r w:rsidRPr="00BF2CD6">
        <w:t>Application of the Unit</w:t>
      </w:r>
    </w:p>
    <w:tbl>
      <w:tblPr>
        <w:tblW w:w="0" w:type="auto"/>
        <w:tblLayout w:type="fixed"/>
        <w:tblCellMar>
          <w:left w:w="62" w:type="dxa"/>
          <w:right w:w="62" w:type="dxa"/>
        </w:tblCellMar>
        <w:tblLook w:val="0000"/>
      </w:tblPr>
      <w:tblGrid>
        <w:gridCol w:w="2700"/>
        <w:gridCol w:w="5760"/>
      </w:tblGrid>
      <w:tr w:rsidTr="00C03B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4</w:t>
            </w:r>
            <w:r w:rsidRPr="00BF2CD6">
              <w:t>)</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This Competency Standard Unit is intended to augment formally acquired competencies. It is suitable for employment-based programs under an approved contract of training.</w:t>
            </w:r>
          </w:p>
        </w:tc>
      </w:tr>
    </w:tbl>
    <w:p w:rsidR="00C03B0D" w:rsidP="00BF2CD6">
      <w:pPr>
        <w:pStyle w:val="BodyText"/>
      </w:pPr>
    </w:p>
    <w:p w:rsidR="00C03B0D" w:rsidP="00BF2CD6">
      <w:pPr>
        <w:pStyle w:val="BodyText"/>
      </w:pPr>
    </w:p>
    <w:p w:rsidR="00000000" w:rsidRPr="00BF2CD6" w:rsidP="00BF2CD6">
      <w:pPr>
        <w:pStyle w:val="Heading1"/>
      </w:pPr>
      <w:bookmarkStart w:id="4" w:name="O_232034"/>
      <w:bookmarkEnd w:id="4"/>
      <w:r w:rsidRPr="00BF2CD6">
        <w:t>Licensing/Regulatory Information</w:t>
      </w:r>
    </w:p>
    <w:tbl>
      <w:tblPr>
        <w:tblW w:w="0" w:type="auto"/>
        <w:tblLayout w:type="fixed"/>
        <w:tblCellMar>
          <w:left w:w="62" w:type="dxa"/>
          <w:right w:w="62" w:type="dxa"/>
        </w:tblCellMar>
        <w:tblLook w:val="0000"/>
      </w:tblPr>
      <w:tblGrid>
        <w:gridCol w:w="8460"/>
      </w:tblGrid>
      <w:tr w:rsidTr="00C03B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1</w:t>
            </w:r>
            <w:r w:rsidRPr="00BF2CD6">
              <w:t>.</w:t>
            </w:r>
            <w:r w:rsidRPr="00BF2CD6">
              <w:rPr>
                <w:rStyle w:val="SpecialBold"/>
              </w:rPr>
              <w:t>2</w:t>
            </w:r>
            <w:r w:rsidRPr="00BF2CD6">
              <w:t xml:space="preserve">) </w:t>
            </w:r>
            <w:r w:rsidRPr="00BF2CD6">
              <w:rPr>
                <w:rStyle w:val="SpecialBold"/>
              </w:rPr>
              <w:t>License to practice</w:t>
            </w:r>
          </w:p>
        </w:tc>
      </w:tr>
      <w:tr w:rsidTr="00C03B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The skills and knowledge described in this unit may require a licence/registration to practice in the work place subject to regulations for undertaking of electrical work. Practice in workplace and during training is also subject to regulations directly re</w:t>
            </w:r>
            <w:r w:rsidRPr="00BF2CD6">
              <w:t>lated to Occupational Health and Safety, electricity/telecommunications/gas/water industry safety and compliance, industrial relations, environmental protection, anti discrimination and training. Commonwealth, State/Territory or Local Government legislatio</w:t>
            </w:r>
            <w:r w:rsidRPr="00BF2CD6">
              <w:t>n and regulations may exist that limits the age of operating certain equipment.</w:t>
            </w:r>
          </w:p>
        </w:tc>
      </w:tr>
    </w:tbl>
    <w:p w:rsidR="00C03B0D" w:rsidP="00BF2CD6">
      <w:pPr>
        <w:pStyle w:val="BodyText"/>
      </w:pPr>
    </w:p>
    <w:p w:rsidR="00C03B0D" w:rsidP="00BF2CD6">
      <w:pPr>
        <w:pStyle w:val="BodyText"/>
      </w:pPr>
    </w:p>
    <w:p w:rsidR="00000000" w:rsidRPr="00BF2CD6" w:rsidP="00BF2CD6">
      <w:pPr>
        <w:pStyle w:val="Heading1"/>
      </w:pPr>
      <w:bookmarkStart w:id="5" w:name="O_232035"/>
      <w:bookmarkEnd w:id="5"/>
      <w:r w:rsidRPr="00BF2CD6">
        <w:t>Pre-Requisites</w:t>
      </w:r>
    </w:p>
    <w:tbl>
      <w:tblPr>
        <w:tblW w:w="0" w:type="auto"/>
        <w:tblLayout w:type="fixed"/>
        <w:tblCellMar>
          <w:left w:w="62" w:type="dxa"/>
          <w:right w:w="62" w:type="dxa"/>
        </w:tblCellMar>
        <w:tblLook w:val="0000"/>
      </w:tblPr>
      <w:tblGrid>
        <w:gridCol w:w="2700"/>
        <w:gridCol w:w="720"/>
        <w:gridCol w:w="1980"/>
        <w:gridCol w:w="3060"/>
      </w:tblGrid>
      <w:tr w:rsidTr="00C03B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Prerequisite Unit</w:t>
            </w:r>
            <w:r w:rsidRPr="00BF2CD6">
              <w:t>(</w:t>
            </w:r>
            <w:r w:rsidRPr="00BF2CD6">
              <w:rPr>
                <w:rStyle w:val="SpecialBold"/>
              </w:rPr>
              <w:t>s</w:t>
            </w:r>
            <w:r w:rsidRPr="00BF2CD6">
              <w:t>)</w:t>
            </w:r>
          </w:p>
        </w:tc>
        <w:tc>
          <w:tcPr>
            <w:tcW w:w="5760" w:type="dxa"/>
            <w:gridSpan w:val="3"/>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2</w:t>
            </w:r>
            <w:r w:rsidRPr="00BF2CD6">
              <w:t xml:space="preserve">) </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2CD6">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2</w:t>
            </w:r>
            <w:r w:rsidRPr="00BF2CD6">
              <w:t>.</w:t>
            </w:r>
            <w:r w:rsidRPr="00BF2CD6">
              <w:rPr>
                <w:rStyle w:val="SpecialBold"/>
              </w:rPr>
              <w:t>1</w:t>
            </w:r>
            <w:r w:rsidRPr="00BF2CD6">
              <w:t xml:space="preserve">) </w:t>
            </w:r>
            <w:r w:rsidRPr="00BF2CD6">
              <w:rPr>
                <w:rStyle w:val="SpecialBold"/>
              </w:rPr>
              <w:t>Competencies</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Granting of competency in this unit shall be made only after competency in the following unit(s) has/have been confirmed:</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UETTDRSO04B</w:t>
            </w:r>
          </w:p>
        </w:tc>
        <w:tc>
          <w:tcPr>
            <w:tcW w:w="30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Control generating plant</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or</w:t>
            </w:r>
          </w:p>
        </w:tc>
        <w:tc>
          <w:tcPr>
            <w:tcW w:w="19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UETTDRSO05B</w:t>
            </w:r>
          </w:p>
        </w:tc>
        <w:tc>
          <w:tcPr>
            <w:tcW w:w="30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Manage HV distribution and sub transmission network demand</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or</w:t>
            </w:r>
          </w:p>
        </w:tc>
        <w:tc>
          <w:tcPr>
            <w:tcW w:w="19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UETTDRSO12B</w:t>
            </w:r>
          </w:p>
        </w:tc>
        <w:tc>
          <w:tcPr>
            <w:tcW w:w="30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Manage transmission network demand</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For the full prerequisite chain details for this unit please refer to Table 3 in Volume 1, Part 2</w:t>
            </w:r>
          </w:p>
        </w:tc>
      </w:tr>
    </w:tbl>
    <w:p w:rsidR="00C03B0D" w:rsidP="00BF2CD6">
      <w:pPr>
        <w:pStyle w:val="BodyText"/>
      </w:pPr>
    </w:p>
    <w:p w:rsidR="00C03B0D" w:rsidP="00BF2CD6">
      <w:pPr>
        <w:pStyle w:val="BodyText"/>
      </w:pPr>
    </w:p>
    <w:p w:rsidR="00000000" w:rsidRPr="00BF2CD6" w:rsidP="00BF2CD6">
      <w:pPr>
        <w:pStyle w:val="Heading1"/>
      </w:pPr>
      <w:bookmarkStart w:id="6" w:name="O_232037"/>
      <w:bookmarkEnd w:id="6"/>
      <w:r w:rsidRPr="00BF2CD6">
        <w:t>Employability Skills Information</w:t>
      </w:r>
    </w:p>
    <w:tbl>
      <w:tblPr>
        <w:tblW w:w="0" w:type="auto"/>
        <w:tblLayout w:type="fixed"/>
        <w:tblCellMar>
          <w:left w:w="62" w:type="dxa"/>
          <w:right w:w="62" w:type="dxa"/>
        </w:tblCellMar>
        <w:tblLook w:val="0000"/>
      </w:tblPr>
      <w:tblGrid>
        <w:gridCol w:w="2700"/>
        <w:gridCol w:w="5760"/>
      </w:tblGrid>
      <w:tr w:rsidTr="00C03B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3</w:t>
            </w:r>
            <w:r w:rsidRPr="00BF2CD6">
              <w:t>)</w:t>
            </w:r>
          </w:p>
          <w:p w:rsidR="00000000" w:rsidRPr="00BF2CD6" w:rsidP="00BF2CD6">
            <w:pPr>
              <w:pStyle w:val="BodyText"/>
            </w:pPr>
            <w:r w:rsidRPr="00BF2CD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F2CD6">
              <w:t>requirements.</w:t>
            </w:r>
          </w:p>
        </w:tc>
      </w:tr>
    </w:tbl>
    <w:p w:rsidR="00C03B0D" w:rsidP="00BF2CD6">
      <w:pPr>
        <w:pStyle w:val="BodyText"/>
      </w:pPr>
    </w:p>
    <w:p w:rsidR="00C03B0D" w:rsidP="00BF2CD6">
      <w:pPr>
        <w:pStyle w:val="BodyText"/>
      </w:pPr>
    </w:p>
    <w:p w:rsidR="00000000" w:rsidRPr="00BF2CD6" w:rsidP="00BF2CD6">
      <w:pPr>
        <w:pStyle w:val="Heading1"/>
      </w:pPr>
      <w:bookmarkStart w:id="7" w:name="O_293601"/>
      <w:bookmarkEnd w:id="7"/>
      <w:r w:rsidRPr="00BF2CD6">
        <w:t>Elements and Performance Criteria Pre-Content</w:t>
      </w:r>
    </w:p>
    <w:tbl>
      <w:tblPr>
        <w:tblW w:w="0" w:type="auto"/>
        <w:tblLayout w:type="fixed"/>
        <w:tblCellMar>
          <w:left w:w="62" w:type="dxa"/>
          <w:right w:w="62" w:type="dxa"/>
        </w:tblCellMar>
        <w:tblLook w:val="0000"/>
      </w:tblPr>
      <w:tblGrid>
        <w:gridCol w:w="2700"/>
        <w:gridCol w:w="5760"/>
      </w:tblGrid>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6</w:t>
            </w:r>
            <w:r w:rsidRPr="00BF2CD6">
              <w:t xml:space="preserve">) </w:t>
            </w:r>
            <w:r w:rsidRPr="00BF2CD6">
              <w:rPr>
                <w:rStyle w:val="SpecialBold"/>
              </w:rPr>
              <w:t>Elements</w:t>
            </w:r>
            <w:r w:rsidRPr="00BF2CD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 xml:space="preserve">Performance Criteria describe the required performance needed to demonstrate achievement of </w:t>
            </w:r>
            <w:r w:rsidRPr="00BF2CD6">
              <w:t>the Element. Assessment of performance is to be consistent with the Evidence Guide.</w:t>
            </w:r>
          </w:p>
        </w:tc>
      </w:tr>
    </w:tbl>
    <w:p w:rsidR="00000000" w:rsidRPr="00BF2CD6" w:rsidP="00BF2CD6">
      <w:pPr>
        <w:pStyle w:val="BodyText"/>
      </w:pPr>
    </w:p>
    <w:p w:rsidR="00000000" w:rsidRPr="00BF2CD6" w:rsidP="00BF2CD6">
      <w:pPr>
        <w:pStyle w:val="AllowPageBreak"/>
      </w:pPr>
    </w:p>
    <w:p w:rsidR="00000000" w:rsidRPr="00BF2CD6" w:rsidP="00BF2CD6">
      <w:pPr>
        <w:pStyle w:val="Heading1"/>
      </w:pPr>
      <w:bookmarkStart w:id="8" w:name="O_240269"/>
      <w:bookmarkEnd w:id="8"/>
      <w:r w:rsidRPr="00BF2C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03B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PERFORMANCE CRITERIA</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w:t>
            </w:r>
          </w:p>
        </w:tc>
        <w:tc>
          <w:tcPr>
            <w:tcW w:w="2296"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Plan response to complex protection operations</w:t>
            </w: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1.1</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OHS practices/procedures and environmental and sustainable energy procedures, which may influence the preparation of response to complex protection operations, are reviewed and determined.</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1.2</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Purpose of the response is established after data is analysed and expected outcomes of the work are confirmed with the appropriate personnel.</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1.3</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Established policies, procedures and specifications for the response are obtained or established with the a</w:t>
            </w:r>
            <w:r w:rsidRPr="00BF2CD6">
              <w:t>ppropriate personnel.</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1.4</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Response to complex protection operations are discussed with and/or directed to the appropriate personnel in order to ascertain the scope of the work/testing required.</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1.5</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 xml:space="preserve">Testing parameters are ascertained from established </w:t>
            </w:r>
            <w:r w:rsidRPr="00BF2CD6">
              <w:t>policies, procedures and specifications.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1.6</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Equipment/tools and personal protective equipment are selected based on specified Performance Criteria and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1.7</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Work roles and tasks are allocated according to requirements and individuals' competencies.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1.8</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 xml:space="preserve">Work is prioritised and sequenced for the most efficient/effective outcome, completed within an acceptable timeframe to a quality standard and in accordance </w:t>
            </w:r>
            <w:r w:rsidRPr="00BF2CD6">
              <w:t>with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1.9</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Liaison and communication issues with other/authorised personnel, authorities and clients are resolved and activities coordinated to carry out work.</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1.10</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Risk control measures are identified, prioritised and evaluated</w:t>
            </w:r>
            <w:r w:rsidRPr="00BF2CD6">
              <w:t xml:space="preserve"> against the work schedule.</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1.11</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Need for relevant work permits is identified to coordinate the performance of work according to requirements and/or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1.12</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Circuit/systems modelling is used to evaluate alternative proposals as per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w:t>
            </w:r>
          </w:p>
        </w:tc>
        <w:tc>
          <w:tcPr>
            <w:tcW w:w="2296"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Carry out response to complex protection operations</w:t>
            </w: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2.1</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Strategic plans are developed incorporating organisational initiatives as per established procedur</w:t>
            </w:r>
            <w:r w:rsidRPr="00BF2CD6">
              <w:t>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2.2</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OHS and sustainable energy principles, functionality and practices to reduce the incidents of accidents and minimise waste are incorporated into the project in accordance with requirements and/or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2.3</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Decisions concerning the response to complex protection operations are made on the basis of safety and effective outcomes according to requirements and/or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2.4</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Stakeholders/customers are kept informed of current status regarding p</w:t>
            </w:r>
            <w:r w:rsidRPr="00BF2CD6">
              <w:t>lan progress and recent developments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2.5</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 xml:space="preserve">Technical advice is given regarding potential hazards, safety risks and control measures so that monitoring and preventative action can be undertaken and/or appropriate authorities consulted, where necessary, in </w:t>
            </w:r>
            <w:r w:rsidRPr="00BF2CD6">
              <w:t>accordance with requirements and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2.6</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Essential knowledge and associated skills are applied to analyse specific data and compare it with compliance specifications to ensure completion of the work within an agreed timeframe accordi</w:t>
            </w:r>
            <w:r w:rsidRPr="00BF2CD6">
              <w:t>ng to requirements.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2.7</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Testing of the decision to be implemented is undertaken according to requirements and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2.8</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Work teams/groups are arranged/coordinated/evaluated to ensure planned goals are met according to established procedures.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2.9</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Solutions to non-routine problems are identified and actioned, using acquired essential knowledge and associated skills, accord</w:t>
            </w:r>
            <w:r w:rsidRPr="00BF2CD6">
              <w:t>ing to requirements.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2.10</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Quality of work is monitored against personal performance agreement and/or established organisational and professional standards.</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3</w:t>
            </w:r>
          </w:p>
        </w:tc>
        <w:tc>
          <w:tcPr>
            <w:tcW w:w="2296"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 xml:space="preserve">Complete the response to complex protection operations </w:t>
            </w: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3.1</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Final review of the response to co</w:t>
            </w:r>
            <w:r w:rsidRPr="00BF2CD6">
              <w:t>mplex protection operation is undertaken to ensure it complies with all requirements and include all specifications and documentations needed to complete the work.</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3.2</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Appropriate personnel are notified of completion and reports and/or completion documents (electronic/paper) are finalised/commissioned.</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3.3</w:t>
            </w:r>
          </w:p>
        </w:tc>
        <w:tc>
          <w:tcPr>
            <w:tcW w:w="48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Reports and/or completion documents (electronic/paper)are submitted to relevant personnel/organisations for appro</w:t>
            </w:r>
            <w:r w:rsidRPr="00BF2CD6">
              <w:t>val and, where applicable, statutory or regulatory approval.</w:t>
            </w:r>
          </w:p>
        </w:tc>
      </w:tr>
      <w:tr w:rsidTr="00C03B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3.4</w:t>
            </w:r>
          </w:p>
        </w:tc>
        <w:tc>
          <w:tcPr>
            <w:tcW w:w="48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Approved copies of the response to complex protection operation documents (electronic/paper) are issued and records are updated in accordance with established procedures.</w:t>
            </w:r>
          </w:p>
        </w:tc>
      </w:tr>
    </w:tbl>
    <w:p w:rsidR="00C03B0D" w:rsidP="00BF2CD6">
      <w:pPr>
        <w:pStyle w:val="BodyText"/>
      </w:pPr>
    </w:p>
    <w:p w:rsidR="00C03B0D" w:rsidP="00BF2CD6">
      <w:pPr>
        <w:pStyle w:val="BodyText"/>
      </w:pPr>
    </w:p>
    <w:p w:rsidR="00000000" w:rsidRPr="00BF2CD6" w:rsidP="00BF2CD6">
      <w:pPr>
        <w:pStyle w:val="Heading1"/>
      </w:pPr>
      <w:bookmarkStart w:id="9" w:name="O_264060"/>
      <w:bookmarkEnd w:id="9"/>
      <w:r w:rsidRPr="00BF2CD6">
        <w:t>Required Skills and Knowledge</w:t>
      </w:r>
    </w:p>
    <w:tbl>
      <w:tblPr>
        <w:tblW w:w="0" w:type="auto"/>
        <w:tblLayout w:type="fixed"/>
        <w:tblCellMar>
          <w:left w:w="62" w:type="dxa"/>
          <w:right w:w="62" w:type="dxa"/>
        </w:tblCellMar>
        <w:tblLook w:val="0000"/>
      </w:tblPr>
      <w:tblGrid>
        <w:gridCol w:w="2700"/>
        <w:gridCol w:w="1080"/>
        <w:gridCol w:w="4680"/>
      </w:tblGrid>
      <w:tr w:rsidTr="00C03B0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REQUIRED SKILLS AND KNOWLEDGE</w:t>
            </w:r>
          </w:p>
        </w:tc>
      </w:tr>
      <w:tr w:rsidTr="00C03B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7</w:t>
            </w:r>
            <w:r w:rsidRPr="00BF2CD6">
              <w:t xml:space="preserve">) </w:t>
            </w:r>
            <w:r w:rsidRPr="00BF2CD6">
              <w:rPr>
                <w:rStyle w:val="SpecialBold"/>
              </w:rPr>
              <w:t>Essential Knowledge and Associated Skills</w:t>
            </w:r>
            <w:r w:rsidRPr="00BF2CD6">
              <w:t xml:space="preserve"> (</w:t>
            </w:r>
            <w:r w:rsidRPr="00BF2CD6">
              <w:rPr>
                <w:rStyle w:val="SpecialBold"/>
              </w:rPr>
              <w:t>EKAS</w:t>
            </w:r>
            <w:r w:rsidRPr="00BF2CD6">
              <w:t>): This describes the essential skills and knowledge and their level, required for this unit.</w:t>
            </w:r>
          </w:p>
        </w:tc>
      </w:tr>
      <w:tr w:rsidTr="00C03B0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Evidence shall show that knowledge has been acquired of developing and evaluating transmission switching programs.</w:t>
            </w:r>
          </w:p>
          <w:p w:rsidR="00000000" w:rsidRPr="00BF2CD6" w:rsidP="00BF2CD6">
            <w:pPr>
              <w:pStyle w:val="BodyText"/>
            </w:pPr>
            <w:r w:rsidRPr="00BF2CD6">
              <w:t>All knowledge and skills detailed in this unit should be contextualised to current industry practices and technologies.</w:t>
            </w:r>
          </w:p>
          <w:p w:rsidR="00000000" w:rsidP="00BF2CD6">
            <w:pPr>
              <w:pStyle w:val="BodyText"/>
              <w:rPr>
                <w:lang w:val="en-NZ"/>
              </w:rPr>
            </w:pPr>
            <w:r w:rsidRPr="00BF2CD6">
              <w:t>The extent of the ess</w:t>
            </w:r>
            <w:r w:rsidRPr="00BF2CD6">
              <w:t>ential knowledge and associated skills (EKAS) required is given in Volume 2 - Part 2.2 EKAS. It forms an integral part of this unit.</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 xml:space="preserve">E2.18.1 </w:t>
            </w:r>
          </w:p>
        </w:tc>
        <w:tc>
          <w:tcPr>
            <w:tcW w:w="46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Occupational Health and Safety principles</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E2.18.2</w:t>
            </w:r>
          </w:p>
        </w:tc>
        <w:tc>
          <w:tcPr>
            <w:tcW w:w="46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Electrical safe working practice</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T2.11.17</w:t>
            </w:r>
          </w:p>
        </w:tc>
        <w:tc>
          <w:tcPr>
            <w:tcW w:w="46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Protection scheme requirements</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T2.11.56</w:t>
            </w:r>
          </w:p>
        </w:tc>
        <w:tc>
          <w:tcPr>
            <w:tcW w:w="468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Analysis protection targeting</w:t>
            </w:r>
          </w:p>
        </w:tc>
      </w:tr>
    </w:tbl>
    <w:p w:rsidR="00C03B0D" w:rsidP="00BF2CD6">
      <w:pPr>
        <w:pStyle w:val="BodyText"/>
      </w:pPr>
    </w:p>
    <w:p w:rsidR="00C03B0D" w:rsidP="00BF2CD6">
      <w:pPr>
        <w:pStyle w:val="BodyText"/>
      </w:pPr>
    </w:p>
    <w:p w:rsidR="00000000" w:rsidRPr="00BF2CD6" w:rsidP="00BF2CD6">
      <w:pPr>
        <w:pStyle w:val="Heading1"/>
      </w:pPr>
      <w:bookmarkStart w:id="10" w:name="O_248252"/>
      <w:bookmarkEnd w:id="10"/>
      <w:r w:rsidRPr="00BF2CD6">
        <w:t>Evidence Guide</w:t>
      </w:r>
    </w:p>
    <w:tbl>
      <w:tblPr>
        <w:tblW w:w="0" w:type="auto"/>
        <w:tblLayout w:type="fixed"/>
        <w:tblCellMar>
          <w:left w:w="62" w:type="dxa"/>
          <w:right w:w="62" w:type="dxa"/>
        </w:tblCellMar>
        <w:tblLook w:val="0000"/>
      </w:tblPr>
      <w:tblGrid>
        <w:gridCol w:w="2160"/>
        <w:gridCol w:w="720"/>
        <w:gridCol w:w="900"/>
        <w:gridCol w:w="360"/>
        <w:gridCol w:w="1440"/>
        <w:gridCol w:w="2880"/>
      </w:tblGrid>
      <w:tr w:rsidTr="00C03B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EVIDENCE GUIDE</w:t>
            </w:r>
          </w:p>
        </w:tc>
      </w:tr>
      <w:tr w:rsidTr="00C03B0D">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9</w:t>
            </w:r>
            <w:r w:rsidRPr="00BF2CD6">
              <w:t xml:space="preserve">) This provides essential advice for assessment of the competency standard unit and must be read </w:t>
            </w:r>
            <w:r w:rsidRPr="00BF2CD6">
              <w:t>in conjunction with the Performance Criteria and the Range Statement of the competency standard unit and the Training Package Assessment Guidelines.</w:t>
            </w:r>
          </w:p>
          <w:p w:rsidR="00000000" w:rsidP="00BF2CD6">
            <w:pPr>
              <w:pStyle w:val="BodyText"/>
              <w:rPr>
                <w:lang w:val="en-NZ"/>
              </w:rPr>
            </w:pPr>
            <w:r w:rsidRPr="00BF2CD6">
              <w:t>The Evidence Guide forms an integral part of this Competency Standard Unit and shall be used in conjunction</w:t>
            </w:r>
            <w:r w:rsidRPr="00BF2CD6">
              <w:t xml:space="preserve"> with all component parts of this unit and, performed in accordance with the Assessment Guidelines of this Training Package.</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9</w:t>
            </w:r>
            <w:r w:rsidRPr="00BF2CD6">
              <w:t>.</w:t>
            </w:r>
            <w:r w:rsidRPr="00BF2CD6">
              <w:rPr>
                <w:rStyle w:val="SpecialBold"/>
              </w:rPr>
              <w:t>1</w:t>
            </w:r>
            <w:r w:rsidRPr="00BF2CD6">
              <w:t xml:space="preserve">) </w:t>
            </w:r>
          </w:p>
          <w:p w:rsidR="00000000" w:rsidRPr="00BF2CD6" w:rsidP="00BF2CD6">
            <w:pPr>
              <w:pStyle w:val="BodyText"/>
            </w:pPr>
            <w:r w:rsidRPr="00BF2CD6">
              <w:t>Longitudinal competency development approaches to assessment, such as Profiling, require data to</w:t>
            </w:r>
            <w:r w:rsidRPr="00BF2CD6">
              <w:t xml:space="preserve"> be reliably gathered in a form that can be consistently interpreted over time. This approach is best utilised in Apprenticeship programs and reduces assessment intervention. It is the Industry's preferred model for apprenticeships. However, where summativ</w:t>
            </w:r>
            <w:r w:rsidRPr="00BF2CD6">
              <w:t>e (or final) assessment is used it is to include the application of the competency in the normal work environment or, at a minimum, the application of the competency in a realistically simulated work environment. It is recognised that, in some circumstance</w:t>
            </w:r>
            <w:r w:rsidRPr="00BF2CD6">
              <w:t>s, assessment in part or full can occur outside the workplace. However, it must be in accord with Industry and, Regulatory policy in this regard.</w:t>
            </w:r>
          </w:p>
          <w:p w:rsidR="00000000" w:rsidRPr="00BF2CD6" w:rsidP="00BF2CD6">
            <w:pPr>
              <w:pStyle w:val="BodyText"/>
            </w:pPr>
            <w:r w:rsidRPr="00BF2CD6">
              <w:t xml:space="preserve">Methods chosen for a particular assessment will be influenced by various factors. These include the extent of </w:t>
            </w:r>
            <w:r w:rsidRPr="00BF2CD6">
              <w:t>the assessment, the most effective locations for the assessment activities to take place, access to physical resources, additional safety measures that may be required and the critical nature of the competencies being assessed.</w:t>
            </w:r>
          </w:p>
          <w:p w:rsidR="00000000" w:rsidRPr="00BF2CD6" w:rsidP="00BF2CD6">
            <w:pPr>
              <w:pStyle w:val="BodyText"/>
            </w:pPr>
            <w:r w:rsidRPr="00BF2CD6">
              <w:t>The critical safety nature o</w:t>
            </w:r>
            <w:r w:rsidRPr="00BF2CD6">
              <w:t>f working with electricity, electrical equipment, gas or any other hazardous substance/material carries risk in deeming a person competent. Hence, sources of evidence need to be 'rich' in nature so as to minimise error in judgment.</w:t>
            </w:r>
          </w:p>
          <w:p w:rsidR="00000000" w:rsidP="00BF2CD6">
            <w:pPr>
              <w:pStyle w:val="BodyText"/>
              <w:rPr>
                <w:lang w:val="en-NZ"/>
              </w:rPr>
            </w:pPr>
            <w:r w:rsidRPr="00BF2CD6">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BF2CD6">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BF2CD6">
              <w:t>of this Training Package.</w:t>
            </w:r>
          </w:p>
        </w:tc>
      </w:tr>
      <w:tr w:rsidTr="00C03B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Critical aspects of evidence required to demonstrate 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9</w:t>
            </w:r>
            <w:r w:rsidRPr="00BF2CD6">
              <w:t>.</w:t>
            </w:r>
            <w:r w:rsidRPr="00BF2CD6">
              <w:rPr>
                <w:rStyle w:val="SpecialBold"/>
              </w:rPr>
              <w:t>2</w:t>
            </w:r>
            <w:r w:rsidRPr="00BF2CD6">
              <w:t xml:space="preserve">) </w:t>
            </w:r>
          </w:p>
          <w:p w:rsidR="00000000" w:rsidP="00BF2CD6">
            <w:pPr>
              <w:pStyle w:val="BodyText"/>
              <w:rPr>
                <w:lang w:val="en-NZ"/>
              </w:rPr>
            </w:pPr>
            <w:r w:rsidRPr="00BF2CD6">
              <w:t>Before the critical aspects of evidence are considered all prerequisites shall be met.</w:t>
            </w:r>
          </w:p>
        </w:tc>
      </w:tr>
      <w:tr w:rsidTr="00C03B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BF2CD6">
            <w:pPr>
              <w:pStyle w:val="ListBullet"/>
              <w:rPr>
                <w:lang w:val="en-NZ"/>
              </w:rPr>
            </w:pPr>
            <w:r w:rsidRPr="00BF2CD6">
              <w:t>A</w:t>
            </w:r>
            <w:r w:rsidRPr="00BF2CD6">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BF2CD6" w:rsidP="00BF2CD6">
            <w:pPr>
              <w:pStyle w:val="ListBullet2"/>
            </w:pPr>
            <w:r w:rsidRPr="00BF2CD6">
              <w:t>Implemen</w:t>
            </w:r>
            <w:r w:rsidRPr="00BF2CD6">
              <w:t>t Occupational Health and Safety workplace procedures and practices including the use of risk control measures as specified in the Performance Criteria and range; and</w:t>
            </w:r>
          </w:p>
          <w:p w:rsidR="00000000" w:rsidRPr="00BF2CD6" w:rsidP="00BF2CD6">
            <w:pPr>
              <w:pStyle w:val="ListBullet2"/>
            </w:pPr>
            <w:r w:rsidRPr="00BF2CD6">
              <w:t>Apply sustainable energy principles and practices as specified in the Performance Criteria and range; and</w:t>
            </w:r>
          </w:p>
          <w:p w:rsidR="00000000" w:rsidRPr="00BF2CD6" w:rsidP="00BF2CD6">
            <w:pPr>
              <w:pStyle w:val="ListBullet2"/>
            </w:pPr>
            <w:r w:rsidRPr="00BF2CD6">
              <w:t xml:space="preserve">Demonstrate an understanding of the essential knowledge and associated skills described in this unit to such an extent that the learner's performance </w:t>
            </w:r>
            <w:r w:rsidRPr="00BF2CD6">
              <w:t>outcome is reported in accordance with the preferred approach; namely a percentile graded result, where required by the regulated environment; and</w:t>
            </w:r>
          </w:p>
          <w:p w:rsidR="00000000" w:rsidRPr="00BF2CD6" w:rsidP="00BF2CD6">
            <w:pPr>
              <w:pStyle w:val="ListBullet2"/>
            </w:pPr>
            <w:r w:rsidRPr="00BF2CD6">
              <w:t>Demonstrate an appropriate level of employability skills; and</w:t>
            </w:r>
          </w:p>
          <w:p w:rsidR="00000000" w:rsidP="00BF2CD6">
            <w:pPr>
              <w:pStyle w:val="ListBullet2"/>
              <w:rPr>
                <w:lang w:val="en-NZ"/>
              </w:rPr>
            </w:pPr>
            <w:r w:rsidRPr="00BF2CD6">
              <w:t>Conduct work observing the relevant Anti Discri</w:t>
            </w:r>
            <w:r w:rsidRPr="00BF2CD6">
              <w:t>mination legislation, regulations, policies and workplace procedures; and</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BF2CD6">
            <w:pPr>
              <w:pStyle w:val="ListBullet"/>
              <w:rPr>
                <w:lang w:val="en-NZ"/>
              </w:rPr>
            </w:pPr>
            <w:r w:rsidRPr="00BF2CD6">
              <w:t>Demonstrated performance across a representative range of contexts from the prescribed items below:</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BF2CD6">
            <w:pPr>
              <w:pStyle w:val="BodyText"/>
              <w:keepNext w:val="0"/>
              <w:keepLines w:val="0"/>
              <w:contextualSpacing w:val="0"/>
            </w:pPr>
          </w:p>
        </w:tc>
        <w:tc>
          <w:tcPr>
            <w:tcW w:w="55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rPr>
                <w:rStyle w:val="SpecialBold"/>
              </w:rPr>
              <w:t>Range of tools</w:t>
            </w:r>
            <w:r w:rsidRPr="00BF2CD6">
              <w:t>/</w:t>
            </w:r>
            <w:r w:rsidRPr="00BF2CD6">
              <w:rPr>
                <w:rStyle w:val="SpecialBold"/>
              </w:rPr>
              <w:t>equipment</w:t>
            </w:r>
            <w:r w:rsidRPr="00BF2CD6">
              <w:t>/</w:t>
            </w:r>
            <w:r w:rsidRPr="00BF2CD6">
              <w:rPr>
                <w:rStyle w:val="SpecialBold"/>
              </w:rPr>
              <w:t>materials</w:t>
            </w:r>
            <w:r w:rsidRPr="00BF2CD6">
              <w:t>/</w:t>
            </w:r>
            <w:r w:rsidRPr="00BF2CD6">
              <w:rPr>
                <w:rStyle w:val="SpecialBold"/>
              </w:rPr>
              <w:t>procedures</w:t>
            </w:r>
            <w:r w:rsidRPr="00BF2CD6">
              <w:t>/</w:t>
            </w:r>
            <w:r w:rsidRPr="00BF2CD6">
              <w:rPr>
                <w:rStyle w:val="SpecialBold"/>
              </w:rPr>
              <w:t>workplaces</w:t>
            </w:r>
            <w:r w:rsidRPr="00BF2CD6">
              <w:t>/</w:t>
            </w:r>
            <w:r w:rsidRPr="00BF2CD6">
              <w:rPr>
                <w:rStyle w:val="SpecialBold"/>
              </w:rPr>
              <w:t>other variables</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Item List</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Develop and evaluate, on at least three (3) occasions all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CD6" w:rsidP="00BF2CD6">
            <w:pPr>
              <w:pStyle w:val="BodyText"/>
            </w:pPr>
            <w:r w:rsidRPr="00BF2CD6">
              <w:t>Identify complex relay operations by interpreting available a</w:t>
            </w:r>
            <w:r w:rsidRPr="00BF2CD6">
              <w:t>larms and event data.</w:t>
            </w:r>
          </w:p>
          <w:p w:rsidR="00000000" w:rsidRPr="00BF2CD6" w:rsidP="00BF2CD6">
            <w:pPr>
              <w:pStyle w:val="BodyText"/>
            </w:pPr>
            <w:r w:rsidRPr="00BF2CD6">
              <w:t>Analyse and diagnose system failures</w:t>
            </w:r>
          </w:p>
          <w:p w:rsidR="00000000" w:rsidP="00BF2CD6">
            <w:pPr>
              <w:pStyle w:val="BodyText"/>
              <w:rPr>
                <w:lang w:val="en-NZ"/>
              </w:rPr>
            </w:pPr>
            <w:r w:rsidRPr="00BF2CD6">
              <w:t>Evaluate response to complex relay operations</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All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Describe control and alarms associated with complex protection systems</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CD6">
            <w:pPr>
              <w:pStyle w:val="BodyText"/>
              <w:rPr>
                <w:lang w:val="en-NZ"/>
              </w:rPr>
            </w:pPr>
            <w:r w:rsidRPr="00BF2CD6">
              <w:t>Dealing with an unplanned event by drawing on essential knowledge and associated skills to provide appropriate solutions incorporated in the holistic assessment with the above listed items.</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9</w:t>
            </w:r>
            <w:r w:rsidRPr="00BF2CD6">
              <w:t>.</w:t>
            </w:r>
            <w:r w:rsidRPr="00BF2CD6">
              <w:rPr>
                <w:rStyle w:val="SpecialBold"/>
              </w:rPr>
              <w:t>3</w:t>
            </w:r>
            <w:r w:rsidRPr="00BF2CD6">
              <w:t xml:space="preserve">) </w:t>
            </w:r>
          </w:p>
          <w:p w:rsidR="00000000" w:rsidRPr="00BF2CD6" w:rsidP="00BF2CD6">
            <w:pPr>
              <w:pStyle w:val="BodyText"/>
            </w:pPr>
            <w:r w:rsidRPr="00BF2CD6">
              <w:t xml:space="preserve">This unit </w:t>
            </w:r>
            <w:r w:rsidRPr="00BF2CD6">
              <w:t>should be assessed as it relates to normal work practice using procedures, information and resources typical of a workplace. This should include:</w:t>
            </w:r>
          </w:p>
          <w:p w:rsidR="00000000" w:rsidRPr="00BF2CD6" w:rsidP="00BF2CD6">
            <w:pPr>
              <w:pStyle w:val="ListBullet"/>
            </w:pPr>
            <w:r w:rsidRPr="00BF2CD6">
              <w:t>OHS policy and work procedures and instructions.</w:t>
            </w:r>
          </w:p>
          <w:p w:rsidR="00000000" w:rsidRPr="00BF2CD6" w:rsidP="00BF2CD6">
            <w:pPr>
              <w:pStyle w:val="ListBullet"/>
            </w:pPr>
            <w:r w:rsidRPr="00BF2CD6">
              <w:t>Suitable work environment, facilities, equipment and materia</w:t>
            </w:r>
            <w:r w:rsidRPr="00BF2CD6">
              <w:t>ls to undertake actual preparation of HV Transmission Switching programs</w:t>
            </w:r>
          </w:p>
          <w:p w:rsidR="00000000" w:rsidRPr="00BF2CD6" w:rsidP="00BF2CD6">
            <w:pPr>
              <w:pStyle w:val="ListBullet2"/>
            </w:pPr>
            <w:r w:rsidRPr="00BF2CD6">
              <w:t>Note:</w:t>
            </w:r>
          </w:p>
          <w:p w:rsidR="00000000" w:rsidP="00BF2CD6">
            <w:pPr>
              <w:pStyle w:val="ListBullet2"/>
              <w:rPr>
                <w:lang w:val="en-NZ"/>
              </w:rPr>
            </w:pPr>
            <w:r w:rsidRPr="00BF2CD6">
              <w:t>Access will be needed to: relevant modelling tools, drawings, computerised electrical plant control and monitoring facilities and enterprise operational policies, procedures and work practices.</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In addition to the resources listed above, in Context of and specific resources for assessment, evidence should show demonstrated competency working in realistic environment and a variety of conditions.</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9</w:t>
            </w:r>
            <w:r w:rsidRPr="00BF2CD6">
              <w:t>.</w:t>
            </w:r>
            <w:r w:rsidRPr="00BF2CD6">
              <w:rPr>
                <w:rStyle w:val="SpecialBold"/>
              </w:rPr>
              <w:t>4</w:t>
            </w:r>
            <w:r w:rsidRPr="00BF2CD6">
              <w:t xml:space="preserve">) </w:t>
            </w:r>
          </w:p>
          <w:p w:rsidR="00000000" w:rsidRPr="00BF2CD6" w:rsidP="00BF2CD6">
            <w:pPr>
              <w:pStyle w:val="BodyText"/>
            </w:pPr>
            <w:r w:rsidRPr="00BF2CD6">
              <w:t>This Competency Stand</w:t>
            </w:r>
            <w:r w:rsidRPr="00BF2CD6">
              <w:t>ard Unit shall be assessed by methods given in Volume 1, Part 3 "Assessment Guidelines".</w:t>
            </w:r>
          </w:p>
          <w:p w:rsidR="00000000" w:rsidP="00BF2CD6">
            <w:pPr>
              <w:pStyle w:val="ListBullet2"/>
              <w:rPr>
                <w:lang w:val="en-NZ"/>
              </w:rPr>
            </w:pPr>
            <w:r w:rsidRPr="00BF2CD6">
              <w:t>Note:</w:t>
            </w:r>
            <w:r w:rsidRPr="00BF2CD6">
              <w:br/>
              <w:t>Competent performance with inherent safe working practices is expected in the Transmission, Distribution and Rail Traction Industry. This requires that the spec</w:t>
            </w:r>
            <w:r w:rsidRPr="00BF2CD6">
              <w:t>ified essential knowledge and associated skills are assessed in a structured environment which is primarily intended for learning/assessment and incorporates all necessary equipment and facilities for learners to develop and demonstrate the essential knowl</w:t>
            </w:r>
            <w:r w:rsidRPr="00BF2CD6">
              <w:t>edge and associated skills described in this unit.</w:t>
            </w:r>
          </w:p>
        </w:tc>
      </w:tr>
      <w:tr w:rsidTr="00C03B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9</w:t>
            </w:r>
            <w:r w:rsidRPr="00BF2CD6">
              <w:t>.</w:t>
            </w:r>
            <w:r w:rsidRPr="00BF2CD6">
              <w:rPr>
                <w:rStyle w:val="SpecialBold"/>
              </w:rPr>
              <w:t>5</w:t>
            </w:r>
            <w:r w:rsidRPr="00BF2CD6">
              <w:t>)</w:t>
            </w:r>
          </w:p>
        </w:tc>
      </w:tr>
      <w:tr w:rsidTr="00C03B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For optimisation of training and assessment effort, competence in this unit may be assessed concurrently with units:</w:t>
            </w:r>
          </w:p>
        </w:tc>
      </w:tr>
      <w:tr w:rsidTr="00C03B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0" w:type="dxa"/>
            <w:gridSpan w:val="2"/>
            <w:tcBorders>
              <w:top w:val="nil"/>
              <w:left w:val="nil"/>
              <w:bottom w:val="nil"/>
              <w:right w:val="nil"/>
            </w:tcBorders>
            <w:tcMar>
              <w:top w:w="0" w:type="dxa"/>
              <w:left w:w="62" w:type="dxa"/>
              <w:bottom w:w="0" w:type="dxa"/>
              <w:right w:w="62" w:type="dxa"/>
            </w:tcMar>
          </w:tcPr>
          <w:p w:rsidR="00000000" w:rsidP="00BF2CD6">
            <w:pPr>
              <w:pStyle w:val="BodyText"/>
              <w:rPr>
                <w:lang w:val="en-NZ"/>
              </w:rPr>
            </w:pP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0" w:type="dxa"/>
            <w:gridSpan w:val="2"/>
            <w:tcBorders>
              <w:top w:val="nil"/>
              <w:left w:val="nil"/>
              <w:bottom w:val="nil"/>
              <w:right w:val="nil"/>
            </w:tcBorders>
            <w:tcMar>
              <w:top w:w="0" w:type="dxa"/>
              <w:left w:w="62" w:type="dxa"/>
              <w:bottom w:w="0" w:type="dxa"/>
              <w:right w:w="62" w:type="dxa"/>
            </w:tcMar>
          </w:tcPr>
          <w:p w:rsidR="00000000" w:rsidRPr="00BF2CD6" w:rsidP="00BF2CD6">
            <w:pPr>
              <w:pStyle w:val="BodyText"/>
            </w:pPr>
          </w:p>
        </w:tc>
      </w:tr>
    </w:tbl>
    <w:p w:rsidR="00C03B0D" w:rsidP="00BF2CD6">
      <w:pPr>
        <w:pStyle w:val="BodyText"/>
      </w:pPr>
    </w:p>
    <w:p w:rsidR="00C03B0D" w:rsidP="00BF2CD6">
      <w:pPr>
        <w:pStyle w:val="BodyText"/>
      </w:pPr>
    </w:p>
    <w:p w:rsidR="00000000" w:rsidRPr="00BF2CD6" w:rsidP="00BF2CD6">
      <w:pPr>
        <w:pStyle w:val="Heading1"/>
      </w:pPr>
      <w:bookmarkStart w:id="11" w:name="O_256236"/>
      <w:bookmarkEnd w:id="11"/>
      <w:r w:rsidRPr="00BF2CD6">
        <w:t>Range Statement</w:t>
      </w:r>
    </w:p>
    <w:tbl>
      <w:tblPr>
        <w:tblW w:w="0" w:type="auto"/>
        <w:tblLayout w:type="fixed"/>
        <w:tblCellMar>
          <w:left w:w="62" w:type="dxa"/>
          <w:right w:w="62" w:type="dxa"/>
        </w:tblCellMar>
        <w:tblLook w:val="0000"/>
      </w:tblPr>
      <w:tblGrid>
        <w:gridCol w:w="2160"/>
        <w:gridCol w:w="6300"/>
      </w:tblGrid>
      <w:tr w:rsidTr="00C03B0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RANGE STATEMENT</w:t>
            </w:r>
          </w:p>
        </w:tc>
      </w:tr>
      <w:tr w:rsidTr="00C03B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8</w:t>
            </w:r>
            <w:r w:rsidRPr="00BF2CD6">
              <w:t xml:space="preserve">) This relates to the competency standard unit as a whole providing the range of contexts and conditions </w:t>
            </w:r>
            <w:r w:rsidRPr="00BF2CD6">
              <w:t>to which the Performance Criteria apply. It allows for different work environments and situations that will affect performance.</w:t>
            </w:r>
          </w:p>
        </w:tc>
      </w:tr>
      <w:tr w:rsidTr="00C03B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This Competency Standard Unit shall/may be demonstrated in relation to the activities required when responding to complex prot</w:t>
            </w:r>
            <w:r w:rsidRPr="00BF2CD6">
              <w:t>ection operations as the result of a fault condition. These activities are required to secure the network and develop restoration plans that allow work to be safely be performed whilst minimising customer outages and may include the following:</w:t>
            </w:r>
          </w:p>
          <w:p w:rsidR="00000000" w:rsidRPr="00BF2CD6" w:rsidP="00BF2CD6">
            <w:pPr>
              <w:pStyle w:val="BodyText"/>
            </w:pPr>
            <w:r w:rsidRPr="00BF2CD6">
              <w:t>Complex: dis</w:t>
            </w:r>
            <w:r w:rsidRPr="00BF2CD6">
              <w:t>tance, differential, transformer differential, bus zone, bus overcurrent, revenue metering, current transformer accuracy, SCADA, communications, harmonic control, point on wave, HV plant testing.</w:t>
            </w:r>
          </w:p>
          <w:p w:rsidR="00000000" w:rsidRPr="00BF2CD6" w:rsidP="00BF2CD6">
            <w:pPr>
              <w:pStyle w:val="BodyText"/>
            </w:pPr>
            <w:r w:rsidRPr="00BF2CD6">
              <w:t>Conditions and facilities for the calculation of network loa</w:t>
            </w:r>
            <w:r w:rsidRPr="00BF2CD6">
              <w:t>ding, planning for the management of the network and multiple outages.</w:t>
            </w:r>
          </w:p>
          <w:p w:rsidR="00000000" w:rsidRPr="00BF2CD6" w:rsidP="00BF2CD6">
            <w:pPr>
              <w:pStyle w:val="BodyText"/>
            </w:pPr>
            <w:r w:rsidRPr="00BF2CD6">
              <w:t>Regulatory and enterprise procedures for the compliance with national electricity code.</w:t>
            </w:r>
          </w:p>
          <w:p w:rsidR="00000000" w:rsidP="00BF2CD6">
            <w:pPr>
              <w:pStyle w:val="BodyText"/>
              <w:rPr>
                <w:lang w:val="en-NZ"/>
              </w:rPr>
            </w:pPr>
            <w:r w:rsidRPr="00BF2CD6">
              <w:t>The following constants and variables included in the Element/Performance Criteria in this unit a</w:t>
            </w:r>
            <w:r w:rsidRPr="00BF2CD6">
              <w:t>re fully described in the Definitions Section 1 of this volume and form an integral part of the Range Statement of this unit:</w:t>
            </w:r>
          </w:p>
        </w:tc>
      </w:tr>
      <w:tr w:rsidTr="00C03B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F2CD6" w:rsidP="00BF2CD6">
            <w:pPr>
              <w:pStyle w:val="ListBullet"/>
            </w:pPr>
            <w:r w:rsidRPr="00BF2CD6">
              <w:t>Appropriate and relevant persons (see Personnel)</w:t>
            </w:r>
          </w:p>
          <w:p w:rsidR="00000000" w:rsidRPr="00BF2CD6" w:rsidP="00BF2CD6">
            <w:pPr>
              <w:pStyle w:val="ListBullet"/>
            </w:pPr>
            <w:r w:rsidRPr="00BF2CD6">
              <w:t>Appropriate authorities</w:t>
            </w:r>
          </w:p>
          <w:p w:rsidR="00000000" w:rsidRPr="00BF2CD6" w:rsidP="00BF2CD6">
            <w:pPr>
              <w:pStyle w:val="ListBullet"/>
            </w:pPr>
            <w:r w:rsidRPr="00BF2CD6">
              <w:t>Appropriate work platform</w:t>
            </w:r>
          </w:p>
          <w:p w:rsidR="00000000" w:rsidRPr="00BF2CD6" w:rsidP="00BF2CD6">
            <w:pPr>
              <w:pStyle w:val="ListBullet"/>
            </w:pPr>
            <w:r w:rsidRPr="00BF2CD6">
              <w:t>Assessing risk</w:t>
            </w:r>
          </w:p>
          <w:p w:rsidR="00000000" w:rsidRPr="00BF2CD6" w:rsidP="00BF2CD6">
            <w:pPr>
              <w:pStyle w:val="ListBullet"/>
            </w:pPr>
            <w:r w:rsidRPr="00BF2CD6">
              <w:t>Assessment</w:t>
            </w:r>
          </w:p>
          <w:p w:rsidR="00000000" w:rsidRPr="00BF2CD6" w:rsidP="00BF2CD6">
            <w:pPr>
              <w:pStyle w:val="ListBullet"/>
            </w:pPr>
            <w:r w:rsidRPr="00BF2CD6">
              <w:t>Authorisation</w:t>
            </w:r>
          </w:p>
          <w:p w:rsidR="00000000" w:rsidRPr="00BF2CD6" w:rsidP="00BF2CD6">
            <w:pPr>
              <w:pStyle w:val="ListBullet"/>
            </w:pPr>
            <w:r w:rsidRPr="00BF2CD6">
              <w:t>Confined space</w:t>
            </w:r>
          </w:p>
          <w:p w:rsidR="00000000" w:rsidRPr="00BF2CD6" w:rsidP="00BF2CD6">
            <w:pPr>
              <w:pStyle w:val="ListBullet"/>
            </w:pPr>
            <w:r w:rsidRPr="00BF2CD6">
              <w:t>Diagnostic, testing and restoration</w:t>
            </w:r>
          </w:p>
          <w:p w:rsidR="00000000" w:rsidRPr="00BF2CD6" w:rsidP="00BF2CD6">
            <w:pPr>
              <w:pStyle w:val="ListBullet"/>
            </w:pPr>
            <w:r w:rsidRPr="00BF2CD6">
              <w:t>Documenting detail work events, record keeping and or storage of information</w:t>
            </w:r>
          </w:p>
          <w:p w:rsidR="00000000" w:rsidRPr="00BF2CD6" w:rsidP="00BF2CD6">
            <w:pPr>
              <w:pStyle w:val="ListBullet"/>
            </w:pPr>
            <w:r w:rsidRPr="00BF2CD6">
              <w:t xml:space="preserve">Drawings and specifications </w:t>
            </w:r>
          </w:p>
          <w:p w:rsidR="00000000" w:rsidRPr="00BF2CD6" w:rsidP="00BF2CD6">
            <w:pPr>
              <w:pStyle w:val="ListBullet"/>
            </w:pPr>
            <w:r w:rsidRPr="00BF2CD6">
              <w:t>Emergency</w:t>
            </w:r>
          </w:p>
          <w:p w:rsidR="00000000" w:rsidRPr="00BF2CD6" w:rsidP="00BF2CD6">
            <w:pPr>
              <w:pStyle w:val="ListBullet"/>
            </w:pPr>
            <w:r w:rsidRPr="00BF2CD6">
              <w:t>Environmental and sustainable energy procedures</w:t>
            </w:r>
          </w:p>
          <w:p w:rsidR="00000000" w:rsidRPr="00BF2CD6" w:rsidP="00BF2CD6">
            <w:pPr>
              <w:pStyle w:val="ListBullet"/>
            </w:pPr>
            <w:r w:rsidRPr="00BF2CD6">
              <w:t>Environmental legislation</w:t>
            </w:r>
          </w:p>
          <w:p w:rsidR="00000000" w:rsidRPr="00BF2CD6" w:rsidP="00BF2CD6">
            <w:pPr>
              <w:pStyle w:val="ListBullet"/>
            </w:pPr>
            <w:r w:rsidRPr="00BF2CD6">
              <w:t>Environmental management documentation</w:t>
            </w:r>
          </w:p>
          <w:p w:rsidR="00000000" w:rsidRPr="00BF2CD6" w:rsidP="00BF2CD6">
            <w:pPr>
              <w:pStyle w:val="ListBullet"/>
            </w:pPr>
            <w:r w:rsidRPr="00BF2CD6">
              <w:t>Established procedures</w:t>
            </w:r>
          </w:p>
          <w:p w:rsidR="00000000" w:rsidRPr="00BF2CD6" w:rsidP="00BF2CD6">
            <w:pPr>
              <w:pStyle w:val="ListBullet"/>
            </w:pPr>
            <w:r w:rsidRPr="00BF2CD6">
              <w:t>Fall prevention</w:t>
            </w:r>
          </w:p>
          <w:p w:rsidR="00000000" w:rsidRPr="00BF2CD6" w:rsidP="00BF2CD6">
            <w:pPr>
              <w:pStyle w:val="ListBullet"/>
            </w:pPr>
            <w:r w:rsidRPr="00BF2CD6">
              <w:t>Hazards</w:t>
            </w:r>
          </w:p>
          <w:p w:rsidR="00000000" w:rsidRPr="00BF2CD6" w:rsidP="00BF2CD6">
            <w:pPr>
              <w:pStyle w:val="ListBullet"/>
            </w:pPr>
            <w:r w:rsidRPr="00BF2CD6">
              <w:t>Identifying hazards</w:t>
            </w:r>
          </w:p>
          <w:p w:rsidR="00000000" w:rsidRPr="00BF2CD6" w:rsidP="00BF2CD6">
            <w:pPr>
              <w:pStyle w:val="ListBullet"/>
            </w:pPr>
            <w:r w:rsidRPr="00BF2CD6">
              <w:t>Inspect</w:t>
            </w:r>
          </w:p>
          <w:p w:rsidR="00000000" w:rsidRPr="00BF2CD6" w:rsidP="00BF2CD6">
            <w:pPr>
              <w:pStyle w:val="ListBullet"/>
            </w:pPr>
            <w:r w:rsidRPr="00BF2CD6">
              <w:t>Legislation</w:t>
            </w:r>
          </w:p>
          <w:p w:rsidR="00000000" w:rsidRPr="00BF2CD6" w:rsidP="00BF2CD6">
            <w:pPr>
              <w:pStyle w:val="ListBullet"/>
            </w:pPr>
            <w:r w:rsidRPr="00BF2CD6">
              <w:t>MSDS</w:t>
            </w:r>
          </w:p>
          <w:p w:rsidR="00000000" w:rsidRPr="00BF2CD6" w:rsidP="00BF2CD6">
            <w:pPr>
              <w:pStyle w:val="ListBullet"/>
            </w:pPr>
            <w:r w:rsidRPr="00BF2CD6">
              <w:t>Notification</w:t>
            </w:r>
          </w:p>
          <w:p w:rsidR="00000000" w:rsidRPr="00BF2CD6" w:rsidP="00BF2CD6">
            <w:pPr>
              <w:pStyle w:val="ListBullet"/>
            </w:pPr>
            <w:r w:rsidRPr="00BF2CD6">
              <w:t>OHS practices</w:t>
            </w:r>
          </w:p>
          <w:p w:rsidR="00000000" w:rsidRPr="00BF2CD6" w:rsidP="00BF2CD6">
            <w:pPr>
              <w:pStyle w:val="ListBullet"/>
            </w:pPr>
            <w:r w:rsidRPr="00BF2CD6">
              <w:t>OHS issues</w:t>
            </w:r>
          </w:p>
          <w:p w:rsidR="00000000" w:rsidRPr="00BF2CD6" w:rsidP="00BF2CD6">
            <w:pPr>
              <w:pStyle w:val="ListBullet"/>
            </w:pPr>
            <w:r w:rsidRPr="00BF2CD6">
              <w:t>Permits and/or permits to work</w:t>
            </w:r>
          </w:p>
          <w:p w:rsidR="00000000" w:rsidRPr="00BF2CD6" w:rsidP="00BF2CD6">
            <w:pPr>
              <w:pStyle w:val="ListBullet"/>
            </w:pPr>
            <w:r w:rsidRPr="00BF2CD6">
              <w:t>Personnel</w:t>
            </w:r>
          </w:p>
          <w:p w:rsidR="00000000" w:rsidRPr="00BF2CD6" w:rsidP="00BF2CD6">
            <w:pPr>
              <w:pStyle w:val="ListBullet"/>
            </w:pPr>
            <w:r w:rsidRPr="00BF2CD6">
              <w:t>Quality assurance systems</w:t>
            </w:r>
          </w:p>
          <w:p w:rsidR="00000000" w:rsidRPr="00BF2CD6" w:rsidP="00BF2CD6">
            <w:pPr>
              <w:pStyle w:val="ListBullet"/>
            </w:pPr>
            <w:r w:rsidRPr="00BF2CD6">
              <w:t>Requirements</w:t>
            </w:r>
          </w:p>
          <w:p w:rsidR="00000000" w:rsidRPr="00BF2CD6" w:rsidP="00BF2CD6">
            <w:pPr>
              <w:pStyle w:val="ListBullet"/>
            </w:pPr>
            <w:r w:rsidRPr="00BF2CD6">
              <w:t>Testing</w:t>
            </w:r>
            <w:r w:rsidRPr="00BF2CD6">
              <w:t xml:space="preserve"> procedures</w:t>
            </w:r>
          </w:p>
          <w:p w:rsidR="00000000" w:rsidRPr="00BF2CD6" w:rsidP="00BF2CD6">
            <w:pPr>
              <w:pStyle w:val="ListBullet"/>
            </w:pPr>
            <w:r w:rsidRPr="00BF2CD6">
              <w:t>Work clearance systems</w:t>
            </w:r>
          </w:p>
        </w:tc>
      </w:tr>
    </w:tbl>
    <w:p w:rsidR="00C03B0D" w:rsidP="00BF2CD6">
      <w:pPr>
        <w:pStyle w:val="BodyText"/>
      </w:pPr>
    </w:p>
    <w:p w:rsidR="00C03B0D" w:rsidP="00BF2CD6">
      <w:pPr>
        <w:pStyle w:val="BodyText"/>
      </w:pPr>
    </w:p>
    <w:p w:rsidR="00000000" w:rsidRPr="00BF2CD6" w:rsidP="00BF2CD6">
      <w:pPr>
        <w:pStyle w:val="Heading1"/>
      </w:pPr>
      <w:bookmarkStart w:id="12" w:name="O_297249"/>
      <w:bookmarkEnd w:id="12"/>
      <w:r w:rsidRPr="00BF2CD6">
        <w:t>Unit Sector(s)</w:t>
      </w:r>
    </w:p>
    <w:p w:rsidR="00000000" w:rsidRPr="00BF2CD6" w:rsidP="00BF2CD6">
      <w:pPr>
        <w:pStyle w:val="BodyText"/>
      </w:pPr>
      <w:r w:rsidRPr="00BF2CD6">
        <w:t>Not Applicable</w:t>
      </w:r>
    </w:p>
    <w:p w:rsidR="00000000" w:rsidRPr="00BF2CD6" w:rsidP="00BF2CD6">
      <w:pPr>
        <w:pStyle w:val="AllowPageBreak"/>
      </w:pPr>
    </w:p>
    <w:p w:rsidR="00000000" w:rsidRPr="00BF2CD6" w:rsidP="00BF2CD6">
      <w:pPr>
        <w:pStyle w:val="Heading1"/>
      </w:pPr>
      <w:bookmarkStart w:id="13" w:name="O_232036"/>
      <w:bookmarkEnd w:id="13"/>
      <w:r w:rsidRPr="00BF2CD6">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03B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2</w:t>
            </w:r>
            <w:r w:rsidRPr="00BF2CD6">
              <w:t>.</w:t>
            </w:r>
            <w:r w:rsidRPr="00BF2CD6">
              <w:rPr>
                <w:rStyle w:val="SpecialBold"/>
              </w:rPr>
              <w:t>2</w:t>
            </w:r>
            <w:r w:rsidRPr="00BF2CD6">
              <w:t xml:space="preserve">) </w:t>
            </w:r>
            <w:r w:rsidRPr="00BF2CD6">
              <w:rPr>
                <w:rStyle w:val="SpecialBold"/>
              </w:rPr>
              <w:t>Literacy and numeracy skills</w:t>
            </w:r>
          </w:p>
          <w:p w:rsidR="00000000" w:rsidP="00BF2CD6">
            <w:pPr>
              <w:pStyle w:val="BodyText"/>
              <w:rPr>
                <w:lang w:val="en-NZ"/>
              </w:rPr>
            </w:pPr>
            <w:r w:rsidRPr="00BF2CD6">
              <w:t>Participants are best equipped to achieve this unit if they have reading, writing and numeracy skills indicated by the following scales. Description of each scale is given in Volume 2, Part 3 "Literacy and Numeracy"</w:t>
            </w:r>
          </w:p>
        </w:tc>
      </w:tr>
      <w:tr w:rsidTr="00C03B0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Reading</w:t>
            </w:r>
          </w:p>
        </w:tc>
        <w:tc>
          <w:tcPr>
            <w:tcW w:w="1182"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5</w:t>
            </w:r>
          </w:p>
        </w:tc>
        <w:tc>
          <w:tcPr>
            <w:tcW w:w="1739"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Writing</w:t>
            </w:r>
          </w:p>
        </w:tc>
        <w:tc>
          <w:tcPr>
            <w:tcW w:w="1182"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5</w:t>
            </w:r>
          </w:p>
        </w:tc>
        <w:tc>
          <w:tcPr>
            <w:tcW w:w="1721"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t>Numeracy</w:t>
            </w:r>
          </w:p>
        </w:tc>
        <w:tc>
          <w:tcPr>
            <w:tcW w:w="1182"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5</w:t>
            </w:r>
          </w:p>
        </w:tc>
      </w:tr>
    </w:tbl>
    <w:p w:rsidR="00C03B0D" w:rsidP="00BF2CD6">
      <w:pPr>
        <w:pStyle w:val="BodyText"/>
      </w:pPr>
    </w:p>
    <w:p w:rsidR="00C03B0D" w:rsidP="00BF2CD6">
      <w:pPr>
        <w:pStyle w:val="BodyText"/>
      </w:pPr>
    </w:p>
    <w:p w:rsidR="00000000" w:rsidRPr="00BF2CD6" w:rsidP="00BF2CD6">
      <w:pPr>
        <w:pStyle w:val="Heading1"/>
      </w:pPr>
      <w:bookmarkStart w:id="14" w:name="O_232039"/>
      <w:bookmarkEnd w:id="14"/>
      <w:r w:rsidRPr="00BF2CD6">
        <w:t>Competency Field</w:t>
      </w:r>
    </w:p>
    <w:tbl>
      <w:tblPr>
        <w:tblW w:w="0" w:type="auto"/>
        <w:tblLayout w:type="fixed"/>
        <w:tblCellMar>
          <w:left w:w="62" w:type="dxa"/>
          <w:right w:w="62" w:type="dxa"/>
        </w:tblCellMar>
        <w:tblLook w:val="0000"/>
      </w:tblPr>
      <w:tblGrid>
        <w:gridCol w:w="2700"/>
        <w:gridCol w:w="5760"/>
      </w:tblGrid>
      <w:tr w:rsidTr="00C03B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F2CD6">
            <w:pPr>
              <w:pStyle w:val="BodyText"/>
              <w:rPr>
                <w:lang w:val="en-NZ"/>
              </w:rPr>
            </w:pPr>
            <w:r w:rsidRPr="00BF2CD6">
              <w:rPr>
                <w:rStyle w:val="SpecialBold"/>
              </w:rPr>
              <w:t>5</w:t>
            </w:r>
            <w:r w:rsidRPr="00BF2CD6">
              <w:t>)</w:t>
            </w:r>
          </w:p>
        </w:tc>
      </w:tr>
      <w:tr w:rsidTr="00C03B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2CD6" w:rsidP="00BF2CD6">
            <w:pPr>
              <w:pStyle w:val="BodyText"/>
            </w:pPr>
            <w:r w:rsidRPr="00BF2CD6">
              <w:t>System Operation Units</w:t>
            </w:r>
          </w:p>
        </w:tc>
      </w:tr>
    </w:tbl>
    <w:p w:rsidR="00C03B0D" w:rsidP="00BF2CD6">
      <w:pPr>
        <w:pStyle w:val="BodyText"/>
      </w:pPr>
    </w:p>
    <w:p w:rsidR="00C03B0D" w:rsidP="00BF2CD6">
      <w:pPr>
        <w:pStyle w:val="BodyText"/>
      </w:pPr>
    </w:p>
    <w:p w:rsidR="00000000" w:rsidRPr="00BF2CD6" w:rsidP="00BF2CD6"/>
    <w:sectPr w:rsidSect="00BF2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B0D" w:rsidP="00C03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0D" w:rsidP="00BF2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3B0D" w:rsidP="00BF2C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03B0D" w:rsidP="00BF2C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B0D" w:rsidP="00C03B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B0D" w:rsidP="00BF2CD6">
    <w:pPr>
      <w:pStyle w:val="Header"/>
      <w:framePr w:wrap="around"/>
    </w:pPr>
    <w:r>
      <w:fldChar w:fldCharType="begin"/>
    </w:r>
    <w:r>
      <w:instrText xml:space="preserve"> TITLE   \* MERGEFORMAT </w:instrText>
    </w:r>
    <w:r>
      <w:fldChar w:fldCharType="separate"/>
    </w:r>
    <w:r>
      <w:t>UETTDRSO20A Respond to complex protection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3B0D" w:rsidP="00BF2C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A3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30D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82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C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CD6"/>
    <w:pPr>
      <w:spacing w:before="360" w:after="60"/>
      <w:outlineLvl w:val="0"/>
    </w:pPr>
    <w:rPr>
      <w:sz w:val="32"/>
    </w:rPr>
  </w:style>
  <w:style w:type="paragraph" w:styleId="Heading2">
    <w:name w:val="heading 2"/>
    <w:basedOn w:val="HeadingBase"/>
    <w:next w:val="BodyText"/>
    <w:link w:val="Heading2Char"/>
    <w:qFormat/>
    <w:rsid w:val="00BF2CD6"/>
    <w:pPr>
      <w:keepLines/>
      <w:spacing w:before="240" w:after="120"/>
      <w:outlineLvl w:val="1"/>
    </w:pPr>
    <w:rPr>
      <w:sz w:val="28"/>
      <w:szCs w:val="40"/>
    </w:rPr>
  </w:style>
  <w:style w:type="paragraph" w:styleId="Heading3">
    <w:name w:val="heading 3"/>
    <w:basedOn w:val="HeadingBase"/>
    <w:next w:val="BodyText"/>
    <w:link w:val="Heading3Char"/>
    <w:qFormat/>
    <w:rsid w:val="00BF2CD6"/>
    <w:pPr>
      <w:spacing w:before="180" w:after="120"/>
      <w:outlineLvl w:val="2"/>
    </w:pPr>
    <w:rPr>
      <w:spacing w:val="-10"/>
      <w:kern w:val="32"/>
    </w:rPr>
  </w:style>
  <w:style w:type="paragraph" w:styleId="Heading4">
    <w:name w:val="heading 4"/>
    <w:basedOn w:val="HeadingBase"/>
    <w:next w:val="BodyText"/>
    <w:link w:val="Heading4Char"/>
    <w:qFormat/>
    <w:rsid w:val="00BF2CD6"/>
    <w:pPr>
      <w:spacing w:before="160" w:after="120"/>
      <w:outlineLvl w:val="3"/>
    </w:pPr>
    <w:rPr>
      <w:sz w:val="22"/>
    </w:rPr>
  </w:style>
  <w:style w:type="paragraph" w:styleId="Heading5">
    <w:name w:val="heading 5"/>
    <w:basedOn w:val="HeadingBase"/>
    <w:next w:val="Normal"/>
    <w:link w:val="Heading5Char"/>
    <w:qFormat/>
    <w:rsid w:val="00BF2CD6"/>
    <w:pPr>
      <w:spacing w:before="80"/>
      <w:outlineLvl w:val="4"/>
    </w:pPr>
    <w:rPr>
      <w:color w:val="918585"/>
      <w:sz w:val="20"/>
    </w:rPr>
  </w:style>
  <w:style w:type="paragraph" w:styleId="Heading6">
    <w:name w:val="heading 6"/>
    <w:basedOn w:val="HeadingBase"/>
    <w:next w:val="Normal"/>
    <w:link w:val="Heading6Char"/>
    <w:qFormat/>
    <w:rsid w:val="00BF2CD6"/>
    <w:pPr>
      <w:spacing w:before="60"/>
      <w:outlineLvl w:val="5"/>
    </w:pPr>
    <w:rPr>
      <w:color w:val="918585"/>
      <w:sz w:val="20"/>
    </w:rPr>
  </w:style>
  <w:style w:type="paragraph" w:styleId="Heading7">
    <w:name w:val="heading 7"/>
    <w:basedOn w:val="Normal"/>
    <w:next w:val="Normal"/>
    <w:link w:val="Heading7Char"/>
    <w:qFormat/>
    <w:rsid w:val="00BF2CD6"/>
    <w:pPr>
      <w:ind w:left="720"/>
      <w:outlineLvl w:val="6"/>
    </w:pPr>
    <w:rPr>
      <w:i/>
    </w:rPr>
  </w:style>
  <w:style w:type="paragraph" w:styleId="Heading8">
    <w:name w:val="heading 8"/>
    <w:basedOn w:val="Normal"/>
    <w:next w:val="Normal"/>
    <w:link w:val="Heading8Char"/>
    <w:qFormat/>
    <w:rsid w:val="00BF2CD6"/>
    <w:pPr>
      <w:ind w:left="720"/>
      <w:outlineLvl w:val="7"/>
    </w:pPr>
    <w:rPr>
      <w:i/>
    </w:rPr>
  </w:style>
  <w:style w:type="paragraph" w:styleId="Heading9">
    <w:name w:val="heading 9"/>
    <w:basedOn w:val="Normal"/>
    <w:next w:val="Normal"/>
    <w:link w:val="Heading9Char"/>
    <w:qFormat/>
    <w:rsid w:val="00BF2CD6"/>
    <w:pPr>
      <w:ind w:left="720"/>
      <w:outlineLvl w:val="8"/>
    </w:pPr>
    <w:rPr>
      <w:i/>
    </w:rPr>
  </w:style>
  <w:style w:type="character" w:default="1" w:styleId="DefaultParagraphFont">
    <w:name w:val="Default Paragraph Font"/>
    <w:uiPriority w:val="1"/>
    <w:unhideWhenUsed/>
    <w:rsid w:val="00BF2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CD6"/>
  </w:style>
  <w:style w:type="character" w:customStyle="1" w:styleId="Heading1Char">
    <w:name w:val="Heading 1 Char"/>
    <w:basedOn w:val="DefaultParagraphFont"/>
    <w:link w:val="Heading1"/>
    <w:rsid w:val="00BF2CD6"/>
    <w:rPr>
      <w:rFonts w:ascii="Times New Roman" w:eastAsia="Times New Roman" w:hAnsi="Times New Roman" w:cs="Times New Roman"/>
      <w:b/>
      <w:sz w:val="32"/>
      <w:szCs w:val="20"/>
      <w:lang w:eastAsia="en-US"/>
    </w:rPr>
  </w:style>
  <w:style w:type="paragraph" w:styleId="BodyText">
    <w:name w:val="Body Text"/>
    <w:basedOn w:val="Normal"/>
    <w:link w:val="BodyTextChar"/>
    <w:rsid w:val="00BF2C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CD6"/>
    <w:rPr>
      <w:rFonts w:ascii="Times New Roman" w:eastAsia="Times New Roman" w:hAnsi="Times New Roman" w:cs="Times New Roman"/>
      <w:sz w:val="24"/>
      <w:lang w:val="en-US" w:eastAsia="en-US"/>
    </w:rPr>
  </w:style>
  <w:style w:type="paragraph" w:styleId="Footer">
    <w:name w:val="footer"/>
    <w:basedOn w:val="Normal"/>
    <w:link w:val="FooterChar"/>
    <w:rsid w:val="00BF2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CD6"/>
    <w:rPr>
      <w:rFonts w:ascii="Times New Roman" w:eastAsia="Times New Roman" w:hAnsi="Times New Roman" w:cs="Times New Roman"/>
      <w:sz w:val="16"/>
      <w:lang w:val="en-US" w:eastAsia="en-US"/>
    </w:rPr>
  </w:style>
  <w:style w:type="paragraph" w:styleId="ListBullet">
    <w:name w:val="List Bullet"/>
    <w:basedOn w:val="List"/>
    <w:rsid w:val="00BF2CD6"/>
    <w:pPr>
      <w:numPr>
        <w:numId w:val="13"/>
      </w:numPr>
      <w:tabs>
        <w:tab w:val="clear" w:pos="340"/>
      </w:tabs>
      <w:spacing w:before="40" w:after="40"/>
    </w:pPr>
  </w:style>
  <w:style w:type="character" w:customStyle="1" w:styleId="SpecialBold">
    <w:name w:val="Special Bold"/>
    <w:basedOn w:val="DefaultParagraphFont"/>
    <w:rsid w:val="00BF2CD6"/>
    <w:rPr>
      <w:b/>
      <w:spacing w:val="0"/>
    </w:rPr>
  </w:style>
  <w:style w:type="paragraph" w:styleId="ListBullet2">
    <w:name w:val="List Bullet 2"/>
    <w:basedOn w:val="List2"/>
    <w:rsid w:val="00BF2CD6"/>
    <w:pPr>
      <w:numPr>
        <w:numId w:val="14"/>
      </w:numPr>
      <w:tabs>
        <w:tab w:val="clear" w:pos="680"/>
      </w:tabs>
    </w:pPr>
  </w:style>
  <w:style w:type="paragraph" w:styleId="Header">
    <w:name w:val="header"/>
    <w:basedOn w:val="Normal"/>
    <w:link w:val="HeaderChar"/>
    <w:rsid w:val="00BF2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C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CD6"/>
    <w:pPr>
      <w:spacing w:before="240" w:after="120"/>
      <w:outlineLvl w:val="0"/>
    </w:pPr>
    <w:rPr>
      <w:rFonts w:ascii="Times New Roman" w:hAnsi="Times New Roman"/>
      <w:b/>
      <w:sz w:val="28"/>
    </w:rPr>
  </w:style>
  <w:style w:type="paragraph" w:customStyle="1" w:styleId="AllowPageBreak">
    <w:name w:val="AllowPageBreak"/>
    <w:rsid w:val="00BF2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C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C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CD6"/>
    <w:rPr>
      <w:rFonts w:ascii="Courier New" w:eastAsia="Times New Roman" w:hAnsi="Courier New" w:cs="Times New Roman"/>
      <w:i/>
      <w:szCs w:val="20"/>
      <w:lang w:val="en-US" w:eastAsia="en-US"/>
    </w:rPr>
  </w:style>
  <w:style w:type="paragraph" w:customStyle="1" w:styleId="HeadingBase">
    <w:name w:val="Heading Base"/>
    <w:rsid w:val="00BF2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CD6"/>
    <w:pPr>
      <w:tabs>
        <w:tab w:val="right" w:leader="dot" w:pos="9072"/>
      </w:tabs>
      <w:ind w:left="567"/>
    </w:pPr>
    <w:rPr>
      <w:szCs w:val="22"/>
    </w:rPr>
  </w:style>
  <w:style w:type="paragraph" w:customStyle="1" w:styleId="TOCBase">
    <w:name w:val="TOC Base"/>
    <w:rsid w:val="00BF2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CD6"/>
    <w:pPr>
      <w:tabs>
        <w:tab w:val="right" w:leader="dot" w:pos="9072"/>
      </w:tabs>
      <w:spacing w:before="40" w:after="40"/>
      <w:ind w:left="284"/>
    </w:pPr>
    <w:rPr>
      <w:rFonts w:ascii="Times New Roman" w:hAnsi="Times New Roman"/>
    </w:rPr>
  </w:style>
  <w:style w:type="paragraph" w:styleId="TOC1">
    <w:name w:val="toc 1"/>
    <w:basedOn w:val="TOCBase"/>
    <w:next w:val="Normal"/>
    <w:rsid w:val="00BF2C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CD6"/>
    <w:pPr>
      <w:spacing w:before="5040"/>
      <w:jc w:val="center"/>
    </w:pPr>
    <w:rPr>
      <w:sz w:val="48"/>
      <w:szCs w:val="72"/>
      <w:lang w:val="en-US"/>
    </w:rPr>
  </w:style>
  <w:style w:type="character" w:customStyle="1" w:styleId="TitleChar">
    <w:name w:val="Title Char"/>
    <w:basedOn w:val="DefaultParagraphFont"/>
    <w:link w:val="Title"/>
    <w:rsid w:val="00BF2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CD6"/>
    <w:pPr>
      <w:tabs>
        <w:tab w:val="left" w:pos="3600"/>
        <w:tab w:val="left" w:pos="3958"/>
      </w:tabs>
    </w:pPr>
  </w:style>
  <w:style w:type="paragraph" w:styleId="List">
    <w:name w:val="List"/>
    <w:basedOn w:val="BodyText"/>
    <w:next w:val="BodyText"/>
    <w:rsid w:val="00BF2CD6"/>
    <w:pPr>
      <w:tabs>
        <w:tab w:val="left" w:pos="340"/>
      </w:tabs>
      <w:spacing w:before="60" w:after="60"/>
      <w:ind w:left="340" w:hanging="340"/>
    </w:pPr>
  </w:style>
  <w:style w:type="paragraph" w:customStyle="1" w:styleId="Note">
    <w:name w:val="Note"/>
    <w:basedOn w:val="BodyText"/>
    <w:rsid w:val="00BF2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CD6"/>
    <w:pPr>
      <w:framePr w:wrap="auto" w:hAnchor="text" w:y="6049"/>
    </w:pPr>
    <w:rPr>
      <w:color w:val="000000"/>
      <w:sz w:val="40"/>
    </w:rPr>
  </w:style>
  <w:style w:type="paragraph" w:customStyle="1" w:styleId="TOCTitle">
    <w:name w:val="TOCTitle"/>
    <w:basedOn w:val="Heading1"/>
    <w:rsid w:val="00BF2CD6"/>
    <w:pPr>
      <w:spacing w:after="240"/>
      <w:jc w:val="center"/>
      <w:outlineLvl w:val="9"/>
    </w:pPr>
    <w:rPr>
      <w:caps/>
    </w:rPr>
  </w:style>
  <w:style w:type="paragraph" w:customStyle="1" w:styleId="Version">
    <w:name w:val="Version"/>
    <w:rsid w:val="00BF2C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CD6"/>
    <w:pPr>
      <w:keepNext w:val="0"/>
      <w:tabs>
        <w:tab w:val="right" w:pos="4176"/>
      </w:tabs>
      <w:ind w:left="198" w:hanging="198"/>
    </w:pPr>
    <w:rPr>
      <w:rFonts w:ascii="Garamond" w:hAnsi="Garamond"/>
    </w:rPr>
  </w:style>
  <w:style w:type="paragraph" w:styleId="IndexHeading">
    <w:name w:val="index heading"/>
    <w:basedOn w:val="Normal"/>
    <w:next w:val="Index1"/>
    <w:semiHidden/>
    <w:rsid w:val="00BF2CD6"/>
    <w:pPr>
      <w:spacing w:before="120" w:after="120"/>
    </w:pPr>
    <w:rPr>
      <w:rFonts w:ascii="Arial" w:hAnsi="Arial"/>
      <w:b/>
      <w:color w:val="918585"/>
      <w:sz w:val="24"/>
    </w:rPr>
  </w:style>
  <w:style w:type="paragraph" w:customStyle="1" w:styleId="Chapter">
    <w:name w:val="Chapter"/>
    <w:basedOn w:val="Normal"/>
    <w:rsid w:val="00BF2CD6"/>
    <w:pPr>
      <w:spacing w:before="240"/>
    </w:pPr>
    <w:rPr>
      <w:rFonts w:ascii="Times New Roman" w:hAnsi="Times New Roman"/>
      <w:smallCaps/>
      <w:spacing w:val="80"/>
      <w:sz w:val="28"/>
    </w:rPr>
  </w:style>
  <w:style w:type="paragraph" w:customStyle="1" w:styleId="InChapter">
    <w:name w:val="InChapter"/>
    <w:basedOn w:val="Heading3"/>
    <w:rsid w:val="00BF2CD6"/>
    <w:pPr>
      <w:spacing w:after="240"/>
      <w:outlineLvl w:val="9"/>
    </w:pPr>
    <w:rPr>
      <w:noProof/>
    </w:rPr>
  </w:style>
  <w:style w:type="paragraph" w:styleId="Index2">
    <w:name w:val="index 2"/>
    <w:basedOn w:val="Normal"/>
    <w:next w:val="Normal"/>
    <w:semiHidden/>
    <w:rsid w:val="00BF2CD6"/>
    <w:pPr>
      <w:tabs>
        <w:tab w:val="right" w:pos="4176"/>
      </w:tabs>
      <w:ind w:left="568" w:hanging="284"/>
    </w:pPr>
    <w:rPr>
      <w:rFonts w:ascii="Garamond" w:hAnsi="Garamond"/>
    </w:rPr>
  </w:style>
  <w:style w:type="paragraph" w:customStyle="1" w:styleId="Byline">
    <w:name w:val="Byline"/>
    <w:rsid w:val="00BF2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CD6"/>
    <w:pPr>
      <w:tabs>
        <w:tab w:val="clear" w:pos="3600"/>
        <w:tab w:val="clear" w:pos="3958"/>
      </w:tabs>
      <w:jc w:val="right"/>
    </w:pPr>
  </w:style>
  <w:style w:type="character" w:styleId="Emphasis">
    <w:name w:val="Emphasis"/>
    <w:basedOn w:val="DefaultParagraphFont"/>
    <w:qFormat/>
    <w:rsid w:val="00BF2CD6"/>
    <w:rPr>
      <w:i/>
    </w:rPr>
  </w:style>
  <w:style w:type="paragraph" w:styleId="Caption">
    <w:name w:val="caption"/>
    <w:basedOn w:val="BodyText"/>
    <w:next w:val="Normal"/>
    <w:qFormat/>
    <w:rsid w:val="00BF2CD6"/>
    <w:pPr>
      <w:framePr w:w="2268" w:hSpace="181" w:vSpace="181" w:wrap="around" w:vAnchor="text" w:hAnchor="page" w:x="1135" w:y="285" w:anchorLock="1"/>
    </w:pPr>
    <w:rPr>
      <w:i/>
    </w:rPr>
  </w:style>
  <w:style w:type="paragraph" w:customStyle="1" w:styleId="MiniTOCTitle">
    <w:name w:val="MiniTOCTitle"/>
    <w:basedOn w:val="Heading4"/>
    <w:rsid w:val="00BF2CD6"/>
    <w:pPr>
      <w:spacing w:before="240"/>
      <w:outlineLvl w:val="9"/>
    </w:pPr>
    <w:rPr>
      <w:noProof/>
      <w:sz w:val="24"/>
    </w:rPr>
  </w:style>
  <w:style w:type="paragraph" w:customStyle="1" w:styleId="MiniTOCItem">
    <w:name w:val="MiniTOCItem"/>
    <w:basedOn w:val="ListBullet"/>
    <w:rsid w:val="00BF2CD6"/>
    <w:pPr>
      <w:numPr>
        <w:numId w:val="0"/>
      </w:numPr>
      <w:tabs>
        <w:tab w:val="right" w:leader="dot" w:pos="6521"/>
      </w:tabs>
      <w:spacing w:before="0" w:after="0"/>
    </w:pPr>
  </w:style>
  <w:style w:type="paragraph" w:customStyle="1" w:styleId="TOFTitle">
    <w:name w:val="TOFTitle"/>
    <w:basedOn w:val="TOCTitle"/>
    <w:rsid w:val="00BF2CD6"/>
  </w:style>
  <w:style w:type="paragraph" w:styleId="TableofFigures">
    <w:name w:val="table of figures"/>
    <w:basedOn w:val="Normal"/>
    <w:next w:val="Normal"/>
    <w:semiHidden/>
    <w:rsid w:val="00BF2CD6"/>
    <w:pPr>
      <w:tabs>
        <w:tab w:val="right" w:leader="dot" w:pos="9072"/>
      </w:tabs>
      <w:ind w:left="970" w:hanging="403"/>
    </w:pPr>
    <w:rPr>
      <w:rFonts w:ascii="Times New Roman" w:hAnsi="Times New Roman"/>
      <w:b/>
    </w:rPr>
  </w:style>
  <w:style w:type="paragraph" w:styleId="ListNumber">
    <w:name w:val="List Number"/>
    <w:basedOn w:val="List"/>
    <w:rsid w:val="00BF2CD6"/>
    <w:pPr>
      <w:numPr>
        <w:numId w:val="11"/>
      </w:numPr>
    </w:pPr>
  </w:style>
  <w:style w:type="character" w:customStyle="1" w:styleId="WingdingSymbols">
    <w:name w:val="Wingding Symbols"/>
    <w:rsid w:val="00BF2CD6"/>
    <w:rPr>
      <w:rFonts w:ascii="Wingdings" w:hAnsi="Wingdings"/>
    </w:rPr>
  </w:style>
  <w:style w:type="paragraph" w:customStyle="1" w:styleId="TableHeading">
    <w:name w:val="Table Heading"/>
    <w:basedOn w:val="HeadingBase"/>
    <w:rsid w:val="00BF2CD6"/>
    <w:pPr>
      <w:keepLines/>
      <w:pBdr>
        <w:bottom w:val="single" w:sz="6" w:space="1" w:color="918585"/>
      </w:pBdr>
      <w:spacing w:before="240"/>
    </w:pPr>
  </w:style>
  <w:style w:type="character" w:customStyle="1" w:styleId="HotSpot">
    <w:name w:val="HotSpot"/>
    <w:rsid w:val="00BF2CD6"/>
    <w:rPr>
      <w:color w:val="0033CC"/>
      <w:u w:val="none"/>
    </w:rPr>
  </w:style>
  <w:style w:type="paragraph" w:customStyle="1" w:styleId="BodyTextRight">
    <w:name w:val="Body Text Right"/>
    <w:basedOn w:val="BodyText"/>
    <w:rsid w:val="00BF2CD6"/>
    <w:pPr>
      <w:spacing w:before="0" w:after="0"/>
      <w:jc w:val="right"/>
    </w:pPr>
  </w:style>
  <w:style w:type="paragraph" w:styleId="Index3">
    <w:name w:val="index 3"/>
    <w:basedOn w:val="ListNumber2"/>
    <w:next w:val="Normal"/>
    <w:semiHidden/>
    <w:rsid w:val="00BF2CD6"/>
    <w:pPr>
      <w:numPr>
        <w:numId w:val="0"/>
      </w:numPr>
      <w:tabs>
        <w:tab w:val="right" w:leader="dot" w:pos="4176"/>
      </w:tabs>
    </w:pPr>
  </w:style>
  <w:style w:type="paragraph" w:styleId="ListNumber2">
    <w:name w:val="List Number 2"/>
    <w:basedOn w:val="List2"/>
    <w:rsid w:val="00BF2CD6"/>
    <w:pPr>
      <w:numPr>
        <w:numId w:val="10"/>
      </w:numPr>
      <w:tabs>
        <w:tab w:val="clear" w:pos="1060"/>
      </w:tabs>
    </w:pPr>
  </w:style>
  <w:style w:type="paragraph" w:customStyle="1" w:styleId="MarginNote">
    <w:name w:val="Margin Note"/>
    <w:basedOn w:val="BodyText"/>
    <w:rsid w:val="00BF2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C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CD6"/>
    <w:rPr>
      <w:sz w:val="32"/>
    </w:rPr>
  </w:style>
  <w:style w:type="paragraph" w:customStyle="1" w:styleId="HeadingProcedure">
    <w:name w:val="Heading Procedure"/>
    <w:basedOn w:val="HeadingBase"/>
    <w:next w:val="Normal"/>
    <w:rsid w:val="00BF2CD6"/>
    <w:pPr>
      <w:tabs>
        <w:tab w:val="left" w:pos="0"/>
      </w:tabs>
      <w:spacing w:before="120" w:after="60"/>
    </w:pPr>
    <w:rPr>
      <w:i/>
      <w:color w:val="918585"/>
      <w:sz w:val="22"/>
    </w:rPr>
  </w:style>
  <w:style w:type="paragraph" w:customStyle="1" w:styleId="TableBodyText">
    <w:name w:val="Table Body Text"/>
    <w:basedOn w:val="BodyText"/>
    <w:rsid w:val="00BF2CD6"/>
    <w:pPr>
      <w:spacing w:before="60" w:after="60"/>
    </w:pPr>
  </w:style>
  <w:style w:type="paragraph" w:styleId="ListContinue">
    <w:name w:val="List Continue"/>
    <w:basedOn w:val="List"/>
    <w:rsid w:val="00BF2CD6"/>
    <w:pPr>
      <w:ind w:firstLine="0"/>
    </w:pPr>
  </w:style>
  <w:style w:type="paragraph" w:customStyle="1" w:styleId="ListNote">
    <w:name w:val="List Note"/>
    <w:basedOn w:val="List"/>
    <w:rsid w:val="00BF2CD6"/>
    <w:pPr>
      <w:pBdr>
        <w:top w:val="single" w:sz="6" w:space="2" w:color="918585"/>
        <w:bottom w:val="single" w:sz="6" w:space="2" w:color="918585"/>
      </w:pBdr>
      <w:tabs>
        <w:tab w:val="left" w:pos="1021"/>
      </w:tabs>
      <w:ind w:firstLine="0"/>
    </w:pPr>
  </w:style>
  <w:style w:type="paragraph" w:customStyle="1" w:styleId="Warning">
    <w:name w:val="Warning"/>
    <w:basedOn w:val="BodyText"/>
    <w:rsid w:val="00BF2CD6"/>
    <w:pPr>
      <w:shd w:val="clear" w:color="auto" w:fill="D9D9D9"/>
      <w:tabs>
        <w:tab w:val="left" w:pos="992"/>
      </w:tabs>
      <w:ind w:left="119" w:right="119"/>
    </w:pPr>
    <w:rPr>
      <w:sz w:val="20"/>
    </w:rPr>
  </w:style>
  <w:style w:type="paragraph" w:customStyle="1" w:styleId="MarginIcons">
    <w:name w:val="Margin Icons"/>
    <w:basedOn w:val="BodyText"/>
    <w:rsid w:val="00BF2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CD6"/>
    <w:rPr>
      <w:rFonts w:ascii="Courier New" w:hAnsi="Courier New"/>
    </w:rPr>
  </w:style>
  <w:style w:type="paragraph" w:customStyle="1" w:styleId="NoteBullet">
    <w:name w:val="Note Bullet"/>
    <w:basedOn w:val="Note"/>
    <w:rsid w:val="00BF2CD6"/>
    <w:pPr>
      <w:tabs>
        <w:tab w:val="clear" w:pos="680"/>
      </w:tabs>
      <w:spacing w:before="60" w:after="60"/>
    </w:pPr>
  </w:style>
  <w:style w:type="paragraph" w:customStyle="1" w:styleId="SubHeading2">
    <w:name w:val="SubHeading2"/>
    <w:basedOn w:val="HeadingBase"/>
    <w:rsid w:val="00BF2CD6"/>
    <w:pPr>
      <w:spacing w:before="240" w:after="60"/>
    </w:pPr>
    <w:rPr>
      <w:sz w:val="20"/>
    </w:rPr>
  </w:style>
  <w:style w:type="paragraph" w:customStyle="1" w:styleId="SubHeading1">
    <w:name w:val="SubHeading1"/>
    <w:basedOn w:val="HeadingBase"/>
    <w:rsid w:val="00BF2CD6"/>
    <w:pPr>
      <w:spacing w:before="240" w:after="60"/>
    </w:pPr>
    <w:rPr>
      <w:color w:val="918585"/>
      <w:sz w:val="22"/>
    </w:rPr>
  </w:style>
  <w:style w:type="paragraph" w:customStyle="1" w:styleId="SideHeading">
    <w:name w:val="Side Heading"/>
    <w:basedOn w:val="HeadingBase"/>
    <w:rsid w:val="00BF2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CD6"/>
    <w:pPr>
      <w:numPr>
        <w:numId w:val="12"/>
      </w:numPr>
    </w:pPr>
  </w:style>
  <w:style w:type="paragraph" w:styleId="PlainText">
    <w:name w:val="Plain Text"/>
    <w:basedOn w:val="Normal"/>
    <w:link w:val="PlainTextChar"/>
    <w:rsid w:val="00BF2CD6"/>
    <w:rPr>
      <w:sz w:val="20"/>
    </w:rPr>
  </w:style>
  <w:style w:type="character" w:customStyle="1" w:styleId="PlainTextChar">
    <w:name w:val="Plain Text Char"/>
    <w:basedOn w:val="DefaultParagraphFont"/>
    <w:link w:val="PlainText"/>
    <w:rsid w:val="00BF2C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CD6"/>
    <w:rPr>
      <w:b/>
      <w:smallCaps/>
    </w:rPr>
  </w:style>
  <w:style w:type="paragraph" w:customStyle="1" w:styleId="TableListNumber">
    <w:name w:val="Table List Number"/>
    <w:basedOn w:val="ListNumber"/>
    <w:rsid w:val="00BF2CD6"/>
    <w:pPr>
      <w:numPr>
        <w:numId w:val="0"/>
      </w:numPr>
    </w:pPr>
  </w:style>
  <w:style w:type="paragraph" w:styleId="TOC4">
    <w:name w:val="toc 4"/>
    <w:basedOn w:val="TOCBase"/>
    <w:next w:val="Normal"/>
    <w:semiHidden/>
    <w:rsid w:val="00BF2CD6"/>
    <w:pPr>
      <w:tabs>
        <w:tab w:val="right" w:leader="dot" w:pos="9071"/>
      </w:tabs>
      <w:ind w:left="1701"/>
    </w:pPr>
  </w:style>
  <w:style w:type="paragraph" w:customStyle="1" w:styleId="ListAlpha">
    <w:name w:val="List Alpha"/>
    <w:basedOn w:val="List"/>
    <w:rsid w:val="00BF2CD6"/>
    <w:pPr>
      <w:numPr>
        <w:numId w:val="9"/>
      </w:numPr>
    </w:pPr>
  </w:style>
  <w:style w:type="paragraph" w:customStyle="1" w:styleId="ListAlpha2">
    <w:name w:val="List Alpha 2"/>
    <w:basedOn w:val="List2"/>
    <w:rsid w:val="00BF2CD6"/>
    <w:pPr>
      <w:numPr>
        <w:numId w:val="8"/>
      </w:numPr>
    </w:pPr>
  </w:style>
  <w:style w:type="paragraph" w:styleId="List2">
    <w:name w:val="List 2"/>
    <w:basedOn w:val="BodyText"/>
    <w:rsid w:val="00BF2CD6"/>
    <w:pPr>
      <w:tabs>
        <w:tab w:val="left" w:pos="680"/>
      </w:tabs>
      <w:spacing w:before="60" w:after="60"/>
      <w:ind w:left="680" w:hanging="340"/>
    </w:pPr>
  </w:style>
  <w:style w:type="paragraph" w:styleId="List3">
    <w:name w:val="List 3"/>
    <w:basedOn w:val="BodyText"/>
    <w:rsid w:val="00BF2CD6"/>
    <w:pPr>
      <w:tabs>
        <w:tab w:val="left" w:pos="1021"/>
      </w:tabs>
      <w:spacing w:before="60" w:after="60"/>
      <w:ind w:left="1020" w:hanging="340"/>
    </w:pPr>
  </w:style>
  <w:style w:type="paragraph" w:styleId="List4">
    <w:name w:val="List 4"/>
    <w:basedOn w:val="BodyText"/>
    <w:rsid w:val="00BF2CD6"/>
    <w:pPr>
      <w:tabs>
        <w:tab w:val="left" w:pos="1361"/>
      </w:tabs>
      <w:spacing w:before="60" w:after="60"/>
      <w:ind w:left="1361" w:hanging="340"/>
    </w:pPr>
  </w:style>
  <w:style w:type="paragraph" w:styleId="List5">
    <w:name w:val="List 5"/>
    <w:basedOn w:val="BodyText"/>
    <w:rsid w:val="00BF2CD6"/>
    <w:pPr>
      <w:tabs>
        <w:tab w:val="left" w:pos="1701"/>
      </w:tabs>
      <w:spacing w:before="60" w:after="60"/>
      <w:ind w:left="1701" w:hanging="340"/>
    </w:pPr>
  </w:style>
  <w:style w:type="paragraph" w:styleId="ListBullet3">
    <w:name w:val="List Bullet 3"/>
    <w:basedOn w:val="List3"/>
    <w:rsid w:val="00BF2CD6"/>
    <w:pPr>
      <w:numPr>
        <w:numId w:val="15"/>
      </w:numPr>
      <w:tabs>
        <w:tab w:val="clear" w:pos="1021"/>
      </w:tabs>
      <w:ind w:left="1037" w:hanging="357"/>
    </w:pPr>
  </w:style>
  <w:style w:type="paragraph" w:styleId="ListBullet4">
    <w:name w:val="List Bullet 4"/>
    <w:basedOn w:val="List4"/>
    <w:rsid w:val="00BF2CD6"/>
    <w:pPr>
      <w:numPr>
        <w:numId w:val="3"/>
      </w:numPr>
    </w:pPr>
  </w:style>
  <w:style w:type="paragraph" w:styleId="ListBullet5">
    <w:name w:val="List Bullet 5"/>
    <w:basedOn w:val="List5"/>
    <w:rsid w:val="00BF2CD6"/>
    <w:pPr>
      <w:numPr>
        <w:numId w:val="4"/>
      </w:numPr>
    </w:pPr>
  </w:style>
  <w:style w:type="paragraph" w:styleId="ListContinue2">
    <w:name w:val="List Continue 2"/>
    <w:basedOn w:val="List2"/>
    <w:rsid w:val="00BF2CD6"/>
    <w:pPr>
      <w:ind w:firstLine="0"/>
    </w:pPr>
  </w:style>
  <w:style w:type="paragraph" w:styleId="ListContinue3">
    <w:name w:val="List Continue 3"/>
    <w:basedOn w:val="List3"/>
    <w:rsid w:val="00BF2CD6"/>
    <w:pPr>
      <w:ind w:left="1021" w:firstLine="0"/>
    </w:pPr>
  </w:style>
  <w:style w:type="paragraph" w:styleId="ListContinue4">
    <w:name w:val="List Continue 4"/>
    <w:basedOn w:val="List4"/>
    <w:rsid w:val="00BF2CD6"/>
    <w:pPr>
      <w:ind w:firstLine="0"/>
    </w:pPr>
  </w:style>
  <w:style w:type="paragraph" w:styleId="ListContinue5">
    <w:name w:val="List Continue 5"/>
    <w:basedOn w:val="List5"/>
    <w:rsid w:val="00BF2CD6"/>
    <w:pPr>
      <w:ind w:firstLine="0"/>
    </w:pPr>
  </w:style>
  <w:style w:type="paragraph" w:styleId="ListNumber3">
    <w:name w:val="List Number 3"/>
    <w:basedOn w:val="List3"/>
    <w:rsid w:val="00BF2CD6"/>
    <w:pPr>
      <w:numPr>
        <w:numId w:val="5"/>
      </w:numPr>
    </w:pPr>
  </w:style>
  <w:style w:type="paragraph" w:styleId="ListNumber4">
    <w:name w:val="List Number 4"/>
    <w:basedOn w:val="List4"/>
    <w:rsid w:val="00BF2CD6"/>
    <w:pPr>
      <w:numPr>
        <w:numId w:val="6"/>
      </w:numPr>
    </w:pPr>
  </w:style>
  <w:style w:type="paragraph" w:styleId="ListNumber5">
    <w:name w:val="List Number 5"/>
    <w:basedOn w:val="List5"/>
    <w:rsid w:val="00BF2CD6"/>
    <w:pPr>
      <w:numPr>
        <w:numId w:val="7"/>
      </w:numPr>
    </w:pPr>
  </w:style>
  <w:style w:type="paragraph" w:styleId="BlockText">
    <w:name w:val="Block Text"/>
    <w:basedOn w:val="Normal"/>
    <w:rsid w:val="00BF2CD6"/>
    <w:pPr>
      <w:spacing w:after="120"/>
      <w:ind w:left="1440" w:right="1440"/>
    </w:pPr>
  </w:style>
  <w:style w:type="character" w:customStyle="1" w:styleId="Subscript">
    <w:name w:val="Subscript"/>
    <w:basedOn w:val="DefaultParagraphFont"/>
    <w:rsid w:val="00BF2CD6"/>
    <w:rPr>
      <w:sz w:val="16"/>
      <w:vertAlign w:val="subscript"/>
    </w:rPr>
  </w:style>
  <w:style w:type="character" w:customStyle="1" w:styleId="Superscript">
    <w:name w:val="Superscript"/>
    <w:basedOn w:val="DefaultParagraphFont"/>
    <w:rsid w:val="00BF2CD6"/>
    <w:rPr>
      <w:sz w:val="16"/>
      <w:vertAlign w:val="superscript"/>
    </w:rPr>
  </w:style>
  <w:style w:type="character" w:customStyle="1" w:styleId="Symbols">
    <w:name w:val="Symbols"/>
    <w:basedOn w:val="DefaultParagraphFont"/>
    <w:rsid w:val="00BF2CD6"/>
    <w:rPr>
      <w:rFonts w:ascii="Symbol" w:hAnsi="Symbol"/>
    </w:rPr>
  </w:style>
  <w:style w:type="character" w:customStyle="1" w:styleId="MenuOptions">
    <w:name w:val="Menu Options"/>
    <w:basedOn w:val="DefaultParagraphFont"/>
    <w:rsid w:val="00BF2CD6"/>
    <w:rPr>
      <w:rFonts w:ascii="Arial Narrow" w:hAnsi="Arial Narrow"/>
      <w:smallCaps/>
    </w:rPr>
  </w:style>
  <w:style w:type="character" w:customStyle="1" w:styleId="Buttons">
    <w:name w:val="Buttons"/>
    <w:basedOn w:val="DefaultParagraphFont"/>
    <w:rsid w:val="00BF2CD6"/>
    <w:rPr>
      <w:b/>
    </w:rPr>
  </w:style>
  <w:style w:type="character" w:customStyle="1" w:styleId="Underlined">
    <w:name w:val="Underlined"/>
    <w:basedOn w:val="DefaultParagraphFont"/>
    <w:rsid w:val="00BF2CD6"/>
    <w:rPr>
      <w:u w:val="single"/>
    </w:rPr>
  </w:style>
  <w:style w:type="paragraph" w:customStyle="1" w:styleId="TableBodyTextRight">
    <w:name w:val="Table Body Text Right"/>
    <w:basedOn w:val="TableBodyText"/>
    <w:rsid w:val="00BF2CD6"/>
    <w:pPr>
      <w:widowControl w:val="0"/>
      <w:autoSpaceDE w:val="0"/>
      <w:autoSpaceDN w:val="0"/>
      <w:adjustRightInd w:val="0"/>
      <w:jc w:val="right"/>
    </w:pPr>
    <w:rPr>
      <w:rFonts w:cs="Arial"/>
      <w:szCs w:val="18"/>
    </w:rPr>
  </w:style>
  <w:style w:type="paragraph" w:customStyle="1" w:styleId="CopyrightText">
    <w:name w:val="Copyright Text"/>
    <w:basedOn w:val="BodyText"/>
    <w:rsid w:val="00BF2CD6"/>
    <w:rPr>
      <w:sz w:val="18"/>
    </w:rPr>
  </w:style>
  <w:style w:type="paragraph" w:customStyle="1" w:styleId="BodySmallRight">
    <w:name w:val="Body Small Right"/>
    <w:basedOn w:val="BodyTextRight"/>
    <w:rsid w:val="00BF2CD6"/>
    <w:rPr>
      <w:sz w:val="18"/>
      <w:szCs w:val="18"/>
    </w:rPr>
  </w:style>
  <w:style w:type="paragraph" w:customStyle="1" w:styleId="MarginEdition">
    <w:name w:val="Margin Edition"/>
    <w:basedOn w:val="MarginNote"/>
    <w:rsid w:val="00BF2CD6"/>
    <w:pPr>
      <w:spacing w:before="0" w:after="0"/>
    </w:pPr>
    <w:rPr>
      <w:rFonts w:ascii="Times New Roman" w:hAnsi="Times New Roman"/>
      <w:color w:val="999999"/>
    </w:rPr>
  </w:style>
  <w:style w:type="paragraph" w:customStyle="1" w:styleId="Spacer">
    <w:name w:val="Spacer"/>
    <w:basedOn w:val="Normal"/>
    <w:rsid w:val="00BF2CD6"/>
    <w:rPr>
      <w:sz w:val="2"/>
      <w:szCs w:val="2"/>
    </w:rPr>
  </w:style>
  <w:style w:type="character" w:customStyle="1" w:styleId="Small">
    <w:name w:val="Small"/>
    <w:basedOn w:val="DefaultParagraphFont"/>
    <w:rsid w:val="00BF2CD6"/>
    <w:rPr>
      <w:sz w:val="16"/>
    </w:rPr>
  </w:style>
  <w:style w:type="paragraph" w:customStyle="1" w:styleId="WideTable">
    <w:name w:val="Wide Table"/>
    <w:basedOn w:val="Normal"/>
    <w:rsid w:val="00BF2CD6"/>
    <w:pPr>
      <w:ind w:left="-1418"/>
    </w:pPr>
    <w:rPr>
      <w:sz w:val="2"/>
      <w:szCs w:val="2"/>
    </w:rPr>
  </w:style>
  <w:style w:type="character" w:styleId="PageNumber">
    <w:name w:val="page number"/>
    <w:basedOn w:val="DefaultParagraphFont"/>
    <w:rsid w:val="00BF2CD6"/>
  </w:style>
  <w:style w:type="paragraph" w:styleId="Quote">
    <w:name w:val="Quote"/>
    <w:basedOn w:val="Heading1"/>
    <w:link w:val="QuoteChar"/>
    <w:qFormat/>
    <w:rsid w:val="00BF2CD6"/>
    <w:rPr>
      <w:b w:val="0"/>
      <w:sz w:val="72"/>
      <w:szCs w:val="72"/>
      <w:lang w:val="en-NZ"/>
    </w:rPr>
  </w:style>
  <w:style w:type="character" w:customStyle="1" w:styleId="QuoteChar">
    <w:name w:val="Quote Char"/>
    <w:basedOn w:val="DefaultParagraphFont"/>
    <w:link w:val="Quote"/>
    <w:rsid w:val="00BF2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CD6"/>
    <w:pPr>
      <w:pageBreakBefore/>
    </w:pPr>
  </w:style>
  <w:style w:type="paragraph" w:customStyle="1" w:styleId="Border">
    <w:name w:val="Border"/>
    <w:basedOn w:val="Normal"/>
    <w:qFormat/>
    <w:rsid w:val="00BF2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CD6"/>
    <w:rPr>
      <w:b/>
      <w:bCs/>
      <w:i/>
      <w:iCs/>
      <w:color w:val="auto"/>
    </w:rPr>
  </w:style>
  <w:style w:type="paragraph" w:styleId="IntenseQuote">
    <w:name w:val="Intense Quote"/>
    <w:basedOn w:val="Normal"/>
    <w:next w:val="Normal"/>
    <w:link w:val="IntenseQuoteChar"/>
    <w:uiPriority w:val="30"/>
    <w:qFormat/>
    <w:rsid w:val="00BF2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C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CD6"/>
    <w:rPr>
      <w:smallCaps/>
      <w:color w:val="auto"/>
      <w:u w:val="single"/>
    </w:rPr>
  </w:style>
  <w:style w:type="character" w:styleId="IntenseReference">
    <w:name w:val="Intense Reference"/>
    <w:basedOn w:val="DefaultParagraphFont"/>
    <w:uiPriority w:val="32"/>
    <w:qFormat/>
    <w:rsid w:val="00BF2CD6"/>
    <w:rPr>
      <w:b/>
      <w:bCs/>
      <w:smallCaps/>
      <w:color w:val="auto"/>
      <w:spacing w:val="5"/>
      <w:u w:val="single"/>
    </w:rPr>
  </w:style>
  <w:style w:type="paragraph" w:customStyle="1" w:styleId="2ColumnHeading">
    <w:name w:val="2Column Heading"/>
    <w:basedOn w:val="BodyText"/>
    <w:qFormat/>
    <w:rsid w:val="00BF2CD6"/>
    <w:pPr>
      <w:spacing w:after="60"/>
      <w:ind w:left="-2268"/>
    </w:pPr>
    <w:rPr>
      <w:b/>
    </w:rPr>
  </w:style>
  <w:style w:type="paragraph" w:customStyle="1" w:styleId="Heading1TOC">
    <w:name w:val="Heading1 TOC"/>
    <w:basedOn w:val="Normal"/>
    <w:qFormat/>
    <w:rsid w:val="00BF2CD6"/>
    <w:pPr>
      <w:spacing w:before="240" w:after="120"/>
    </w:pPr>
    <w:rPr>
      <w:rFonts w:ascii="Times New Roman" w:hAnsi="Times New Roman"/>
      <w:b/>
      <w:sz w:val="32"/>
    </w:rPr>
  </w:style>
  <w:style w:type="paragraph" w:customStyle="1" w:styleId="Heading2TOC">
    <w:name w:val="Heading2 TOC"/>
    <w:basedOn w:val="Normal"/>
    <w:qFormat/>
    <w:rsid w:val="00BF2CD6"/>
    <w:pPr>
      <w:spacing w:before="240" w:after="60"/>
    </w:pPr>
    <w:rPr>
      <w:rFonts w:ascii="Times New Roman" w:hAnsi="Times New Roman"/>
      <w:b/>
      <w:sz w:val="28"/>
    </w:rPr>
  </w:style>
  <w:style w:type="character" w:customStyle="1" w:styleId="Underline">
    <w:name w:val="Underline"/>
    <w:basedOn w:val="DefaultParagraphFont"/>
    <w:qFormat/>
    <w:rsid w:val="00BF2CD6"/>
    <w:rPr>
      <w:u w:val="single"/>
    </w:rPr>
  </w:style>
  <w:style w:type="character" w:customStyle="1" w:styleId="BoldandItalics">
    <w:name w:val="Bold and Italics"/>
    <w:qFormat/>
    <w:rsid w:val="00BF2CD6"/>
    <w:rPr>
      <w:b/>
      <w:i/>
      <w:u w:val="none"/>
    </w:rPr>
  </w:style>
  <w:style w:type="paragraph" w:styleId="BalloonText">
    <w:name w:val="Balloon Text"/>
    <w:basedOn w:val="Normal"/>
    <w:link w:val="BalloonTextChar"/>
    <w:rsid w:val="00BF2CD6"/>
    <w:rPr>
      <w:rFonts w:ascii="Tahoma" w:hAnsi="Tahoma" w:cs="Tahoma"/>
      <w:sz w:val="16"/>
      <w:szCs w:val="16"/>
    </w:rPr>
  </w:style>
  <w:style w:type="character" w:customStyle="1" w:styleId="BalloonTextChar">
    <w:name w:val="Balloon Text Char"/>
    <w:basedOn w:val="DefaultParagraphFont"/>
    <w:link w:val="BalloonText"/>
    <w:rsid w:val="00BF2C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C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C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2183</Words>
  <Characters>13701</Characters>
  <Application>Microsoft Office Word</Application>
  <DocSecurity>0</DocSecurity>
  <Lines>563</Lines>
  <Paragraphs>217</Paragraphs>
  <ScaleCrop>false</ScaleCrop>
  <Company>Author-it Software Corporation Ltd.</Company>
  <LinksUpToDate>false</LinksUpToDate>
  <CharactersWithSpaces>15718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UETTDRSO20A Respond to complex protection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2012-05-26T12:21:00Z</dcterms:created>
  <dcterms:modified xsi:type="dcterms:W3CDTF">2012-05-26T12:21:00Z</dcterms:modified>
</cp:coreProperties>
</file>