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DEA" w:rsidP="00EB6DEA">
      <w:pPr>
        <w:pStyle w:val="Title"/>
      </w:pPr>
      <w:r>
        <w:fldChar w:fldCharType="begin"/>
      </w:r>
      <w:r>
        <w:instrText xml:space="preserve"> TITLE   \* MERGEFORMAT </w:instrText>
      </w:r>
      <w:r>
        <w:fldChar w:fldCharType="separate"/>
      </w:r>
      <w:r>
        <w:t>UETTDRSO09B Coordinate LV distribution networks</w:t>
      </w:r>
      <w:r>
        <w:fldChar w:fldCharType="end"/>
      </w:r>
    </w:p>
    <w:p w:rsidR="00EB6DEA" w:rsidP="00EB6DEA">
      <w:pPr>
        <w:pStyle w:val="Version"/>
        <w:sectPr w:rsidSect="00F338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38E0" w:rsidP="00F338E0">
      <w:pPr>
        <w:pStyle w:val="SuperHeading"/>
      </w:pPr>
      <w:r w:rsidRPr="00F338E0">
        <w:t>UETTDRSO09B Coordinate LV distribution networks</w:t>
      </w:r>
    </w:p>
    <w:p w:rsidR="00000000" w:rsidRPr="00F338E0" w:rsidP="00F338E0">
      <w:pPr>
        <w:pStyle w:val="Heading1"/>
      </w:pPr>
      <w:bookmarkStart w:id="1" w:name="O_275544"/>
      <w:bookmarkEnd w:id="1"/>
      <w:r w:rsidRPr="00F338E0">
        <w:t>Modification History</w:t>
      </w:r>
    </w:p>
    <w:p w:rsidR="00000000" w:rsidRPr="00F338E0" w:rsidP="00F338E0">
      <w:pPr>
        <w:pStyle w:val="BodyText"/>
      </w:pPr>
      <w:r w:rsidRPr="00F338E0">
        <w:t>Not Applicable</w:t>
      </w:r>
    </w:p>
    <w:p w:rsidR="00000000" w:rsidRPr="00F338E0" w:rsidP="00F338E0">
      <w:pPr>
        <w:pStyle w:val="AllowPageBreak"/>
      </w:pPr>
    </w:p>
    <w:p w:rsidR="00000000" w:rsidRPr="00F338E0" w:rsidP="00F338E0">
      <w:pPr>
        <w:pStyle w:val="Heading1"/>
      </w:pPr>
      <w:bookmarkStart w:id="2" w:name="O_231956"/>
      <w:bookmarkEnd w:id="2"/>
      <w:r w:rsidRPr="00F338E0">
        <w:t>Unit Descriptor</w:t>
      </w:r>
    </w:p>
    <w:tbl>
      <w:tblPr>
        <w:tblW w:w="0" w:type="auto"/>
        <w:tblLayout w:type="fixed"/>
        <w:tblCellMar>
          <w:left w:w="62" w:type="dxa"/>
          <w:right w:w="62" w:type="dxa"/>
        </w:tblCellMar>
        <w:tblLook w:val="0000"/>
      </w:tblPr>
      <w:tblGrid>
        <w:gridCol w:w="2697"/>
        <w:gridCol w:w="5763"/>
      </w:tblGrid>
      <w:tr w:rsidTr="00EB6DEA">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1</w:t>
            </w:r>
            <w:r w:rsidRPr="00F338E0">
              <w:t xml:space="preserve">) </w:t>
            </w:r>
          </w:p>
          <w:p w:rsidR="00000000" w:rsidP="00F338E0">
            <w:pPr>
              <w:pStyle w:val="BodyText"/>
              <w:rPr>
                <w:lang w:val="en-NZ"/>
              </w:rPr>
            </w:pPr>
            <w:r w:rsidRPr="00F338E0">
              <w:rPr>
                <w:rStyle w:val="SpecialBold"/>
              </w:rPr>
              <w:t>1</w:t>
            </w:r>
            <w:r w:rsidRPr="00F338E0">
              <w:t>.</w:t>
            </w:r>
            <w:r w:rsidRPr="00F338E0">
              <w:rPr>
                <w:rStyle w:val="SpecialBold"/>
              </w:rPr>
              <w:t>1</w:t>
            </w:r>
            <w:r w:rsidRPr="00F338E0">
              <w:t xml:space="preserve">) </w:t>
            </w:r>
            <w:r w:rsidRPr="00F338E0">
              <w:rPr>
                <w:rStyle w:val="SpecialBold"/>
              </w:rPr>
              <w:t>Descriptor</w:t>
            </w:r>
          </w:p>
        </w:tc>
      </w:tr>
      <w:tr w:rsidTr="00EB6DEA">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t xml:space="preserve">This Competency Standard Unit covers the monitoring of LV distribution networks in real time. This includes voltage control and monitoring the status of access authorities and ensuring that the network is operated within design parameters at all times. It </w:t>
            </w:r>
            <w:r w:rsidRPr="00F338E0">
              <w:t>also includes dispatching and management of field repair crews to respond to and rectify abnormalities.</w:t>
            </w:r>
          </w:p>
        </w:tc>
      </w:tr>
    </w:tbl>
    <w:p w:rsidR="00EB6DEA" w:rsidP="00F338E0">
      <w:pPr>
        <w:pStyle w:val="BodyText"/>
      </w:pPr>
    </w:p>
    <w:p w:rsidR="00EB6DEA" w:rsidP="00F338E0">
      <w:pPr>
        <w:pStyle w:val="BodyText"/>
      </w:pPr>
    </w:p>
    <w:p w:rsidR="00000000" w:rsidRPr="00F338E0" w:rsidP="00F338E0">
      <w:pPr>
        <w:pStyle w:val="Heading1"/>
      </w:pPr>
      <w:bookmarkStart w:id="3" w:name="O_231961"/>
      <w:bookmarkEnd w:id="3"/>
      <w:r w:rsidRPr="00F338E0">
        <w:t>Application of the Unit</w:t>
      </w:r>
    </w:p>
    <w:tbl>
      <w:tblPr>
        <w:tblW w:w="0" w:type="auto"/>
        <w:tblLayout w:type="fixed"/>
        <w:tblCellMar>
          <w:left w:w="62" w:type="dxa"/>
          <w:right w:w="62" w:type="dxa"/>
        </w:tblCellMar>
        <w:tblLook w:val="0000"/>
      </w:tblPr>
      <w:tblGrid>
        <w:gridCol w:w="2697"/>
        <w:gridCol w:w="5763"/>
      </w:tblGrid>
      <w:tr w:rsidTr="00EB6DEA">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rPr>
                <w:rStyle w:val="SpecialBold"/>
              </w:rPr>
              <w:t>4</w:t>
            </w:r>
            <w:r w:rsidRPr="00F338E0">
              <w:t>)</w:t>
            </w:r>
          </w:p>
        </w:tc>
      </w:tr>
      <w:tr w:rsidTr="00EB6DEA">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t>This Competency Standard Unit is intended to augment formally acquired competencies. It is suitable for employment-based programs under an approved contract of training.</w:t>
            </w:r>
          </w:p>
        </w:tc>
      </w:tr>
    </w:tbl>
    <w:p w:rsidR="00EB6DEA" w:rsidP="00F338E0">
      <w:pPr>
        <w:pStyle w:val="BodyText"/>
      </w:pPr>
    </w:p>
    <w:p w:rsidR="00EB6DEA" w:rsidP="00F338E0">
      <w:pPr>
        <w:pStyle w:val="BodyText"/>
      </w:pPr>
    </w:p>
    <w:p w:rsidR="00000000" w:rsidRPr="00F338E0" w:rsidP="00F338E0">
      <w:pPr>
        <w:pStyle w:val="Heading1"/>
      </w:pPr>
      <w:bookmarkStart w:id="4" w:name="O_231957"/>
      <w:bookmarkEnd w:id="4"/>
      <w:r w:rsidRPr="00F338E0">
        <w:t>Licensing/Regulatory Information</w:t>
      </w:r>
    </w:p>
    <w:tbl>
      <w:tblPr>
        <w:tblW w:w="0" w:type="auto"/>
        <w:tblLayout w:type="fixed"/>
        <w:tblCellMar>
          <w:left w:w="62" w:type="dxa"/>
          <w:right w:w="62" w:type="dxa"/>
        </w:tblCellMar>
        <w:tblLook w:val="0000"/>
      </w:tblPr>
      <w:tblGrid>
        <w:gridCol w:w="8460"/>
      </w:tblGrid>
      <w:tr w:rsidTr="00EB6D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rPr>
                <w:rStyle w:val="SpecialBold"/>
              </w:rPr>
              <w:t>1</w:t>
            </w:r>
            <w:r w:rsidRPr="00F338E0">
              <w:t>.</w:t>
            </w:r>
            <w:r w:rsidRPr="00F338E0">
              <w:rPr>
                <w:rStyle w:val="SpecialBold"/>
              </w:rPr>
              <w:t>2</w:t>
            </w:r>
            <w:r w:rsidRPr="00F338E0">
              <w:t xml:space="preserve">) </w:t>
            </w:r>
            <w:r w:rsidRPr="00F338E0">
              <w:rPr>
                <w:rStyle w:val="SpecialBold"/>
              </w:rPr>
              <w:t>License to practice</w:t>
            </w:r>
          </w:p>
        </w:tc>
      </w:tr>
      <w:tr w:rsidTr="00EB6D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t>The skills and knowledge described in this unit may require a licence/registration to practice in the work place subject to regulations for undertaking of electrical work. Practice in workplace and during training is also subject to regulations directly re</w:t>
            </w:r>
            <w:r w:rsidRPr="00F338E0">
              <w:t>lated to Occupational Health and Safety, electricity/telecommunications/gas/water industry safety and compliance, industrial relations, environmental protection, anti discrimination and training. Commonwealth, State/Territory or Local Government legislatio</w:t>
            </w:r>
            <w:r w:rsidRPr="00F338E0">
              <w:t>n and regulations may exist that limits the age of operating certain equipment.</w:t>
            </w:r>
          </w:p>
        </w:tc>
      </w:tr>
    </w:tbl>
    <w:p w:rsidR="00EB6DEA" w:rsidP="00F338E0">
      <w:pPr>
        <w:pStyle w:val="BodyText"/>
      </w:pPr>
    </w:p>
    <w:p w:rsidR="00EB6DEA" w:rsidP="00F338E0">
      <w:pPr>
        <w:pStyle w:val="BodyText"/>
      </w:pPr>
    </w:p>
    <w:p w:rsidR="00000000" w:rsidRPr="00F338E0" w:rsidP="00F338E0">
      <w:pPr>
        <w:pStyle w:val="Heading1"/>
      </w:pPr>
      <w:bookmarkStart w:id="5" w:name="O_231958"/>
      <w:bookmarkEnd w:id="5"/>
      <w:r w:rsidRPr="00F338E0">
        <w:t>Pre-Requisites</w:t>
      </w:r>
    </w:p>
    <w:tbl>
      <w:tblPr>
        <w:tblW w:w="0" w:type="auto"/>
        <w:tblLayout w:type="fixed"/>
        <w:tblCellMar>
          <w:left w:w="62" w:type="dxa"/>
          <w:right w:w="62" w:type="dxa"/>
        </w:tblCellMar>
        <w:tblLook w:val="0000"/>
      </w:tblPr>
      <w:tblGrid>
        <w:gridCol w:w="2697"/>
        <w:gridCol w:w="720"/>
        <w:gridCol w:w="1980"/>
        <w:gridCol w:w="3063"/>
      </w:tblGrid>
      <w:tr w:rsidTr="00EB6DEA">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Prerequisite Unit</w:t>
            </w:r>
            <w:r w:rsidRPr="00F338E0">
              <w:t>(</w:t>
            </w:r>
            <w:r w:rsidRPr="00F338E0">
              <w:rPr>
                <w:rStyle w:val="SpecialBold"/>
              </w:rPr>
              <w:t>s</w:t>
            </w:r>
            <w:r w:rsidRPr="00F338E0">
              <w:t>)</w:t>
            </w:r>
          </w:p>
        </w:tc>
        <w:tc>
          <w:tcPr>
            <w:tcW w:w="5763" w:type="dxa"/>
            <w:gridSpan w:val="3"/>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rPr>
                <w:rStyle w:val="SpecialBold"/>
              </w:rPr>
              <w:t>2</w:t>
            </w:r>
            <w:r w:rsidRPr="00F338E0">
              <w:t xml:space="preserve">) </w:t>
            </w:r>
          </w:p>
        </w:tc>
      </w:tr>
      <w:tr w:rsidTr="00EB6DEA">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F338E0">
            <w:pPr>
              <w:pStyle w:val="BodyText"/>
              <w:keepNext w:val="0"/>
              <w:keepLines w:val="0"/>
              <w:contextualSpacing w:val="0"/>
            </w:pPr>
          </w:p>
        </w:tc>
        <w:tc>
          <w:tcPr>
            <w:tcW w:w="5763" w:type="dxa"/>
            <w:gridSpan w:val="3"/>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rPr>
                <w:rStyle w:val="SpecialBold"/>
              </w:rPr>
              <w:t>2</w:t>
            </w:r>
            <w:r w:rsidRPr="00F338E0">
              <w:t>.</w:t>
            </w:r>
            <w:r w:rsidRPr="00F338E0">
              <w:rPr>
                <w:rStyle w:val="SpecialBold"/>
              </w:rPr>
              <w:t>1</w:t>
            </w:r>
            <w:r w:rsidRPr="00F338E0">
              <w:t xml:space="preserve">) </w:t>
            </w:r>
            <w:r w:rsidRPr="00F338E0">
              <w:rPr>
                <w:rStyle w:val="SpecialBold"/>
              </w:rPr>
              <w:t>Competencies</w:t>
            </w:r>
          </w:p>
        </w:tc>
      </w:tr>
      <w:tr w:rsidTr="00EB6DEA">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3"/>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Granting of competency in this unit shall be made only after competency in the following unit(s) has/have been confirmed:.</w:t>
            </w:r>
          </w:p>
        </w:tc>
      </w:tr>
      <w:tr w:rsidTr="00EB6DEA">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UETTDRSO06B</w:t>
            </w:r>
          </w:p>
        </w:tc>
        <w:tc>
          <w:tcPr>
            <w:tcW w:w="30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Develop LV distribution switching programs</w:t>
            </w:r>
          </w:p>
        </w:tc>
      </w:tr>
      <w:tr w:rsidTr="00EB6DEA">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3"/>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t>For the full prerequisite chain details for this unit please refer to Table 3 in Volume 1, Part 2</w:t>
            </w:r>
          </w:p>
        </w:tc>
      </w:tr>
    </w:tbl>
    <w:p w:rsidR="00EB6DEA" w:rsidP="00F338E0">
      <w:pPr>
        <w:pStyle w:val="BodyText"/>
      </w:pPr>
    </w:p>
    <w:p w:rsidR="00EB6DEA" w:rsidP="00F338E0">
      <w:pPr>
        <w:pStyle w:val="BodyText"/>
      </w:pPr>
    </w:p>
    <w:p w:rsidR="00000000" w:rsidRPr="00F338E0" w:rsidP="00F338E0">
      <w:pPr>
        <w:pStyle w:val="Heading1"/>
      </w:pPr>
      <w:bookmarkStart w:id="6" w:name="O_231960"/>
      <w:bookmarkEnd w:id="6"/>
      <w:r w:rsidRPr="00F338E0">
        <w:t>Employability Skills Information</w:t>
      </w:r>
    </w:p>
    <w:tbl>
      <w:tblPr>
        <w:tblW w:w="0" w:type="auto"/>
        <w:tblLayout w:type="fixed"/>
        <w:tblCellMar>
          <w:left w:w="62" w:type="dxa"/>
          <w:right w:w="62" w:type="dxa"/>
        </w:tblCellMar>
        <w:tblLook w:val="0000"/>
      </w:tblPr>
      <w:tblGrid>
        <w:gridCol w:w="2697"/>
        <w:gridCol w:w="5763"/>
      </w:tblGrid>
      <w:tr w:rsidTr="00EB6DEA">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3</w:t>
            </w:r>
            <w:r w:rsidRPr="00F338E0">
              <w:t>)</w:t>
            </w:r>
          </w:p>
          <w:p w:rsidR="00000000" w:rsidRPr="00F338E0" w:rsidP="00F338E0">
            <w:pPr>
              <w:pStyle w:val="BodyText"/>
            </w:pPr>
            <w:r w:rsidRPr="00F338E0">
              <w:t>The required outcomes described in this unit of competency contain applicable f</w:t>
            </w:r>
            <w:r w:rsidRPr="00F338E0">
              <w:t>acets of Employability Skills. The Employability Skills Summary of the qualification in which this unit of competency is packaged will assist in identifying Employability Skill requirements.</w:t>
            </w:r>
          </w:p>
        </w:tc>
      </w:tr>
    </w:tbl>
    <w:p w:rsidR="00EB6DEA" w:rsidP="00F338E0">
      <w:pPr>
        <w:pStyle w:val="BodyText"/>
      </w:pPr>
    </w:p>
    <w:p w:rsidR="00EB6DEA" w:rsidP="00F338E0">
      <w:pPr>
        <w:pStyle w:val="BodyText"/>
      </w:pPr>
    </w:p>
    <w:p w:rsidR="00000000" w:rsidRPr="00F338E0" w:rsidP="00F338E0">
      <w:pPr>
        <w:pStyle w:val="Heading1"/>
      </w:pPr>
      <w:bookmarkStart w:id="7" w:name="O_293590"/>
      <w:bookmarkEnd w:id="7"/>
      <w:r w:rsidRPr="00F338E0">
        <w:t>Elements and Performance Criteria Pre-Content</w:t>
      </w:r>
    </w:p>
    <w:tbl>
      <w:tblPr>
        <w:tblW w:w="0" w:type="auto"/>
        <w:tblLayout w:type="fixed"/>
        <w:tblCellMar>
          <w:left w:w="62" w:type="dxa"/>
          <w:right w:w="62" w:type="dxa"/>
        </w:tblCellMar>
        <w:tblLook w:val="0000"/>
      </w:tblPr>
      <w:tblGrid>
        <w:gridCol w:w="2697"/>
        <w:gridCol w:w="5763"/>
      </w:tblGrid>
      <w:tr w:rsidTr="00EB6DEA">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rPr>
                <w:rStyle w:val="SpecialBold"/>
              </w:rPr>
              <w:t>6</w:t>
            </w:r>
            <w:r w:rsidRPr="00F338E0">
              <w:t xml:space="preserve">) </w:t>
            </w:r>
            <w:r w:rsidRPr="00F338E0">
              <w:rPr>
                <w:rStyle w:val="SpecialBold"/>
              </w:rPr>
              <w:t>Elements</w:t>
            </w:r>
            <w:r w:rsidRPr="00F338E0">
              <w:t>: Elements describe the essential outcomes of a competency standard unit</w:t>
            </w:r>
          </w:p>
        </w:tc>
        <w:tc>
          <w:tcPr>
            <w:tcW w:w="5763"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t>Performance Criteria describe the required performance needed to demonstrate achievement of the Element. Assessment of performance is to be consistent with the Evidence Gu</w:t>
            </w:r>
            <w:r w:rsidRPr="00F338E0">
              <w:t>ide.</w:t>
            </w:r>
          </w:p>
        </w:tc>
      </w:tr>
    </w:tbl>
    <w:p w:rsidR="00000000" w:rsidRPr="00F338E0" w:rsidP="00F338E0">
      <w:pPr>
        <w:pStyle w:val="BodyText"/>
      </w:pPr>
    </w:p>
    <w:p w:rsidR="00000000" w:rsidRPr="00F338E0" w:rsidP="00F338E0">
      <w:pPr>
        <w:pStyle w:val="AllowPageBreak"/>
      </w:pPr>
    </w:p>
    <w:p w:rsidR="00000000" w:rsidRPr="00F338E0" w:rsidP="00F338E0">
      <w:pPr>
        <w:pStyle w:val="Heading1"/>
      </w:pPr>
      <w:bookmarkStart w:id="8" w:name="O_240258"/>
      <w:bookmarkEnd w:id="8"/>
      <w:r w:rsidRPr="00F338E0">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EB6DEA">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rPr>
                <w:rStyle w:val="SpecialBold"/>
              </w:rPr>
              <w:t>PERFORMANCE CRITERIA</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1</w:t>
            </w:r>
          </w:p>
        </w:tc>
        <w:tc>
          <w:tcPr>
            <w:tcW w:w="2294"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Plan for the management of an LV distribution network</w:t>
            </w: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1.1</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OHS practices/procedures and environmental and sustainable energy procedures, which may influence the management of LV distribution network systems, are reviewed and determined.</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1.2</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Purpose for the management of an LV distribution network is established</w:t>
            </w:r>
            <w:r w:rsidRPr="00F338E0">
              <w:t xml:space="preserve"> after data is analysed and expected outcomes of the work are confirmed with the appropriate personnel.</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1.3</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Organisational established procedures on policies and specifications for the management of an LV distribution network are obtained or established</w:t>
            </w:r>
            <w:r w:rsidRPr="00F338E0">
              <w:t xml:space="preserve"> with the appropriate personnel.</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1.4</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Testing procedures are discussed with/directed to the appropriate personnel in order to ascertain the project brief.</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1.5</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Testing parameters are established from organisational established procedures on policies and specifications.</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1.6</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Equipment/tools and personal protective equipment are selected based on specified Performance Criteria and established procedures.</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1.7</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W</w:t>
            </w:r>
            <w:r w:rsidRPr="00F338E0">
              <w:t>ork roles and tasks are allocated according to requirements and individuals' competencies</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1.8</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 xml:space="preserve">Work is prioritised and sequenced for the most efficient/effective outcome, completed within an acceptable timeframe to a quality standard </w:t>
            </w:r>
            <w:r w:rsidRPr="00F338E0">
              <w:t>and in accordance with established procedures.</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1.9</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Liaison and communication issues with other/authorised personnel, authorities, clients and land owners are resolved and activities coordinated to carry out work.</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1.10</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Risk control measures are identi</w:t>
            </w:r>
            <w:r w:rsidRPr="00F338E0">
              <w:t>fied, prioritised and evaluated against the work schedule.</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1.11</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Relevant work permits are secured to coordinate the performance of work according to requirements and/or established procedures.</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2</w:t>
            </w:r>
          </w:p>
        </w:tc>
        <w:tc>
          <w:tcPr>
            <w:tcW w:w="2294" w:type="dxa"/>
            <w:vMerge w:val="restart"/>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Carry out the management of an LV distribution network</w:t>
            </w: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2.</w:t>
            </w:r>
            <w:r w:rsidRPr="00F338E0">
              <w:t>1</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Circuit/systems modelling are used to evaluate alternative proposals as per established procedures.</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2.2</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 xml:space="preserve">OHS and sustainable energy principles, functionality and practices to reduce the incidents of accidents and minimise waste are incorporated </w:t>
            </w:r>
            <w:r w:rsidRPr="00F338E0">
              <w:t>into the project in accordance with requirements and/or established procedures.</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2.3</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Management decisions are made on the basis of safety and effective outcomes according to requirements and/or established procedures.</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2.4</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Mathematical and/or engineering models of the LV distribution network are used to analyse the effectiveness of the finished project as per requirements and established procedures.</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2.5</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Technical advice is given regarding potential hazards, safety risks a</w:t>
            </w:r>
            <w:r w:rsidRPr="00F338E0">
              <w:t>nd control measures so that monitoring and preventative action can be undertaken and/or appropriate authorities consulted, where necessary, in accordance with requirements and established procedures.</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2.6</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Essential knowledge and associated skills are app</w:t>
            </w:r>
            <w:r w:rsidRPr="00F338E0">
              <w:t>lied to analyse specific data and compare it with compliance specifications to ensure completion of the project within an agreed timeframe according to requirements.</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2.7</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 xml:space="preserve">Testing of the LV distribution network is undertaken according to requirements and </w:t>
            </w:r>
            <w:r w:rsidRPr="00F338E0">
              <w:t>established procedures.</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2.8</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Work teams/groups are arranged/coordinated/evaluated to ensure planned goals are met according to established procedures.</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2.9</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 xml:space="preserve">Solutions to non-routine problems </w:t>
            </w:r>
            <w:r w:rsidRPr="00F338E0">
              <w:t>are identified and actioned, using acquired essential knowledge and associated skills, according to requirements.</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2.10</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Quality of work is monitored against personal performance agreement and/or established organisational and professional standards.</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2</w:t>
            </w:r>
            <w:r w:rsidRPr="00F338E0">
              <w:t>.11</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Strategic plans are developed incorporating organisation initiatives as per established procedures.</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3</w:t>
            </w:r>
          </w:p>
        </w:tc>
        <w:tc>
          <w:tcPr>
            <w:tcW w:w="2294"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Complete the management of an LV distribution network</w:t>
            </w: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3.1</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 xml:space="preserve">Final review of the management procedures of the LV distribution network are undertaken to </w:t>
            </w:r>
            <w:r w:rsidRPr="00F338E0">
              <w:t>ensure they comply with all requirements and include all specifications and documentations needed to complete the project.</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3.2</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Appropriate personnel are notified of completion and reports and/or completion documents are finalised/commissioned.</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3.3</w:t>
            </w:r>
          </w:p>
        </w:tc>
        <w:tc>
          <w:tcPr>
            <w:tcW w:w="48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Reports and/or completion documents are submitted to relevant personnel/organisations for approval and, where applicable, statutory or regulatory approval.</w:t>
            </w:r>
          </w:p>
        </w:tc>
      </w:tr>
      <w:tr w:rsidTr="00EB6D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3.4</w:t>
            </w:r>
          </w:p>
        </w:tc>
        <w:tc>
          <w:tcPr>
            <w:tcW w:w="4863"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t>Approved copies of the managed LV distribution network documents are issued and records are u</w:t>
            </w:r>
            <w:r w:rsidRPr="00F338E0">
              <w:t>pdated in accordance with established procedures.</w:t>
            </w:r>
          </w:p>
        </w:tc>
      </w:tr>
    </w:tbl>
    <w:p w:rsidR="00EB6DEA" w:rsidP="00F338E0">
      <w:pPr>
        <w:pStyle w:val="BodyText"/>
      </w:pPr>
    </w:p>
    <w:p w:rsidR="00EB6DEA" w:rsidP="00F338E0">
      <w:pPr>
        <w:pStyle w:val="BodyText"/>
      </w:pPr>
    </w:p>
    <w:p w:rsidR="00000000" w:rsidRPr="00F338E0" w:rsidP="00F338E0">
      <w:pPr>
        <w:pStyle w:val="Heading1"/>
      </w:pPr>
      <w:bookmarkStart w:id="9" w:name="O_264049"/>
      <w:bookmarkEnd w:id="9"/>
      <w:r w:rsidRPr="00F338E0">
        <w:t>Required Skills and Knowledge</w:t>
      </w:r>
    </w:p>
    <w:tbl>
      <w:tblPr>
        <w:tblW w:w="0" w:type="auto"/>
        <w:tblLayout w:type="fixed"/>
        <w:tblCellMar>
          <w:left w:w="62" w:type="dxa"/>
          <w:right w:w="62" w:type="dxa"/>
        </w:tblCellMar>
        <w:tblLook w:val="0000"/>
      </w:tblPr>
      <w:tblGrid>
        <w:gridCol w:w="2697"/>
        <w:gridCol w:w="1080"/>
        <w:gridCol w:w="4683"/>
      </w:tblGrid>
      <w:tr w:rsidTr="00EB6DE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rPr>
                <w:rStyle w:val="SpecialBold"/>
              </w:rPr>
              <w:t>REQUIRED SKILLS AND KNOWLEDGE</w:t>
            </w:r>
          </w:p>
        </w:tc>
      </w:tr>
      <w:tr w:rsidTr="00EB6DE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rPr>
                <w:rStyle w:val="SpecialBold"/>
              </w:rPr>
              <w:t>7</w:t>
            </w:r>
            <w:r w:rsidRPr="00F338E0">
              <w:t xml:space="preserve">) </w:t>
            </w:r>
            <w:r w:rsidRPr="00F338E0">
              <w:rPr>
                <w:rStyle w:val="SpecialBold"/>
              </w:rPr>
              <w:t>Essential Knowledge and Associated Skills</w:t>
            </w:r>
            <w:r w:rsidRPr="00F338E0">
              <w:t xml:space="preserve"> (</w:t>
            </w:r>
            <w:r w:rsidRPr="00F338E0">
              <w:rPr>
                <w:rStyle w:val="SpecialBold"/>
              </w:rPr>
              <w:t>EKAS</w:t>
            </w:r>
            <w:r w:rsidRPr="00F338E0">
              <w:t>): This describes the essential skills and knowledge and their level, required for this unit.</w:t>
            </w:r>
          </w:p>
        </w:tc>
      </w:tr>
      <w:tr w:rsidTr="00EB6DE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t>Evidence shall show that knowledge has been acquired of coordinating LV distribution networks.</w:t>
            </w:r>
          </w:p>
          <w:p w:rsidR="00000000" w:rsidRPr="00F338E0" w:rsidP="00F338E0">
            <w:pPr>
              <w:pStyle w:val="BodyText"/>
            </w:pPr>
            <w:r w:rsidRPr="00F338E0">
              <w:t>All knowledge and skills detailed in this unit should be context</w:t>
            </w:r>
            <w:r w:rsidRPr="00F338E0">
              <w:t>ualised to current industry practices and technologies.</w:t>
            </w:r>
          </w:p>
          <w:p w:rsidR="00000000" w:rsidP="00F338E0">
            <w:pPr>
              <w:pStyle w:val="BodyText"/>
              <w:rPr>
                <w:lang w:val="en-NZ"/>
              </w:rPr>
            </w:pPr>
            <w:r w:rsidRPr="00F338E0">
              <w:t>The extent of the essential knowledge and associated skills (EKAS) required is given in Volume 2 - Part 2.2 EKAS. It forms an integral part of this unit.</w:t>
            </w:r>
          </w:p>
        </w:tc>
      </w:tr>
      <w:tr w:rsidTr="00EB6DEA">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 xml:space="preserve">E2.18.1 </w:t>
            </w:r>
          </w:p>
        </w:tc>
        <w:tc>
          <w:tcPr>
            <w:tcW w:w="468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Occupational Health and Safety principles</w:t>
            </w:r>
          </w:p>
        </w:tc>
      </w:tr>
      <w:tr w:rsidTr="00EB6DEA">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E2.18.2</w:t>
            </w:r>
          </w:p>
        </w:tc>
        <w:tc>
          <w:tcPr>
            <w:tcW w:w="468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Electrical safe working practice</w:t>
            </w:r>
          </w:p>
        </w:tc>
      </w:tr>
      <w:tr w:rsidTr="00EB6DEA">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T2.2.49</w:t>
            </w:r>
          </w:p>
        </w:tc>
        <w:tc>
          <w:tcPr>
            <w:tcW w:w="468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Coordinating permit access authority procedures</w:t>
            </w:r>
          </w:p>
        </w:tc>
      </w:tr>
      <w:tr w:rsidTr="00EB6DEA">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T2.4.9</w:t>
            </w:r>
          </w:p>
        </w:tc>
        <w:tc>
          <w:tcPr>
            <w:tcW w:w="468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 xml:space="preserve">Systems switching operations and authorisation procedures  LV </w:t>
            </w:r>
          </w:p>
        </w:tc>
      </w:tr>
      <w:tr w:rsidTr="00EB6DEA">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T2.4.10</w:t>
            </w:r>
          </w:p>
        </w:tc>
        <w:tc>
          <w:tcPr>
            <w:tcW w:w="468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Co-ordinating and directing swi</w:t>
            </w:r>
            <w:r w:rsidRPr="00F338E0">
              <w:t>tching instructions</w:t>
            </w:r>
          </w:p>
        </w:tc>
      </w:tr>
      <w:tr w:rsidTr="00EB6DEA">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T2.4.12</w:t>
            </w:r>
          </w:p>
        </w:tc>
        <w:tc>
          <w:tcPr>
            <w:tcW w:w="468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Low voltage overhead and substation switching principles</w:t>
            </w:r>
          </w:p>
        </w:tc>
      </w:tr>
      <w:tr w:rsidTr="00EB6DEA">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T2.4.14</w:t>
            </w:r>
          </w:p>
        </w:tc>
        <w:tc>
          <w:tcPr>
            <w:tcW w:w="4683"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t>Low voltage switching instruction preparation</w:t>
            </w:r>
          </w:p>
        </w:tc>
      </w:tr>
    </w:tbl>
    <w:p w:rsidR="00EB6DEA" w:rsidP="00F338E0">
      <w:pPr>
        <w:pStyle w:val="BodyText"/>
      </w:pPr>
    </w:p>
    <w:p w:rsidR="00EB6DEA" w:rsidP="00F338E0">
      <w:pPr>
        <w:pStyle w:val="BodyText"/>
      </w:pPr>
    </w:p>
    <w:p w:rsidR="00000000" w:rsidRPr="00F338E0" w:rsidP="00F338E0">
      <w:pPr>
        <w:pStyle w:val="Heading1"/>
      </w:pPr>
      <w:bookmarkStart w:id="10" w:name="O_248241"/>
      <w:bookmarkEnd w:id="10"/>
      <w:r w:rsidRPr="00F338E0">
        <w:t>Evidence Guide</w:t>
      </w:r>
    </w:p>
    <w:tbl>
      <w:tblPr>
        <w:tblW w:w="0" w:type="auto"/>
        <w:tblLayout w:type="fixed"/>
        <w:tblCellMar>
          <w:left w:w="62" w:type="dxa"/>
          <w:right w:w="62" w:type="dxa"/>
        </w:tblCellMar>
        <w:tblLook w:val="0000"/>
      </w:tblPr>
      <w:tblGrid>
        <w:gridCol w:w="2097"/>
        <w:gridCol w:w="705"/>
        <w:gridCol w:w="884"/>
        <w:gridCol w:w="347"/>
        <w:gridCol w:w="1340"/>
        <w:gridCol w:w="3087"/>
      </w:tblGrid>
      <w:tr w:rsidTr="00EB6DE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rPr>
                <w:rStyle w:val="SpecialBold"/>
              </w:rPr>
              <w:t>EVIDENCE GUIDE</w:t>
            </w:r>
          </w:p>
        </w:tc>
      </w:tr>
      <w:tr w:rsidTr="00EB6DEA">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9</w:t>
            </w:r>
            <w:r w:rsidRPr="00F338E0">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F338E0">
            <w:pPr>
              <w:pStyle w:val="BodyText"/>
              <w:rPr>
                <w:lang w:val="en-NZ"/>
              </w:rPr>
            </w:pPr>
            <w:r w:rsidRPr="00F338E0">
              <w:t>The Eviden</w:t>
            </w:r>
            <w:r w:rsidRPr="00F338E0">
              <w:t>ce Guide forms an integral part of this Competency Standard Unit and shall be used in conjunction with all component parts of this unit and, performed in accordance with the Assessment Guidelines of this Training Package.</w:t>
            </w:r>
          </w:p>
        </w:tc>
      </w:tr>
      <w:tr w:rsidTr="00EB6DE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Overview of Assessment</w:t>
            </w:r>
          </w:p>
        </w:tc>
        <w:tc>
          <w:tcPr>
            <w:tcW w:w="6363" w:type="dxa"/>
            <w:gridSpan w:val="5"/>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9</w:t>
            </w:r>
            <w:r w:rsidRPr="00F338E0">
              <w:t>.</w:t>
            </w:r>
            <w:r w:rsidRPr="00F338E0">
              <w:rPr>
                <w:rStyle w:val="SpecialBold"/>
              </w:rPr>
              <w:t>1</w:t>
            </w:r>
            <w:r w:rsidRPr="00F338E0">
              <w:t xml:space="preserve">) </w:t>
            </w:r>
          </w:p>
          <w:p w:rsidR="00000000" w:rsidRPr="00F338E0" w:rsidP="00F338E0">
            <w:pPr>
              <w:pStyle w:val="BodyText"/>
            </w:pPr>
            <w:r w:rsidRPr="00F338E0">
              <w:t>Longitudinal competency development approaches to assessment, such as Profiling, require data to be reliably gathered in a form that can be consistently interpreted over time. This approach is best utilised in Apprenticeship programs and reduces assessmen</w:t>
            </w:r>
            <w:r w:rsidRPr="00F338E0">
              <w:t>t intervention. It is the Industry's preferred model for apprenticeships. However, where summative (or final) assessment is used it is to include the application of the competency in the normal work environment or, at a minimum, the application of the comp</w:t>
            </w:r>
            <w:r w:rsidRPr="00F338E0">
              <w:t>etency in a realistically simulated work environment. It is recognised that, in some circumstances, assessment in part or full can occur outside the workplace. However, it must be in accord with Industry and, Regulatory policy in this regard.</w:t>
            </w:r>
          </w:p>
          <w:p w:rsidR="00000000" w:rsidRPr="00F338E0" w:rsidP="00F338E0">
            <w:pPr>
              <w:pStyle w:val="BodyText"/>
            </w:pPr>
            <w:r w:rsidRPr="00F338E0">
              <w:t>Methods chose</w:t>
            </w:r>
            <w:r w:rsidRPr="00F338E0">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F338E0">
              <w:t>required and the critical nature of the competencies being assessed.</w:t>
            </w:r>
          </w:p>
          <w:p w:rsidR="00000000" w:rsidRPr="00F338E0" w:rsidP="00F338E0">
            <w:pPr>
              <w:pStyle w:val="BodyText"/>
            </w:pPr>
            <w:r w:rsidRPr="00F338E0">
              <w:t>The critical safety nature of working with electricity, electrical equipment, gas or any other hazardous substance/material carries risk in deeming a person competent. Hence, sources of e</w:t>
            </w:r>
            <w:r w:rsidRPr="00F338E0">
              <w:t>vidence need to be 'rich' in nature so as to minimise error in judgment.</w:t>
            </w:r>
          </w:p>
          <w:p w:rsidR="00000000" w:rsidP="00F338E0">
            <w:pPr>
              <w:pStyle w:val="BodyText"/>
              <w:rPr>
                <w:lang w:val="en-NZ"/>
              </w:rPr>
            </w:pPr>
            <w:r w:rsidRPr="00F338E0">
              <w:t>Activities associated with normal every day work have a bearing on the decision as to how much and how detailed the data gathered will contribute to its 'richness'. Some skills are mo</w:t>
            </w:r>
            <w:r w:rsidRPr="00F338E0">
              <w:t>re critical to safety and operational requirements while the same skills may be more or less frequently practiced. These points are raised for the assessors to consider when choosing an assessment method and developing assessment instruments. Sample assess</w:t>
            </w:r>
            <w:r w:rsidRPr="00F338E0">
              <w:t>ment instruments are included for Assessors in the Assessment Guidelines of this Training Package.</w:t>
            </w:r>
          </w:p>
        </w:tc>
      </w:tr>
      <w:tr w:rsidTr="00EB6DEA">
        <w:tblPrEx>
          <w:tblW w:w="0" w:type="auto"/>
          <w:tblLayout w:type="fixed"/>
          <w:tblCellMar>
            <w:left w:w="62" w:type="dxa"/>
            <w:right w:w="62" w:type="dxa"/>
          </w:tblCellMar>
          <w:tblLook w:val="0000"/>
        </w:tblPrEx>
        <w:tc>
          <w:tcPr>
            <w:tcW w:w="2097" w:type="dxa"/>
            <w:vMerge w:val="restart"/>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Critical aspects of evidence required to demonstrate competency in this unit</w:t>
            </w:r>
          </w:p>
        </w:tc>
        <w:tc>
          <w:tcPr>
            <w:tcW w:w="6363" w:type="dxa"/>
            <w:gridSpan w:val="5"/>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9</w:t>
            </w:r>
            <w:r w:rsidRPr="00F338E0">
              <w:t>.</w:t>
            </w:r>
            <w:r w:rsidRPr="00F338E0">
              <w:rPr>
                <w:rStyle w:val="SpecialBold"/>
              </w:rPr>
              <w:t>2</w:t>
            </w:r>
            <w:r w:rsidRPr="00F338E0">
              <w:t xml:space="preserve">) </w:t>
            </w:r>
          </w:p>
          <w:p w:rsidR="00000000" w:rsidP="00F338E0">
            <w:pPr>
              <w:pStyle w:val="BodyText"/>
              <w:rPr>
                <w:lang w:val="en-NZ"/>
              </w:rPr>
            </w:pPr>
            <w:r w:rsidRPr="00F338E0">
              <w:t>Before the critical aspects of evidence are considered all prerequisites shall be met.</w:t>
            </w:r>
          </w:p>
        </w:tc>
      </w:tr>
      <w:tr w:rsidTr="00EB6DEA">
        <w:tblPrEx>
          <w:tblW w:w="0" w:type="auto"/>
          <w:tblLayout w:type="fixed"/>
          <w:tblCellMar>
            <w:left w:w="62" w:type="dxa"/>
            <w:right w:w="62" w:type="dxa"/>
          </w:tblCellMar>
          <w:tblLook w:val="0000"/>
        </w:tblPrEx>
        <w:tc>
          <w:tcPr>
            <w:tcW w:w="20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3" w:type="dxa"/>
            <w:gridSpan w:val="5"/>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t>Evidence for competence in this unit shall be considered holistically. Each Element and associated Performance Criteria shall be demonstrated on at least two occas</w:t>
            </w:r>
            <w:r w:rsidRPr="00F338E0">
              <w:t>ions in accordance with the "Assessment Guidelines - UET09". Evidence shall also comprise:</w:t>
            </w:r>
          </w:p>
          <w:p w:rsidR="00000000" w:rsidP="00F338E0">
            <w:pPr>
              <w:pStyle w:val="ListBullet"/>
              <w:rPr>
                <w:lang w:val="en-NZ"/>
              </w:rPr>
            </w:pPr>
            <w:r w:rsidRPr="00F338E0">
              <w:t xml:space="preserve">A representative body of Performance Criteria demonstrated within the timeframes typically expected of the discipline, work function and industrial environment. In </w:t>
            </w:r>
            <w:r w:rsidRPr="00F338E0">
              <w:t>particular this shall incorporate evidence that shows a candidate is able to:</w:t>
            </w:r>
          </w:p>
        </w:tc>
      </w:tr>
      <w:tr w:rsidTr="00EB6DE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p>
        </w:tc>
        <w:tc>
          <w:tcPr>
            <w:tcW w:w="6363" w:type="dxa"/>
            <w:gridSpan w:val="5"/>
            <w:tcBorders>
              <w:top w:val="nil"/>
              <w:left w:val="nil"/>
              <w:bottom w:val="nil"/>
              <w:right w:val="nil"/>
            </w:tcBorders>
            <w:tcMar>
              <w:top w:w="0" w:type="dxa"/>
              <w:left w:w="62" w:type="dxa"/>
              <w:bottom w:w="0" w:type="dxa"/>
              <w:right w:w="62" w:type="dxa"/>
            </w:tcMar>
          </w:tcPr>
          <w:p w:rsidR="00000000" w:rsidRPr="00F338E0" w:rsidP="00F338E0">
            <w:pPr>
              <w:pStyle w:val="ListBullet2"/>
            </w:pPr>
            <w:r w:rsidRPr="00F338E0">
              <w:t xml:space="preserve">Implement Occupational Health and Safety workplace procedures and practices including </w:t>
            </w:r>
            <w:r w:rsidRPr="00F338E0">
              <w:t>the use of risk control measures as specified in the Performance Criteria and range; and</w:t>
            </w:r>
          </w:p>
          <w:p w:rsidR="00000000" w:rsidRPr="00F338E0" w:rsidP="00F338E0">
            <w:pPr>
              <w:pStyle w:val="ListBullet2"/>
            </w:pPr>
            <w:r w:rsidRPr="00F338E0">
              <w:t>Apply sustainable energy principles and practices as specified in the Performance Criteria and range; and</w:t>
            </w:r>
          </w:p>
          <w:p w:rsidR="00000000" w:rsidRPr="00F338E0" w:rsidP="00F338E0">
            <w:pPr>
              <w:pStyle w:val="ListBullet2"/>
            </w:pPr>
            <w:r w:rsidRPr="00F338E0">
              <w:t>Demonstrate an understanding of the essential knowledge and associated skills described in this unit to such an extent that the learner's performance outcome is reported in accordance with the preferred approach; namely a percentile graded result, where re</w:t>
            </w:r>
            <w:r w:rsidRPr="00F338E0">
              <w:t>quired by the regulated environment; and</w:t>
            </w:r>
          </w:p>
          <w:p w:rsidR="00000000" w:rsidRPr="00F338E0" w:rsidP="00F338E0">
            <w:pPr>
              <w:pStyle w:val="ListBullet2"/>
            </w:pPr>
            <w:r w:rsidRPr="00F338E0">
              <w:t>Demonstrate an appropriate level of employability skills; and</w:t>
            </w:r>
          </w:p>
          <w:p w:rsidR="00000000" w:rsidP="00F338E0">
            <w:pPr>
              <w:pStyle w:val="ListBullet2"/>
              <w:rPr>
                <w:lang w:val="en-NZ"/>
              </w:rPr>
            </w:pPr>
            <w:r w:rsidRPr="00F338E0">
              <w:t>Conduct work observing the relevant Anti Discrimination legislation, regulations, policies and workplace procedures; and</w:t>
            </w:r>
          </w:p>
        </w:tc>
      </w:tr>
      <w:tr w:rsidTr="00EB6DE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p>
        </w:tc>
        <w:tc>
          <w:tcPr>
            <w:tcW w:w="6363" w:type="dxa"/>
            <w:gridSpan w:val="5"/>
            <w:tcBorders>
              <w:top w:val="nil"/>
              <w:left w:val="nil"/>
              <w:bottom w:val="nil"/>
              <w:right w:val="nil"/>
            </w:tcBorders>
            <w:tcMar>
              <w:top w:w="0" w:type="dxa"/>
              <w:left w:w="62" w:type="dxa"/>
              <w:bottom w:w="0" w:type="dxa"/>
              <w:right w:w="62" w:type="dxa"/>
            </w:tcMar>
          </w:tcPr>
          <w:p w:rsidR="00000000" w:rsidP="00F338E0">
            <w:pPr>
              <w:pStyle w:val="ListBullet"/>
              <w:rPr>
                <w:lang w:val="en-NZ"/>
              </w:rPr>
            </w:pPr>
            <w:r w:rsidRPr="00F338E0">
              <w:t xml:space="preserve">Demonstrated performance </w:t>
            </w:r>
            <w:r w:rsidRPr="00F338E0">
              <w:t>across a representative range of contexts from the prescribed items below:</w:t>
            </w:r>
          </w:p>
        </w:tc>
      </w:tr>
      <w:tr w:rsidTr="00EB6DE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5" w:type="dxa"/>
            <w:tcBorders>
              <w:top w:val="nil"/>
              <w:left w:val="nil"/>
              <w:bottom w:val="nil"/>
              <w:right w:val="single" w:sz="6" w:space="0" w:color="auto"/>
            </w:tcBorders>
            <w:tcMar>
              <w:top w:w="0" w:type="dxa"/>
              <w:left w:w="62" w:type="dxa"/>
              <w:bottom w:w="0" w:type="dxa"/>
              <w:right w:w="62" w:type="dxa"/>
            </w:tcMar>
          </w:tcPr>
          <w:p w:rsidR="00000000" w:rsidRPr="00F338E0">
            <w:pPr>
              <w:pStyle w:val="BodyText"/>
              <w:keepNext w:val="0"/>
              <w:keepLines w:val="0"/>
              <w:contextualSpacing w:val="0"/>
            </w:pPr>
          </w:p>
        </w:tc>
        <w:tc>
          <w:tcPr>
            <w:tcW w:w="565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8E0">
            <w:pPr>
              <w:pStyle w:val="BodyText"/>
              <w:rPr>
                <w:lang w:val="en-NZ"/>
              </w:rPr>
            </w:pPr>
            <w:r w:rsidRPr="00F338E0">
              <w:rPr>
                <w:rStyle w:val="SpecialBold"/>
              </w:rPr>
              <w:t>Range of tools</w:t>
            </w:r>
            <w:r w:rsidRPr="00F338E0">
              <w:t>/</w:t>
            </w:r>
            <w:r w:rsidRPr="00F338E0">
              <w:rPr>
                <w:rStyle w:val="SpecialBold"/>
              </w:rPr>
              <w:t>equipment</w:t>
            </w:r>
            <w:r w:rsidRPr="00F338E0">
              <w:t>/</w:t>
            </w:r>
            <w:r w:rsidRPr="00F338E0">
              <w:rPr>
                <w:rStyle w:val="SpecialBold"/>
              </w:rPr>
              <w:t>materials</w:t>
            </w:r>
            <w:r w:rsidRPr="00F338E0">
              <w:t>/</w:t>
            </w:r>
            <w:r w:rsidRPr="00F338E0">
              <w:rPr>
                <w:rStyle w:val="SpecialBold"/>
              </w:rPr>
              <w:t>procedures</w:t>
            </w:r>
            <w:r w:rsidRPr="00F338E0">
              <w:t>/</w:t>
            </w:r>
            <w:r w:rsidRPr="00F338E0">
              <w:rPr>
                <w:rStyle w:val="SpecialBold"/>
              </w:rPr>
              <w:t>workplaces</w:t>
            </w:r>
            <w:r w:rsidRPr="00F338E0">
              <w:t>/</w:t>
            </w:r>
            <w:r w:rsidRPr="00F338E0">
              <w:rPr>
                <w:rStyle w:val="SpecialBold"/>
              </w:rPr>
              <w:t>other variables</w:t>
            </w:r>
          </w:p>
        </w:tc>
      </w:tr>
      <w:tr w:rsidTr="00EB6DE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8E0">
            <w:pPr>
              <w:pStyle w:val="BodyText"/>
              <w:rPr>
                <w:lang w:val="en-NZ"/>
              </w:rPr>
            </w:pPr>
            <w:r w:rsidRPr="00F338E0">
              <w:t>Group No</w:t>
            </w:r>
          </w:p>
        </w:tc>
        <w:tc>
          <w:tcPr>
            <w:tcW w:w="16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8E0">
            <w:pPr>
              <w:pStyle w:val="BodyText"/>
              <w:rPr>
                <w:lang w:val="en-NZ"/>
              </w:rPr>
            </w:pPr>
            <w:r w:rsidRPr="00F338E0">
              <w:t>The minimum number of items on which skill is to be demonstrated</w:t>
            </w:r>
          </w:p>
        </w:tc>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8E0">
            <w:pPr>
              <w:pStyle w:val="BodyText"/>
              <w:rPr>
                <w:lang w:val="en-NZ"/>
              </w:rPr>
            </w:pPr>
            <w:r w:rsidRPr="00F338E0">
              <w:t>Item List</w:t>
            </w:r>
          </w:p>
        </w:tc>
      </w:tr>
      <w:tr w:rsidTr="00EB6DE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8E0">
            <w:pPr>
              <w:pStyle w:val="BodyText"/>
              <w:rPr>
                <w:lang w:val="en-NZ"/>
              </w:rPr>
            </w:pPr>
            <w:r w:rsidRPr="00F338E0">
              <w:t>A</w:t>
            </w:r>
          </w:p>
        </w:tc>
        <w:tc>
          <w:tcPr>
            <w:tcW w:w="16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8E0">
            <w:pPr>
              <w:pStyle w:val="BodyText"/>
              <w:rPr>
                <w:lang w:val="en-NZ"/>
              </w:rPr>
            </w:pPr>
            <w:r w:rsidRPr="00F338E0">
              <w:t>Demonstrate on at least three (3) occasions the coordinate system manipulations that encompass the following:</w:t>
            </w:r>
          </w:p>
        </w:tc>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8E0" w:rsidP="00F338E0">
            <w:pPr>
              <w:pStyle w:val="BodyText"/>
            </w:pPr>
            <w:r w:rsidRPr="00F338E0">
              <w:t>LV distribution network</w:t>
            </w:r>
          </w:p>
          <w:p w:rsidR="00000000" w:rsidRPr="00F338E0" w:rsidP="00F338E0">
            <w:pPr>
              <w:pStyle w:val="BodyText"/>
            </w:pPr>
            <w:r w:rsidRPr="00F338E0">
              <w:t>LV network manipulation to control loading on equipment</w:t>
            </w:r>
          </w:p>
          <w:p w:rsidR="00000000" w:rsidRPr="00F338E0" w:rsidP="00F338E0">
            <w:pPr>
              <w:pStyle w:val="BodyText"/>
            </w:pPr>
            <w:r w:rsidRPr="00F338E0">
              <w:t>Transformers with LV windings (if applicable to enterprise equipm</w:t>
            </w:r>
            <w:r w:rsidRPr="00F338E0">
              <w:t>ent)</w:t>
            </w:r>
          </w:p>
          <w:p w:rsidR="00000000" w:rsidRPr="00F338E0" w:rsidP="00F338E0">
            <w:pPr>
              <w:pStyle w:val="BodyText"/>
            </w:pPr>
            <w:r w:rsidRPr="00F338E0">
              <w:t>LV busbars</w:t>
            </w:r>
          </w:p>
          <w:p w:rsidR="00000000" w:rsidRPr="00F338E0" w:rsidP="00F338E0">
            <w:pPr>
              <w:pStyle w:val="BodyText"/>
            </w:pPr>
            <w:r w:rsidRPr="00F338E0">
              <w:t>LV isolators</w:t>
            </w:r>
          </w:p>
          <w:p w:rsidR="00000000" w:rsidP="00F338E0">
            <w:pPr>
              <w:pStyle w:val="BodyText"/>
              <w:rPr>
                <w:lang w:val="en-NZ"/>
              </w:rPr>
            </w:pPr>
            <w:r w:rsidRPr="00F338E0">
              <w:t>LV switchgear (applicable to enterprise equipment)</w:t>
            </w:r>
          </w:p>
        </w:tc>
      </w:tr>
      <w:tr w:rsidTr="00EB6DE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8E0">
            <w:pPr>
              <w:pStyle w:val="BodyText"/>
              <w:rPr>
                <w:lang w:val="en-NZ"/>
              </w:rPr>
            </w:pPr>
            <w:r w:rsidRPr="00F338E0">
              <w:t>B</w:t>
            </w:r>
          </w:p>
        </w:tc>
        <w:tc>
          <w:tcPr>
            <w:tcW w:w="16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8E0">
            <w:pPr>
              <w:pStyle w:val="BodyText"/>
              <w:rPr>
                <w:lang w:val="en-NZ"/>
              </w:rPr>
            </w:pPr>
            <w:r w:rsidRPr="00F338E0">
              <w:t>All of the following:</w:t>
            </w:r>
          </w:p>
        </w:tc>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8E0" w:rsidP="00F338E0">
            <w:pPr>
              <w:pStyle w:val="BodyText"/>
            </w:pPr>
            <w:r w:rsidRPr="00F338E0">
              <w:t>Write switching instructions</w:t>
            </w:r>
          </w:p>
          <w:p w:rsidR="00000000" w:rsidRPr="00F338E0" w:rsidP="00F338E0">
            <w:pPr>
              <w:pStyle w:val="BodyText"/>
            </w:pPr>
            <w:r w:rsidRPr="00F338E0">
              <w:t>Check switching instructions</w:t>
            </w:r>
          </w:p>
          <w:p w:rsidR="00000000" w:rsidRPr="00F338E0" w:rsidP="00F338E0">
            <w:pPr>
              <w:pStyle w:val="BodyText"/>
            </w:pPr>
            <w:r w:rsidRPr="00F338E0">
              <w:t>Coordinate switching instructions</w:t>
            </w:r>
          </w:p>
          <w:p w:rsidR="00000000" w:rsidRPr="00F338E0" w:rsidP="00F338E0">
            <w:pPr>
              <w:pStyle w:val="BodyText"/>
            </w:pPr>
            <w:r w:rsidRPr="00F338E0">
              <w:t>Calculate plant loading</w:t>
            </w:r>
          </w:p>
          <w:p w:rsidR="00000000" w:rsidRPr="00F338E0" w:rsidP="00F338E0">
            <w:pPr>
              <w:pStyle w:val="BodyText"/>
            </w:pPr>
            <w:r w:rsidRPr="00F338E0">
              <w:t>Prepare and authorise LV distribution switching programs</w:t>
            </w:r>
          </w:p>
          <w:p w:rsidR="00000000" w:rsidRPr="00F338E0" w:rsidP="00F338E0">
            <w:pPr>
              <w:pStyle w:val="BodyText"/>
            </w:pPr>
            <w:r w:rsidRPr="00F338E0">
              <w:t>Monitor switching progress</w:t>
            </w:r>
          </w:p>
          <w:p w:rsidR="00000000" w:rsidRPr="00F338E0" w:rsidP="00F338E0">
            <w:pPr>
              <w:pStyle w:val="BodyText"/>
            </w:pPr>
            <w:r w:rsidRPr="00F338E0">
              <w:t>Monitor the status of access permits/authorities on LV network equipment</w:t>
            </w:r>
          </w:p>
          <w:p w:rsidR="00000000" w:rsidRPr="00F338E0" w:rsidP="00F338E0">
            <w:pPr>
              <w:pStyle w:val="BodyText"/>
            </w:pPr>
            <w:r w:rsidRPr="00F338E0">
              <w:t>Ensure network plant operates within design and regulatory requirements on a real time basis</w:t>
            </w:r>
          </w:p>
          <w:p w:rsidR="00000000" w:rsidRPr="00F338E0" w:rsidP="00F338E0">
            <w:pPr>
              <w:pStyle w:val="BodyText"/>
            </w:pPr>
            <w:r w:rsidRPr="00F338E0">
              <w:t>Dispat</w:t>
            </w:r>
            <w:r w:rsidRPr="00F338E0">
              <w:t>ch and communicate with field crews to respond/rectify system abnormalities</w:t>
            </w:r>
          </w:p>
          <w:p w:rsidR="00000000" w:rsidRPr="00F338E0" w:rsidP="00F338E0">
            <w:pPr>
              <w:pStyle w:val="BodyText"/>
            </w:pPr>
            <w:r w:rsidRPr="00F338E0">
              <w:t>Application and administration of SCADA (if applicable to enterprise equipment)</w:t>
            </w:r>
          </w:p>
          <w:p w:rsidR="00000000" w:rsidRPr="00F338E0" w:rsidP="00F338E0">
            <w:pPr>
              <w:pStyle w:val="BodyText"/>
            </w:pPr>
            <w:r w:rsidRPr="00F338E0">
              <w:t>Analyse and diagnose system failures</w:t>
            </w:r>
          </w:p>
          <w:p w:rsidR="00000000" w:rsidP="00F338E0">
            <w:pPr>
              <w:pStyle w:val="BodyText"/>
              <w:rPr>
                <w:lang w:val="en-NZ"/>
              </w:rPr>
            </w:pPr>
            <w:r w:rsidRPr="00F338E0">
              <w:t>Calculate and analyse paralleling conditions on the interconnec</w:t>
            </w:r>
            <w:r w:rsidRPr="00F338E0">
              <w:t>ted LV system</w:t>
            </w:r>
          </w:p>
        </w:tc>
      </w:tr>
      <w:tr w:rsidTr="00EB6DE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8E0">
            <w:pPr>
              <w:pStyle w:val="BodyText"/>
              <w:rPr>
                <w:lang w:val="en-NZ"/>
              </w:rPr>
            </w:pPr>
            <w:r w:rsidRPr="00F338E0">
              <w:t>C</w:t>
            </w:r>
          </w:p>
        </w:tc>
        <w:tc>
          <w:tcPr>
            <w:tcW w:w="16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8E0">
            <w:pPr>
              <w:pStyle w:val="BodyText"/>
              <w:rPr>
                <w:lang w:val="en-NZ"/>
              </w:rPr>
            </w:pPr>
            <w:r w:rsidRPr="00F338E0">
              <w:t>Monitor and manage switching to:</w:t>
            </w:r>
          </w:p>
        </w:tc>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8E0" w:rsidP="00F338E0">
            <w:pPr>
              <w:pStyle w:val="BodyText"/>
            </w:pPr>
            <w:r w:rsidRPr="00F338E0">
              <w:t>Manage load</w:t>
            </w:r>
          </w:p>
          <w:p w:rsidR="00000000" w:rsidRPr="00F338E0" w:rsidP="00F338E0">
            <w:pPr>
              <w:pStyle w:val="BodyText"/>
            </w:pPr>
            <w:r w:rsidRPr="00F338E0">
              <w:t>Manage voltage</w:t>
            </w:r>
          </w:p>
          <w:p w:rsidR="00000000" w:rsidRPr="00F338E0" w:rsidP="00F338E0">
            <w:pPr>
              <w:pStyle w:val="BodyText"/>
            </w:pPr>
            <w:r w:rsidRPr="00F338E0">
              <w:t>Minimise loss</w:t>
            </w:r>
          </w:p>
          <w:p w:rsidR="00000000" w:rsidRPr="00F338E0" w:rsidP="00F338E0">
            <w:pPr>
              <w:pStyle w:val="BodyText"/>
            </w:pPr>
            <w:r w:rsidRPr="00F338E0">
              <w:t>Maximise system reliability</w:t>
            </w:r>
          </w:p>
          <w:p w:rsidR="00000000" w:rsidRPr="00F338E0" w:rsidP="00F338E0">
            <w:pPr>
              <w:pStyle w:val="BodyText"/>
            </w:pPr>
            <w:r w:rsidRPr="00F338E0">
              <w:t>Allow safe network access for maintenance activities</w:t>
            </w:r>
          </w:p>
          <w:p w:rsidR="00000000" w:rsidRPr="00F338E0" w:rsidP="00F338E0">
            <w:pPr>
              <w:pStyle w:val="BodyText"/>
            </w:pPr>
            <w:r w:rsidRPr="00F338E0">
              <w:t>Allow safe network access for construction activities</w:t>
            </w:r>
          </w:p>
          <w:p w:rsidR="00000000" w:rsidP="00F338E0">
            <w:pPr>
              <w:pStyle w:val="BodyText"/>
              <w:rPr>
                <w:lang w:val="en-NZ"/>
              </w:rPr>
            </w:pPr>
            <w:r w:rsidRPr="00F338E0">
              <w:t>Validating fault reports arising from system disturbances</w:t>
            </w:r>
          </w:p>
        </w:tc>
      </w:tr>
      <w:tr w:rsidTr="00EB6DE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8E0">
            <w:pPr>
              <w:pStyle w:val="BodyText"/>
              <w:rPr>
                <w:lang w:val="en-NZ"/>
              </w:rPr>
            </w:pPr>
            <w:r w:rsidRPr="00F338E0">
              <w:t>D</w:t>
            </w:r>
          </w:p>
        </w:tc>
        <w:tc>
          <w:tcPr>
            <w:tcW w:w="16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8E0">
            <w:pPr>
              <w:pStyle w:val="BodyText"/>
              <w:rPr>
                <w:lang w:val="en-NZ"/>
              </w:rPr>
            </w:pPr>
            <w:r w:rsidRPr="00F338E0">
              <w:t>At least one occasion</w:t>
            </w:r>
          </w:p>
        </w:tc>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8E0">
            <w:pPr>
              <w:pStyle w:val="BodyText"/>
              <w:rPr>
                <w:lang w:val="en-NZ"/>
              </w:rPr>
            </w:pPr>
            <w:r w:rsidRPr="00F338E0">
              <w:t xml:space="preserve">Dealing with an unplanned event by drawing on essential knowledge and associated skills to provide appropriate solutions incorporated in the holistic assessment with the </w:t>
            </w:r>
            <w:r w:rsidRPr="00F338E0">
              <w:t>above listed items.</w:t>
            </w:r>
          </w:p>
        </w:tc>
      </w:tr>
      <w:tr w:rsidTr="00EB6DE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Context of and specific resources for assessment</w:t>
            </w:r>
          </w:p>
        </w:tc>
        <w:tc>
          <w:tcPr>
            <w:tcW w:w="6363" w:type="dxa"/>
            <w:gridSpan w:val="5"/>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9</w:t>
            </w:r>
            <w:r w:rsidRPr="00F338E0">
              <w:t>.</w:t>
            </w:r>
            <w:r w:rsidRPr="00F338E0">
              <w:rPr>
                <w:rStyle w:val="SpecialBold"/>
              </w:rPr>
              <w:t>3</w:t>
            </w:r>
            <w:r w:rsidRPr="00F338E0">
              <w:t xml:space="preserve">) </w:t>
            </w:r>
          </w:p>
          <w:p w:rsidR="00000000" w:rsidRPr="00F338E0" w:rsidP="00F338E0">
            <w:pPr>
              <w:pStyle w:val="BodyText"/>
            </w:pPr>
            <w:r w:rsidRPr="00F338E0">
              <w:t>This unit should be assessed as it relates to normal work practice using procedures, information and resources typical of a workplace. This should include:</w:t>
            </w:r>
          </w:p>
          <w:p w:rsidR="00000000" w:rsidRPr="00F338E0" w:rsidP="00F338E0">
            <w:pPr>
              <w:pStyle w:val="ListBullet"/>
            </w:pPr>
            <w:r w:rsidRPr="00F338E0">
              <w:t>OHS policy and work procedures and instructions.</w:t>
            </w:r>
          </w:p>
          <w:p w:rsidR="00000000" w:rsidRPr="00F338E0" w:rsidP="00F338E0">
            <w:pPr>
              <w:pStyle w:val="ListBullet"/>
            </w:pPr>
            <w:r w:rsidRPr="00F338E0">
              <w:t>Suitable work environment, facilities, equipment and materials to undertake actual management of an LV distribution network.</w:t>
            </w:r>
          </w:p>
          <w:p w:rsidR="00000000" w:rsidRPr="00F338E0" w:rsidP="00F338E0">
            <w:pPr>
              <w:pStyle w:val="BodyText"/>
            </w:pPr>
            <w:r w:rsidRPr="00F338E0">
              <w:t>Note:</w:t>
            </w:r>
          </w:p>
          <w:p w:rsidR="00000000" w:rsidP="00F338E0">
            <w:pPr>
              <w:pStyle w:val="BodyText"/>
              <w:rPr>
                <w:lang w:val="en-NZ"/>
              </w:rPr>
            </w:pPr>
            <w:r w:rsidRPr="00F338E0">
              <w:t>Access will be needed to: relevant protection, control, metering and alarm e</w:t>
            </w:r>
            <w:r w:rsidRPr="00F338E0">
              <w:t>quipment, network drawings, computerised electrical plant control and monitoring facilities, operational event data, enterprise operational policies, procedures and work practices and crisis management procedures.</w:t>
            </w:r>
          </w:p>
        </w:tc>
      </w:tr>
      <w:tr w:rsidTr="00EB6DE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3" w:type="dxa"/>
            <w:gridSpan w:val="5"/>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 xml:space="preserve">In addition to the resources listed </w:t>
            </w:r>
            <w:r w:rsidRPr="00F338E0">
              <w:t xml:space="preserve">above in Context of and specific resources for assessment, evidence should show demonstrated competency working in realistic environment and a variety of conditions </w:t>
            </w:r>
          </w:p>
        </w:tc>
      </w:tr>
      <w:tr w:rsidTr="00EB6DE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Method of assessment</w:t>
            </w:r>
          </w:p>
        </w:tc>
        <w:tc>
          <w:tcPr>
            <w:tcW w:w="6363" w:type="dxa"/>
            <w:gridSpan w:val="5"/>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9</w:t>
            </w:r>
            <w:r w:rsidRPr="00F338E0">
              <w:t>.</w:t>
            </w:r>
            <w:r w:rsidRPr="00F338E0">
              <w:rPr>
                <w:rStyle w:val="SpecialBold"/>
              </w:rPr>
              <w:t>4</w:t>
            </w:r>
            <w:r w:rsidRPr="00F338E0">
              <w:t xml:space="preserve">) </w:t>
            </w:r>
          </w:p>
          <w:p w:rsidR="00000000" w:rsidRPr="00F338E0" w:rsidP="00F338E0">
            <w:pPr>
              <w:pStyle w:val="BodyText"/>
            </w:pPr>
            <w:r w:rsidRPr="00F338E0">
              <w:t>This Competency Standard Unit shall be assessed by methods given in Volume 1, Part 3 "Assessment Guidelines".</w:t>
            </w:r>
          </w:p>
          <w:p w:rsidR="00000000" w:rsidP="00F338E0">
            <w:pPr>
              <w:pStyle w:val="BodyText"/>
              <w:rPr>
                <w:lang w:val="en-NZ"/>
              </w:rPr>
            </w:pPr>
            <w:r w:rsidRPr="00F338E0">
              <w:t>Note:</w:t>
            </w:r>
            <w:r w:rsidRPr="00F338E0">
              <w:br/>
              <w:t>Competent performance with inherent safe working practices is expected in the Transmission, Distribution and Rail Traction Industry. This re</w:t>
            </w:r>
            <w:r w:rsidRPr="00F338E0">
              <w:t>quires that the specified essential knowledge and associated skills are assessed in a structured environment which is primarily intended for learning/assessment and incorporates all necessary equipment and facilities for learners to develop and demonstrate</w:t>
            </w:r>
            <w:r w:rsidRPr="00F338E0">
              <w:t xml:space="preserve"> the essential knowledge and associated skills described in this unit.</w:t>
            </w:r>
          </w:p>
        </w:tc>
      </w:tr>
      <w:tr w:rsidTr="00EB6DEA">
        <w:tblPrEx>
          <w:tblW w:w="0" w:type="auto"/>
          <w:tblLayout w:type="fixed"/>
          <w:tblCellMar>
            <w:left w:w="62" w:type="dxa"/>
            <w:right w:w="62" w:type="dxa"/>
          </w:tblCellMar>
          <w:tblLook w:val="0000"/>
        </w:tblPrEx>
        <w:tc>
          <w:tcPr>
            <w:tcW w:w="2097" w:type="dxa"/>
            <w:vMerge w:val="restart"/>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Concurrent assessment and relationship with other units</w:t>
            </w:r>
          </w:p>
        </w:tc>
        <w:tc>
          <w:tcPr>
            <w:tcW w:w="6363" w:type="dxa"/>
            <w:gridSpan w:val="5"/>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rPr>
                <w:rStyle w:val="SpecialBold"/>
              </w:rPr>
              <w:t>9</w:t>
            </w:r>
            <w:r w:rsidRPr="00F338E0">
              <w:t>.</w:t>
            </w:r>
            <w:r w:rsidRPr="00F338E0">
              <w:rPr>
                <w:rStyle w:val="SpecialBold"/>
              </w:rPr>
              <w:t>5</w:t>
            </w:r>
            <w:r w:rsidRPr="00F338E0">
              <w:t>)</w:t>
            </w:r>
          </w:p>
        </w:tc>
      </w:tr>
      <w:tr w:rsidTr="00EB6DEA">
        <w:tblPrEx>
          <w:tblW w:w="0" w:type="auto"/>
          <w:tblLayout w:type="fixed"/>
          <w:tblCellMar>
            <w:left w:w="62" w:type="dxa"/>
            <w:right w:w="62" w:type="dxa"/>
          </w:tblCellMar>
          <w:tblLook w:val="0000"/>
        </w:tblPrEx>
        <w:tc>
          <w:tcPr>
            <w:tcW w:w="20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3" w:type="dxa"/>
            <w:gridSpan w:val="5"/>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 xml:space="preserve">For optimisation of training and assessment effort, competence in this unit may be assessed concurrently with units: </w:t>
            </w:r>
          </w:p>
        </w:tc>
      </w:tr>
      <w:tr w:rsidTr="00EB6DEA">
        <w:tblPrEx>
          <w:tblW w:w="0" w:type="auto"/>
          <w:tblLayout w:type="fixed"/>
          <w:tblCellMar>
            <w:left w:w="62" w:type="dxa"/>
            <w:right w:w="62" w:type="dxa"/>
          </w:tblCellMar>
          <w:tblLook w:val="0000"/>
        </w:tblPrEx>
        <w:tc>
          <w:tcPr>
            <w:tcW w:w="20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36" w:type="dxa"/>
            <w:gridSpan w:val="3"/>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UETTDRSO10B</w:t>
            </w:r>
          </w:p>
        </w:tc>
        <w:tc>
          <w:tcPr>
            <w:tcW w:w="4427" w:type="dxa"/>
            <w:gridSpan w:val="2"/>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Coordinate HV distribution and sub transmission networks</w:t>
            </w:r>
          </w:p>
        </w:tc>
      </w:tr>
      <w:tr w:rsidTr="00EB6DE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36" w:type="dxa"/>
            <w:gridSpan w:val="3"/>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UETTDRSO11B</w:t>
            </w:r>
          </w:p>
        </w:tc>
        <w:tc>
          <w:tcPr>
            <w:tcW w:w="4427" w:type="dxa"/>
            <w:gridSpan w:val="2"/>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t>Manage Transmission networks</w:t>
            </w:r>
          </w:p>
        </w:tc>
      </w:tr>
    </w:tbl>
    <w:p w:rsidR="00EB6DEA" w:rsidP="00F338E0">
      <w:pPr>
        <w:pStyle w:val="BodyText"/>
      </w:pPr>
    </w:p>
    <w:p w:rsidR="00EB6DEA" w:rsidP="00F338E0">
      <w:pPr>
        <w:pStyle w:val="BodyText"/>
      </w:pPr>
    </w:p>
    <w:p w:rsidR="00000000" w:rsidRPr="00F338E0" w:rsidP="00F338E0">
      <w:pPr>
        <w:pStyle w:val="Heading1"/>
      </w:pPr>
      <w:bookmarkStart w:id="11" w:name="O_256225"/>
      <w:bookmarkEnd w:id="11"/>
      <w:r w:rsidRPr="00F338E0">
        <w:t>Range Statement</w:t>
      </w:r>
    </w:p>
    <w:tbl>
      <w:tblPr>
        <w:tblW w:w="0" w:type="auto"/>
        <w:tblLayout w:type="fixed"/>
        <w:tblCellMar>
          <w:left w:w="62" w:type="dxa"/>
          <w:right w:w="62" w:type="dxa"/>
        </w:tblCellMar>
        <w:tblLook w:val="0000"/>
      </w:tblPr>
      <w:tblGrid>
        <w:gridCol w:w="2097"/>
        <w:gridCol w:w="6363"/>
      </w:tblGrid>
      <w:tr w:rsidTr="00EB6DE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rPr>
                <w:rStyle w:val="SpecialBold"/>
              </w:rPr>
              <w:t>RANGE STATEMENT</w:t>
            </w:r>
          </w:p>
        </w:tc>
      </w:tr>
      <w:tr w:rsidTr="00EB6DE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rPr>
                <w:rStyle w:val="SpecialBold"/>
              </w:rPr>
              <w:t>8</w:t>
            </w:r>
            <w:r w:rsidRPr="00F338E0">
              <w:t>) This relates to the competency standard unit as a whole providing the range of contexts and conditions to which the Performance Criteria apply. It allows for different work environments and situations th</w:t>
            </w:r>
            <w:r w:rsidRPr="00F338E0">
              <w:t>at will affect performance.</w:t>
            </w:r>
          </w:p>
        </w:tc>
      </w:tr>
      <w:tr w:rsidTr="00EB6DE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t>This Competency Standard Unit shall/may be demonstrated in relation to the monitoring of LV distribution networks in real time ensuring that the network is operated within design parameters at all times and shall/may be demons</w:t>
            </w:r>
            <w:r w:rsidRPr="00F338E0">
              <w:t>trated using the following:</w:t>
            </w:r>
          </w:p>
          <w:p w:rsidR="00000000" w:rsidRPr="00F338E0" w:rsidP="00F338E0">
            <w:pPr>
              <w:pStyle w:val="BodyText"/>
            </w:pPr>
            <w:r w:rsidRPr="00F338E0">
              <w:t>LV Distribution feeders/distribution network; Transformers with LV windings; LV busbars; LV isolators ; LV switchgear (applicable to enterprise equipment); Switching instructions (applicable to enterprise equipment); computers (</w:t>
            </w:r>
            <w:r w:rsidRPr="00F338E0">
              <w:t>applicable to enterprise equipment); network diagrams (applicable to enterprise equipment); access authorities; regulatory requirements.</w:t>
            </w:r>
          </w:p>
          <w:p w:rsidR="00000000" w:rsidP="00F338E0">
            <w:pPr>
              <w:pStyle w:val="BodyText"/>
              <w:rPr>
                <w:lang w:val="en-NZ"/>
              </w:rPr>
            </w:pPr>
            <w:r w:rsidRPr="00F338E0">
              <w:t xml:space="preserve">The following constants and variables included in the Element/Performance Criteria in this unit are fully described in </w:t>
            </w:r>
            <w:r w:rsidRPr="00F338E0">
              <w:t>the Definitions Section 1 of this volume and form an integral part of the Range Statement of this unit:</w:t>
            </w:r>
          </w:p>
        </w:tc>
      </w:tr>
      <w:tr w:rsidTr="00EB6DE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p>
        </w:tc>
        <w:tc>
          <w:tcPr>
            <w:tcW w:w="6363" w:type="dxa"/>
            <w:tcBorders>
              <w:top w:val="nil"/>
              <w:left w:val="nil"/>
              <w:bottom w:val="nil"/>
              <w:right w:val="nil"/>
            </w:tcBorders>
            <w:tcMar>
              <w:top w:w="0" w:type="dxa"/>
              <w:left w:w="62" w:type="dxa"/>
              <w:bottom w:w="0" w:type="dxa"/>
              <w:right w:w="62" w:type="dxa"/>
            </w:tcMar>
          </w:tcPr>
          <w:p w:rsidR="00000000" w:rsidRPr="00F338E0" w:rsidP="00F338E0">
            <w:pPr>
              <w:pStyle w:val="ListBullet"/>
            </w:pPr>
            <w:r w:rsidRPr="00F338E0">
              <w:t>Appropriate and relevant persons (see Personnel)</w:t>
            </w:r>
          </w:p>
          <w:p w:rsidR="00000000" w:rsidRPr="00F338E0" w:rsidP="00F338E0">
            <w:pPr>
              <w:pStyle w:val="ListBullet"/>
            </w:pPr>
            <w:r w:rsidRPr="00F338E0">
              <w:t>Appropriate authorities</w:t>
            </w:r>
          </w:p>
          <w:p w:rsidR="00000000" w:rsidRPr="00F338E0" w:rsidP="00F338E0">
            <w:pPr>
              <w:pStyle w:val="ListBullet"/>
            </w:pPr>
            <w:r w:rsidRPr="00F338E0">
              <w:t>Appropriate work platform</w:t>
            </w:r>
          </w:p>
          <w:p w:rsidR="00000000" w:rsidRPr="00F338E0" w:rsidP="00F338E0">
            <w:pPr>
              <w:pStyle w:val="ListBullet"/>
            </w:pPr>
            <w:r w:rsidRPr="00F338E0">
              <w:t>Assessing risk</w:t>
            </w:r>
          </w:p>
          <w:p w:rsidR="00000000" w:rsidRPr="00F338E0" w:rsidP="00F338E0">
            <w:pPr>
              <w:pStyle w:val="ListBullet"/>
            </w:pPr>
            <w:r w:rsidRPr="00F338E0">
              <w:t>Assessment</w:t>
            </w:r>
          </w:p>
          <w:p w:rsidR="00000000" w:rsidRPr="00F338E0" w:rsidP="00F338E0">
            <w:pPr>
              <w:pStyle w:val="ListBullet"/>
            </w:pPr>
            <w:r w:rsidRPr="00F338E0">
              <w:t>Authorisation</w:t>
            </w:r>
          </w:p>
          <w:p w:rsidR="00000000" w:rsidRPr="00F338E0" w:rsidP="00F338E0">
            <w:pPr>
              <w:pStyle w:val="ListBullet"/>
            </w:pPr>
            <w:r w:rsidRPr="00F338E0">
              <w:t>Confined space</w:t>
            </w:r>
          </w:p>
          <w:p w:rsidR="00000000" w:rsidRPr="00F338E0" w:rsidP="00F338E0">
            <w:pPr>
              <w:pStyle w:val="ListBullet"/>
            </w:pPr>
            <w:r w:rsidRPr="00F338E0">
              <w:t>Diagnostic, testing and restoration</w:t>
            </w:r>
          </w:p>
          <w:p w:rsidR="00000000" w:rsidRPr="00F338E0" w:rsidP="00F338E0">
            <w:pPr>
              <w:pStyle w:val="ListBullet"/>
            </w:pPr>
            <w:r w:rsidRPr="00F338E0">
              <w:t>Documenting detail work events, record keeping and or storage of information</w:t>
            </w:r>
          </w:p>
          <w:p w:rsidR="00000000" w:rsidRPr="00F338E0" w:rsidP="00F338E0">
            <w:pPr>
              <w:pStyle w:val="ListBullet"/>
            </w:pPr>
            <w:r w:rsidRPr="00F338E0">
              <w:t>Drawings and specifications</w:t>
            </w:r>
          </w:p>
          <w:p w:rsidR="00000000" w:rsidRPr="00F338E0" w:rsidP="00F338E0">
            <w:pPr>
              <w:pStyle w:val="ListBullet"/>
            </w:pPr>
            <w:r w:rsidRPr="00F338E0">
              <w:t>Emergency</w:t>
            </w:r>
          </w:p>
          <w:p w:rsidR="00000000" w:rsidRPr="00F338E0" w:rsidP="00F338E0">
            <w:pPr>
              <w:pStyle w:val="ListBullet"/>
            </w:pPr>
            <w:r w:rsidRPr="00F338E0">
              <w:t>Environmental and sustainable energy procedures</w:t>
            </w:r>
          </w:p>
          <w:p w:rsidR="00000000" w:rsidRPr="00F338E0" w:rsidP="00F338E0">
            <w:pPr>
              <w:pStyle w:val="ListBullet"/>
            </w:pPr>
            <w:r w:rsidRPr="00F338E0">
              <w:t>Environmental legislation</w:t>
            </w:r>
          </w:p>
          <w:p w:rsidR="00000000" w:rsidRPr="00F338E0" w:rsidP="00F338E0">
            <w:pPr>
              <w:pStyle w:val="ListBullet"/>
            </w:pPr>
            <w:r w:rsidRPr="00F338E0">
              <w:t>Environmental ma</w:t>
            </w:r>
            <w:r w:rsidRPr="00F338E0">
              <w:t>nagement documentation</w:t>
            </w:r>
          </w:p>
          <w:p w:rsidR="00000000" w:rsidRPr="00F338E0" w:rsidP="00F338E0">
            <w:pPr>
              <w:pStyle w:val="ListBullet"/>
            </w:pPr>
            <w:r w:rsidRPr="00F338E0">
              <w:t>Established procedures</w:t>
            </w:r>
          </w:p>
          <w:p w:rsidR="00000000" w:rsidRPr="00F338E0" w:rsidP="00F338E0">
            <w:pPr>
              <w:pStyle w:val="ListBullet"/>
            </w:pPr>
            <w:r w:rsidRPr="00F338E0">
              <w:t>Fall prevention</w:t>
            </w:r>
          </w:p>
          <w:p w:rsidR="00000000" w:rsidRPr="00F338E0" w:rsidP="00F338E0">
            <w:pPr>
              <w:pStyle w:val="ListBullet"/>
            </w:pPr>
            <w:r w:rsidRPr="00F338E0">
              <w:t>Hazards</w:t>
            </w:r>
          </w:p>
          <w:p w:rsidR="00000000" w:rsidRPr="00F338E0" w:rsidP="00F338E0">
            <w:pPr>
              <w:pStyle w:val="ListBullet"/>
            </w:pPr>
            <w:r w:rsidRPr="00F338E0">
              <w:t>Identifying hazards</w:t>
            </w:r>
          </w:p>
          <w:p w:rsidR="00000000" w:rsidRPr="00F338E0" w:rsidP="00F338E0">
            <w:pPr>
              <w:pStyle w:val="ListBullet"/>
            </w:pPr>
            <w:r w:rsidRPr="00F338E0">
              <w:t>Inspect</w:t>
            </w:r>
          </w:p>
          <w:p w:rsidR="00000000" w:rsidRPr="00F338E0" w:rsidP="00F338E0">
            <w:pPr>
              <w:pStyle w:val="ListBullet"/>
            </w:pPr>
            <w:r w:rsidRPr="00F338E0">
              <w:t>Legislation</w:t>
            </w:r>
          </w:p>
          <w:p w:rsidR="00000000" w:rsidRPr="00F338E0" w:rsidP="00F338E0">
            <w:pPr>
              <w:pStyle w:val="ListBullet"/>
            </w:pPr>
            <w:r w:rsidRPr="00F338E0">
              <w:t>MSDS</w:t>
            </w:r>
          </w:p>
          <w:p w:rsidR="00000000" w:rsidRPr="00F338E0" w:rsidP="00F338E0">
            <w:pPr>
              <w:pStyle w:val="ListBullet"/>
            </w:pPr>
            <w:r w:rsidRPr="00F338E0">
              <w:t>Notification</w:t>
            </w:r>
          </w:p>
          <w:p w:rsidR="00000000" w:rsidRPr="00F338E0" w:rsidP="00F338E0">
            <w:pPr>
              <w:pStyle w:val="ListBullet"/>
            </w:pPr>
            <w:r w:rsidRPr="00F338E0">
              <w:t>OHS practices</w:t>
            </w:r>
          </w:p>
          <w:p w:rsidR="00000000" w:rsidRPr="00F338E0" w:rsidP="00F338E0">
            <w:pPr>
              <w:pStyle w:val="ListBullet"/>
            </w:pPr>
            <w:r w:rsidRPr="00F338E0">
              <w:t>OHS issues</w:t>
            </w:r>
          </w:p>
          <w:p w:rsidR="00000000" w:rsidRPr="00F338E0" w:rsidP="00F338E0">
            <w:pPr>
              <w:pStyle w:val="ListBullet"/>
            </w:pPr>
            <w:r w:rsidRPr="00F338E0">
              <w:t>Permits and/or permits to work</w:t>
            </w:r>
          </w:p>
          <w:p w:rsidR="00000000" w:rsidRPr="00F338E0" w:rsidP="00F338E0">
            <w:pPr>
              <w:pStyle w:val="ListBullet"/>
            </w:pPr>
            <w:r w:rsidRPr="00F338E0">
              <w:t>Personnel</w:t>
            </w:r>
          </w:p>
          <w:p w:rsidR="00000000" w:rsidRPr="00F338E0" w:rsidP="00F338E0">
            <w:pPr>
              <w:pStyle w:val="ListBullet"/>
            </w:pPr>
            <w:r w:rsidRPr="00F338E0">
              <w:t>Quality assurance systems</w:t>
            </w:r>
          </w:p>
          <w:p w:rsidR="00000000" w:rsidRPr="00F338E0" w:rsidP="00F338E0">
            <w:pPr>
              <w:pStyle w:val="ListBullet"/>
            </w:pPr>
            <w:r w:rsidRPr="00F338E0">
              <w:t>Requirements</w:t>
            </w:r>
          </w:p>
          <w:p w:rsidR="00000000" w:rsidRPr="00F338E0" w:rsidP="00F338E0">
            <w:pPr>
              <w:pStyle w:val="ListBullet"/>
            </w:pPr>
            <w:r w:rsidRPr="00F338E0">
              <w:t>Testing procedures</w:t>
            </w:r>
          </w:p>
          <w:p w:rsidR="00000000" w:rsidRPr="00F338E0" w:rsidP="00F338E0">
            <w:pPr>
              <w:pStyle w:val="ListBullet"/>
            </w:pPr>
            <w:r w:rsidRPr="00F338E0">
              <w:t>Work clearance systems</w:t>
            </w:r>
          </w:p>
        </w:tc>
      </w:tr>
    </w:tbl>
    <w:p w:rsidR="00EB6DEA" w:rsidP="00F338E0">
      <w:pPr>
        <w:pStyle w:val="BodyText"/>
      </w:pPr>
    </w:p>
    <w:p w:rsidR="00EB6DEA" w:rsidP="00F338E0">
      <w:pPr>
        <w:pStyle w:val="BodyText"/>
      </w:pPr>
    </w:p>
    <w:p w:rsidR="00000000" w:rsidRPr="00F338E0" w:rsidP="00F338E0">
      <w:pPr>
        <w:pStyle w:val="Heading1"/>
      </w:pPr>
      <w:bookmarkStart w:id="12" w:name="O_297238"/>
      <w:bookmarkEnd w:id="12"/>
      <w:r w:rsidRPr="00F338E0">
        <w:t>Unit Sector(s)</w:t>
      </w:r>
    </w:p>
    <w:p w:rsidR="00000000" w:rsidRPr="00F338E0" w:rsidP="00F338E0">
      <w:pPr>
        <w:pStyle w:val="BodyText"/>
      </w:pPr>
      <w:r w:rsidRPr="00F338E0">
        <w:t>Not Applicable</w:t>
      </w:r>
    </w:p>
    <w:p w:rsidR="00000000" w:rsidRPr="00F338E0" w:rsidP="00F338E0">
      <w:pPr>
        <w:pStyle w:val="AllowPageBreak"/>
      </w:pPr>
    </w:p>
    <w:p w:rsidR="00000000" w:rsidRPr="00F338E0" w:rsidP="00F338E0">
      <w:pPr>
        <w:pStyle w:val="Heading1"/>
      </w:pPr>
      <w:bookmarkStart w:id="13" w:name="O_231959"/>
      <w:bookmarkEnd w:id="13"/>
      <w:r w:rsidRPr="00F338E0">
        <w:t>Custom Content Section</w:t>
      </w:r>
    </w:p>
    <w:tbl>
      <w:tblPr>
        <w:tblW w:w="0" w:type="auto"/>
        <w:tblLayout w:type="fixed"/>
        <w:tblCellMar>
          <w:left w:w="62" w:type="dxa"/>
          <w:right w:w="62" w:type="dxa"/>
        </w:tblCellMar>
        <w:tblLook w:val="0000"/>
      </w:tblPr>
      <w:tblGrid>
        <w:gridCol w:w="1451"/>
        <w:gridCol w:w="1182"/>
        <w:gridCol w:w="1738"/>
        <w:gridCol w:w="1182"/>
        <w:gridCol w:w="1719"/>
        <w:gridCol w:w="1188"/>
      </w:tblGrid>
      <w:tr w:rsidTr="00EB6DE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2</w:t>
            </w:r>
            <w:r w:rsidRPr="00F338E0">
              <w:t>.</w:t>
            </w:r>
            <w:r w:rsidRPr="00F338E0">
              <w:rPr>
                <w:rStyle w:val="SpecialBold"/>
              </w:rPr>
              <w:t>2</w:t>
            </w:r>
            <w:r w:rsidRPr="00F338E0">
              <w:t xml:space="preserve">) </w:t>
            </w:r>
            <w:r w:rsidRPr="00F338E0">
              <w:rPr>
                <w:rStyle w:val="SpecialBold"/>
              </w:rPr>
              <w:t>Literacy and numeracy skills</w:t>
            </w:r>
          </w:p>
          <w:p w:rsidR="00000000" w:rsidP="00F338E0">
            <w:pPr>
              <w:pStyle w:val="BodyText"/>
              <w:rPr>
                <w:lang w:val="en-NZ"/>
              </w:rPr>
            </w:pPr>
            <w:r w:rsidRPr="00F338E0">
              <w:t>Participants are best equipped to achieve this unit if they have reading, writing and numeracy skills indicated by the following scales. Description of each scale is given in Volume 2, Part 3 "Literacy and Numeracy"</w:t>
            </w:r>
          </w:p>
        </w:tc>
      </w:tr>
      <w:tr w:rsidTr="00EB6DEA">
        <w:tblPrEx>
          <w:tblW w:w="0" w:type="auto"/>
          <w:tblLayout w:type="fixed"/>
          <w:tblCellMar>
            <w:left w:w="62" w:type="dxa"/>
            <w:right w:w="62" w:type="dxa"/>
          </w:tblCellMar>
          <w:tblLook w:val="0000"/>
        </w:tblPrEx>
        <w:tc>
          <w:tcPr>
            <w:tcW w:w="1451"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Reading</w:t>
            </w:r>
          </w:p>
        </w:tc>
        <w:tc>
          <w:tcPr>
            <w:tcW w:w="1182"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5</w:t>
            </w:r>
          </w:p>
        </w:tc>
        <w:tc>
          <w:tcPr>
            <w:tcW w:w="1738"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Writing</w:t>
            </w:r>
          </w:p>
        </w:tc>
        <w:tc>
          <w:tcPr>
            <w:tcW w:w="1182"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5</w:t>
            </w:r>
          </w:p>
        </w:tc>
        <w:tc>
          <w:tcPr>
            <w:tcW w:w="1719"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t>Numeracy</w:t>
            </w:r>
          </w:p>
        </w:tc>
        <w:tc>
          <w:tcPr>
            <w:tcW w:w="1188"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t>5</w:t>
            </w:r>
          </w:p>
        </w:tc>
      </w:tr>
    </w:tbl>
    <w:p w:rsidR="00EB6DEA" w:rsidP="00F338E0">
      <w:pPr>
        <w:pStyle w:val="BodyText"/>
      </w:pPr>
    </w:p>
    <w:p w:rsidR="00EB6DEA" w:rsidP="00F338E0">
      <w:pPr>
        <w:pStyle w:val="BodyText"/>
      </w:pPr>
    </w:p>
    <w:p w:rsidR="00000000" w:rsidRPr="00F338E0" w:rsidP="00F338E0">
      <w:pPr>
        <w:pStyle w:val="Heading1"/>
      </w:pPr>
      <w:bookmarkStart w:id="14" w:name="O_231962"/>
      <w:bookmarkEnd w:id="14"/>
      <w:r w:rsidRPr="00F338E0">
        <w:t>Competency Field</w:t>
      </w:r>
    </w:p>
    <w:tbl>
      <w:tblPr>
        <w:tblW w:w="0" w:type="auto"/>
        <w:tblLayout w:type="fixed"/>
        <w:tblCellMar>
          <w:left w:w="62" w:type="dxa"/>
          <w:right w:w="62" w:type="dxa"/>
        </w:tblCellMar>
        <w:tblLook w:val="0000"/>
      </w:tblPr>
      <w:tblGrid>
        <w:gridCol w:w="2697"/>
        <w:gridCol w:w="5763"/>
      </w:tblGrid>
      <w:tr w:rsidTr="00EB6DEA">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F338E0">
            <w:pPr>
              <w:pStyle w:val="BodyText"/>
              <w:rPr>
                <w:lang w:val="en-NZ"/>
              </w:rPr>
            </w:pPr>
            <w:r w:rsidRPr="00F338E0">
              <w:rPr>
                <w:rStyle w:val="SpecialBold"/>
              </w:rPr>
              <w:t>5</w:t>
            </w:r>
            <w:r w:rsidRPr="00F338E0">
              <w:t>)</w:t>
            </w:r>
          </w:p>
        </w:tc>
      </w:tr>
      <w:tr w:rsidTr="00EB6DEA">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F338E0" w:rsidP="00F338E0">
            <w:pPr>
              <w:pStyle w:val="BodyText"/>
            </w:pPr>
            <w:r w:rsidRPr="00F338E0">
              <w:t>System Operation Units</w:t>
            </w:r>
          </w:p>
        </w:tc>
      </w:tr>
    </w:tbl>
    <w:p w:rsidR="00EB6DEA" w:rsidP="00F338E0">
      <w:pPr>
        <w:pStyle w:val="BodyText"/>
      </w:pPr>
    </w:p>
    <w:p w:rsidR="00EB6DEA" w:rsidP="00F338E0">
      <w:pPr>
        <w:pStyle w:val="BodyText"/>
      </w:pPr>
    </w:p>
    <w:p w:rsidR="00000000" w:rsidRPr="00F338E0" w:rsidP="00F338E0"/>
    <w:sectPr w:rsidSect="00F338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DEA" w:rsidP="00EB6D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DEA" w:rsidP="00F338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B6DEA" w:rsidP="00F338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B6DEA" w:rsidP="00F338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DEA" w:rsidP="00EB6D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DEA" w:rsidP="00F338E0">
    <w:pPr>
      <w:pStyle w:val="Header"/>
      <w:framePr w:wrap="around"/>
    </w:pPr>
    <w:r>
      <w:fldChar w:fldCharType="begin"/>
    </w:r>
    <w:r>
      <w:instrText xml:space="preserve"> TITLE   \* MERGEFORMAT </w:instrText>
    </w:r>
    <w:r>
      <w:fldChar w:fldCharType="separate"/>
    </w:r>
    <w:r>
      <w:t>UETTDRSO09B Coordinate LV distribution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B6DEA" w:rsidP="00F338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165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325D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9A6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8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38E0"/>
    <w:pPr>
      <w:spacing w:before="360" w:after="60"/>
      <w:outlineLvl w:val="0"/>
    </w:pPr>
    <w:rPr>
      <w:sz w:val="32"/>
    </w:rPr>
  </w:style>
  <w:style w:type="paragraph" w:styleId="Heading2">
    <w:name w:val="heading 2"/>
    <w:basedOn w:val="HeadingBase"/>
    <w:next w:val="BodyText"/>
    <w:link w:val="Heading2Char"/>
    <w:qFormat/>
    <w:rsid w:val="00F338E0"/>
    <w:pPr>
      <w:keepLines/>
      <w:spacing w:before="240" w:after="120"/>
      <w:outlineLvl w:val="1"/>
    </w:pPr>
    <w:rPr>
      <w:sz w:val="28"/>
      <w:szCs w:val="40"/>
    </w:rPr>
  </w:style>
  <w:style w:type="paragraph" w:styleId="Heading3">
    <w:name w:val="heading 3"/>
    <w:basedOn w:val="HeadingBase"/>
    <w:next w:val="BodyText"/>
    <w:link w:val="Heading3Char"/>
    <w:qFormat/>
    <w:rsid w:val="00F338E0"/>
    <w:pPr>
      <w:spacing w:before="180" w:after="120"/>
      <w:outlineLvl w:val="2"/>
    </w:pPr>
    <w:rPr>
      <w:spacing w:val="-10"/>
      <w:kern w:val="32"/>
    </w:rPr>
  </w:style>
  <w:style w:type="paragraph" w:styleId="Heading4">
    <w:name w:val="heading 4"/>
    <w:basedOn w:val="HeadingBase"/>
    <w:next w:val="BodyText"/>
    <w:link w:val="Heading4Char"/>
    <w:qFormat/>
    <w:rsid w:val="00F338E0"/>
    <w:pPr>
      <w:spacing w:before="160" w:after="120"/>
      <w:outlineLvl w:val="3"/>
    </w:pPr>
    <w:rPr>
      <w:sz w:val="22"/>
    </w:rPr>
  </w:style>
  <w:style w:type="paragraph" w:styleId="Heading5">
    <w:name w:val="heading 5"/>
    <w:basedOn w:val="HeadingBase"/>
    <w:next w:val="Normal"/>
    <w:link w:val="Heading5Char"/>
    <w:qFormat/>
    <w:rsid w:val="00F338E0"/>
    <w:pPr>
      <w:spacing w:before="80"/>
      <w:outlineLvl w:val="4"/>
    </w:pPr>
    <w:rPr>
      <w:color w:val="918585"/>
      <w:sz w:val="20"/>
    </w:rPr>
  </w:style>
  <w:style w:type="paragraph" w:styleId="Heading6">
    <w:name w:val="heading 6"/>
    <w:basedOn w:val="HeadingBase"/>
    <w:next w:val="Normal"/>
    <w:link w:val="Heading6Char"/>
    <w:qFormat/>
    <w:rsid w:val="00F338E0"/>
    <w:pPr>
      <w:spacing w:before="60"/>
      <w:outlineLvl w:val="5"/>
    </w:pPr>
    <w:rPr>
      <w:color w:val="918585"/>
      <w:sz w:val="20"/>
    </w:rPr>
  </w:style>
  <w:style w:type="paragraph" w:styleId="Heading7">
    <w:name w:val="heading 7"/>
    <w:basedOn w:val="Normal"/>
    <w:next w:val="Normal"/>
    <w:link w:val="Heading7Char"/>
    <w:qFormat/>
    <w:rsid w:val="00F338E0"/>
    <w:pPr>
      <w:ind w:left="720"/>
      <w:outlineLvl w:val="6"/>
    </w:pPr>
    <w:rPr>
      <w:i/>
    </w:rPr>
  </w:style>
  <w:style w:type="paragraph" w:styleId="Heading8">
    <w:name w:val="heading 8"/>
    <w:basedOn w:val="Normal"/>
    <w:next w:val="Normal"/>
    <w:link w:val="Heading8Char"/>
    <w:qFormat/>
    <w:rsid w:val="00F338E0"/>
    <w:pPr>
      <w:ind w:left="720"/>
      <w:outlineLvl w:val="7"/>
    </w:pPr>
    <w:rPr>
      <w:i/>
    </w:rPr>
  </w:style>
  <w:style w:type="paragraph" w:styleId="Heading9">
    <w:name w:val="heading 9"/>
    <w:basedOn w:val="Normal"/>
    <w:next w:val="Normal"/>
    <w:link w:val="Heading9Char"/>
    <w:qFormat/>
    <w:rsid w:val="00F338E0"/>
    <w:pPr>
      <w:ind w:left="720"/>
      <w:outlineLvl w:val="8"/>
    </w:pPr>
    <w:rPr>
      <w:i/>
    </w:rPr>
  </w:style>
  <w:style w:type="character" w:default="1" w:styleId="DefaultParagraphFont">
    <w:name w:val="Default Paragraph Font"/>
    <w:uiPriority w:val="1"/>
    <w:unhideWhenUsed/>
    <w:rsid w:val="00F338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8E0"/>
  </w:style>
  <w:style w:type="character" w:customStyle="1" w:styleId="Heading1Char">
    <w:name w:val="Heading 1 Char"/>
    <w:basedOn w:val="DefaultParagraphFont"/>
    <w:link w:val="Heading1"/>
    <w:rsid w:val="00F338E0"/>
    <w:rPr>
      <w:rFonts w:ascii="Times New Roman" w:eastAsia="Times New Roman" w:hAnsi="Times New Roman" w:cs="Times New Roman"/>
      <w:b/>
      <w:sz w:val="32"/>
      <w:szCs w:val="20"/>
      <w:lang w:eastAsia="en-US"/>
    </w:rPr>
  </w:style>
  <w:style w:type="paragraph" w:styleId="BodyText">
    <w:name w:val="Body Text"/>
    <w:basedOn w:val="Normal"/>
    <w:link w:val="BodyTextChar"/>
    <w:rsid w:val="00F338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8E0"/>
    <w:rPr>
      <w:rFonts w:ascii="Times New Roman" w:eastAsia="Times New Roman" w:hAnsi="Times New Roman" w:cs="Times New Roman"/>
      <w:sz w:val="24"/>
      <w:lang w:val="en-US" w:eastAsia="en-US"/>
    </w:rPr>
  </w:style>
  <w:style w:type="paragraph" w:styleId="Footer">
    <w:name w:val="footer"/>
    <w:basedOn w:val="Normal"/>
    <w:link w:val="FooterChar"/>
    <w:rsid w:val="00F338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8E0"/>
    <w:rPr>
      <w:rFonts w:ascii="Times New Roman" w:eastAsia="Times New Roman" w:hAnsi="Times New Roman" w:cs="Times New Roman"/>
      <w:sz w:val="16"/>
      <w:lang w:val="en-US" w:eastAsia="en-US"/>
    </w:rPr>
  </w:style>
  <w:style w:type="paragraph" w:styleId="ListBullet">
    <w:name w:val="List Bullet"/>
    <w:basedOn w:val="List"/>
    <w:rsid w:val="00F338E0"/>
    <w:pPr>
      <w:numPr>
        <w:numId w:val="13"/>
      </w:numPr>
      <w:tabs>
        <w:tab w:val="clear" w:pos="340"/>
      </w:tabs>
      <w:spacing w:before="40" w:after="40"/>
    </w:pPr>
  </w:style>
  <w:style w:type="character" w:customStyle="1" w:styleId="SpecialBold">
    <w:name w:val="Special Bold"/>
    <w:basedOn w:val="DefaultParagraphFont"/>
    <w:rsid w:val="00F338E0"/>
    <w:rPr>
      <w:b/>
      <w:spacing w:val="0"/>
    </w:rPr>
  </w:style>
  <w:style w:type="paragraph" w:styleId="ListBullet2">
    <w:name w:val="List Bullet 2"/>
    <w:basedOn w:val="List2"/>
    <w:rsid w:val="00F338E0"/>
    <w:pPr>
      <w:numPr>
        <w:numId w:val="14"/>
      </w:numPr>
      <w:tabs>
        <w:tab w:val="clear" w:pos="680"/>
      </w:tabs>
    </w:pPr>
  </w:style>
  <w:style w:type="paragraph" w:styleId="Header">
    <w:name w:val="header"/>
    <w:basedOn w:val="Normal"/>
    <w:link w:val="HeaderChar"/>
    <w:rsid w:val="00F338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8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38E0"/>
    <w:pPr>
      <w:spacing w:before="240" w:after="120"/>
      <w:outlineLvl w:val="0"/>
    </w:pPr>
    <w:rPr>
      <w:rFonts w:ascii="Times New Roman" w:hAnsi="Times New Roman"/>
      <w:b/>
      <w:sz w:val="28"/>
    </w:rPr>
  </w:style>
  <w:style w:type="paragraph" w:customStyle="1" w:styleId="AllowPageBreak">
    <w:name w:val="AllowPageBreak"/>
    <w:rsid w:val="00F338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38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8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8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8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8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8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38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38E0"/>
    <w:rPr>
      <w:rFonts w:ascii="Courier New" w:eastAsia="Times New Roman" w:hAnsi="Courier New" w:cs="Times New Roman"/>
      <w:i/>
      <w:szCs w:val="20"/>
      <w:lang w:val="en-US" w:eastAsia="en-US"/>
    </w:rPr>
  </w:style>
  <w:style w:type="paragraph" w:customStyle="1" w:styleId="HeadingBase">
    <w:name w:val="Heading Base"/>
    <w:rsid w:val="00F338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8E0"/>
    <w:pPr>
      <w:tabs>
        <w:tab w:val="right" w:leader="dot" w:pos="9072"/>
      </w:tabs>
      <w:ind w:left="567"/>
    </w:pPr>
    <w:rPr>
      <w:szCs w:val="22"/>
    </w:rPr>
  </w:style>
  <w:style w:type="paragraph" w:customStyle="1" w:styleId="TOCBase">
    <w:name w:val="TOC Base"/>
    <w:rsid w:val="00F338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8E0"/>
    <w:pPr>
      <w:tabs>
        <w:tab w:val="right" w:leader="dot" w:pos="9072"/>
      </w:tabs>
      <w:spacing w:before="40" w:after="40"/>
      <w:ind w:left="284"/>
    </w:pPr>
    <w:rPr>
      <w:rFonts w:ascii="Times New Roman" w:hAnsi="Times New Roman"/>
    </w:rPr>
  </w:style>
  <w:style w:type="paragraph" w:styleId="TOC1">
    <w:name w:val="toc 1"/>
    <w:basedOn w:val="TOCBase"/>
    <w:next w:val="Normal"/>
    <w:rsid w:val="00F338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38E0"/>
    <w:pPr>
      <w:spacing w:before="5040"/>
      <w:jc w:val="center"/>
    </w:pPr>
    <w:rPr>
      <w:sz w:val="48"/>
      <w:szCs w:val="72"/>
      <w:lang w:val="en-US"/>
    </w:rPr>
  </w:style>
  <w:style w:type="character" w:customStyle="1" w:styleId="TitleChar">
    <w:name w:val="Title Char"/>
    <w:basedOn w:val="DefaultParagraphFont"/>
    <w:link w:val="Title"/>
    <w:rsid w:val="00F338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8E0"/>
    <w:pPr>
      <w:tabs>
        <w:tab w:val="left" w:pos="3600"/>
        <w:tab w:val="left" w:pos="3958"/>
      </w:tabs>
    </w:pPr>
  </w:style>
  <w:style w:type="paragraph" w:styleId="List">
    <w:name w:val="List"/>
    <w:basedOn w:val="BodyText"/>
    <w:next w:val="BodyText"/>
    <w:rsid w:val="00F338E0"/>
    <w:pPr>
      <w:tabs>
        <w:tab w:val="left" w:pos="340"/>
      </w:tabs>
      <w:spacing w:before="60" w:after="60"/>
      <w:ind w:left="340" w:hanging="340"/>
    </w:pPr>
  </w:style>
  <w:style w:type="paragraph" w:customStyle="1" w:styleId="Note">
    <w:name w:val="Note"/>
    <w:basedOn w:val="BodyText"/>
    <w:rsid w:val="00F338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8E0"/>
    <w:pPr>
      <w:framePr w:wrap="auto" w:hAnchor="text" w:y="6049"/>
    </w:pPr>
    <w:rPr>
      <w:color w:val="000000"/>
      <w:sz w:val="40"/>
    </w:rPr>
  </w:style>
  <w:style w:type="paragraph" w:customStyle="1" w:styleId="TOCTitle">
    <w:name w:val="TOCTitle"/>
    <w:basedOn w:val="Heading1"/>
    <w:rsid w:val="00F338E0"/>
    <w:pPr>
      <w:spacing w:after="240"/>
      <w:jc w:val="center"/>
      <w:outlineLvl w:val="9"/>
    </w:pPr>
    <w:rPr>
      <w:caps/>
    </w:rPr>
  </w:style>
  <w:style w:type="paragraph" w:customStyle="1" w:styleId="Version">
    <w:name w:val="Version"/>
    <w:rsid w:val="00F338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38E0"/>
    <w:pPr>
      <w:keepNext w:val="0"/>
      <w:tabs>
        <w:tab w:val="right" w:pos="4176"/>
      </w:tabs>
      <w:ind w:left="198" w:hanging="198"/>
    </w:pPr>
    <w:rPr>
      <w:rFonts w:ascii="Garamond" w:hAnsi="Garamond"/>
    </w:rPr>
  </w:style>
  <w:style w:type="paragraph" w:styleId="IndexHeading">
    <w:name w:val="index heading"/>
    <w:basedOn w:val="Normal"/>
    <w:next w:val="Index1"/>
    <w:semiHidden/>
    <w:rsid w:val="00F338E0"/>
    <w:pPr>
      <w:spacing w:before="120" w:after="120"/>
    </w:pPr>
    <w:rPr>
      <w:rFonts w:ascii="Arial" w:hAnsi="Arial"/>
      <w:b/>
      <w:color w:val="918585"/>
      <w:sz w:val="24"/>
    </w:rPr>
  </w:style>
  <w:style w:type="paragraph" w:customStyle="1" w:styleId="Chapter">
    <w:name w:val="Chapter"/>
    <w:basedOn w:val="Normal"/>
    <w:rsid w:val="00F338E0"/>
    <w:pPr>
      <w:spacing w:before="240"/>
    </w:pPr>
    <w:rPr>
      <w:rFonts w:ascii="Times New Roman" w:hAnsi="Times New Roman"/>
      <w:smallCaps/>
      <w:spacing w:val="80"/>
      <w:sz w:val="28"/>
    </w:rPr>
  </w:style>
  <w:style w:type="paragraph" w:customStyle="1" w:styleId="InChapter">
    <w:name w:val="InChapter"/>
    <w:basedOn w:val="Heading3"/>
    <w:rsid w:val="00F338E0"/>
    <w:pPr>
      <w:spacing w:after="240"/>
      <w:outlineLvl w:val="9"/>
    </w:pPr>
    <w:rPr>
      <w:noProof/>
    </w:rPr>
  </w:style>
  <w:style w:type="paragraph" w:styleId="Index2">
    <w:name w:val="index 2"/>
    <w:basedOn w:val="Normal"/>
    <w:next w:val="Normal"/>
    <w:semiHidden/>
    <w:rsid w:val="00F338E0"/>
    <w:pPr>
      <w:tabs>
        <w:tab w:val="right" w:pos="4176"/>
      </w:tabs>
      <w:ind w:left="568" w:hanging="284"/>
    </w:pPr>
    <w:rPr>
      <w:rFonts w:ascii="Garamond" w:hAnsi="Garamond"/>
    </w:rPr>
  </w:style>
  <w:style w:type="paragraph" w:customStyle="1" w:styleId="Byline">
    <w:name w:val="Byline"/>
    <w:rsid w:val="00F338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8E0"/>
    <w:pPr>
      <w:tabs>
        <w:tab w:val="clear" w:pos="3600"/>
        <w:tab w:val="clear" w:pos="3958"/>
      </w:tabs>
      <w:jc w:val="right"/>
    </w:pPr>
  </w:style>
  <w:style w:type="character" w:styleId="Emphasis">
    <w:name w:val="Emphasis"/>
    <w:basedOn w:val="DefaultParagraphFont"/>
    <w:qFormat/>
    <w:rsid w:val="00F338E0"/>
    <w:rPr>
      <w:i/>
    </w:rPr>
  </w:style>
  <w:style w:type="paragraph" w:styleId="Caption">
    <w:name w:val="caption"/>
    <w:basedOn w:val="BodyText"/>
    <w:next w:val="Normal"/>
    <w:qFormat/>
    <w:rsid w:val="00F338E0"/>
    <w:pPr>
      <w:framePr w:w="2268" w:hSpace="181" w:vSpace="181" w:wrap="around" w:vAnchor="text" w:hAnchor="page" w:x="1135" w:y="285" w:anchorLock="1"/>
    </w:pPr>
    <w:rPr>
      <w:i/>
    </w:rPr>
  </w:style>
  <w:style w:type="paragraph" w:customStyle="1" w:styleId="MiniTOCTitle">
    <w:name w:val="MiniTOCTitle"/>
    <w:basedOn w:val="Heading4"/>
    <w:rsid w:val="00F338E0"/>
    <w:pPr>
      <w:spacing w:before="240"/>
      <w:outlineLvl w:val="9"/>
    </w:pPr>
    <w:rPr>
      <w:noProof/>
      <w:sz w:val="24"/>
    </w:rPr>
  </w:style>
  <w:style w:type="paragraph" w:customStyle="1" w:styleId="MiniTOCItem">
    <w:name w:val="MiniTOCItem"/>
    <w:basedOn w:val="ListBullet"/>
    <w:rsid w:val="00F338E0"/>
    <w:pPr>
      <w:numPr>
        <w:numId w:val="0"/>
      </w:numPr>
      <w:tabs>
        <w:tab w:val="right" w:leader="dot" w:pos="6521"/>
      </w:tabs>
      <w:spacing w:before="0" w:after="0"/>
    </w:pPr>
  </w:style>
  <w:style w:type="paragraph" w:customStyle="1" w:styleId="TOFTitle">
    <w:name w:val="TOFTitle"/>
    <w:basedOn w:val="TOCTitle"/>
    <w:rsid w:val="00F338E0"/>
  </w:style>
  <w:style w:type="paragraph" w:styleId="TableofFigures">
    <w:name w:val="table of figures"/>
    <w:basedOn w:val="Normal"/>
    <w:next w:val="Normal"/>
    <w:semiHidden/>
    <w:rsid w:val="00F338E0"/>
    <w:pPr>
      <w:tabs>
        <w:tab w:val="right" w:leader="dot" w:pos="9072"/>
      </w:tabs>
      <w:ind w:left="970" w:hanging="403"/>
    </w:pPr>
    <w:rPr>
      <w:rFonts w:ascii="Times New Roman" w:hAnsi="Times New Roman"/>
      <w:b/>
    </w:rPr>
  </w:style>
  <w:style w:type="paragraph" w:styleId="ListNumber">
    <w:name w:val="List Number"/>
    <w:basedOn w:val="List"/>
    <w:rsid w:val="00F338E0"/>
    <w:pPr>
      <w:numPr>
        <w:numId w:val="11"/>
      </w:numPr>
    </w:pPr>
  </w:style>
  <w:style w:type="character" w:customStyle="1" w:styleId="WingdingSymbols">
    <w:name w:val="Wingding Symbols"/>
    <w:rsid w:val="00F338E0"/>
    <w:rPr>
      <w:rFonts w:ascii="Wingdings" w:hAnsi="Wingdings"/>
    </w:rPr>
  </w:style>
  <w:style w:type="paragraph" w:customStyle="1" w:styleId="TableHeading">
    <w:name w:val="Table Heading"/>
    <w:basedOn w:val="HeadingBase"/>
    <w:rsid w:val="00F338E0"/>
    <w:pPr>
      <w:keepLines/>
      <w:pBdr>
        <w:bottom w:val="single" w:sz="6" w:space="1" w:color="918585"/>
      </w:pBdr>
      <w:spacing w:before="240"/>
    </w:pPr>
  </w:style>
  <w:style w:type="character" w:customStyle="1" w:styleId="HotSpot">
    <w:name w:val="HotSpot"/>
    <w:rsid w:val="00F338E0"/>
    <w:rPr>
      <w:color w:val="0033CC"/>
      <w:u w:val="none"/>
    </w:rPr>
  </w:style>
  <w:style w:type="paragraph" w:customStyle="1" w:styleId="BodyTextRight">
    <w:name w:val="Body Text Right"/>
    <w:basedOn w:val="BodyText"/>
    <w:rsid w:val="00F338E0"/>
    <w:pPr>
      <w:spacing w:before="0" w:after="0"/>
      <w:jc w:val="right"/>
    </w:pPr>
  </w:style>
  <w:style w:type="paragraph" w:styleId="Index3">
    <w:name w:val="index 3"/>
    <w:basedOn w:val="ListNumber2"/>
    <w:next w:val="Normal"/>
    <w:semiHidden/>
    <w:rsid w:val="00F338E0"/>
    <w:pPr>
      <w:numPr>
        <w:numId w:val="0"/>
      </w:numPr>
      <w:tabs>
        <w:tab w:val="right" w:leader="dot" w:pos="4176"/>
      </w:tabs>
    </w:pPr>
  </w:style>
  <w:style w:type="paragraph" w:styleId="ListNumber2">
    <w:name w:val="List Number 2"/>
    <w:basedOn w:val="List2"/>
    <w:rsid w:val="00F338E0"/>
    <w:pPr>
      <w:numPr>
        <w:numId w:val="10"/>
      </w:numPr>
      <w:tabs>
        <w:tab w:val="clear" w:pos="1060"/>
      </w:tabs>
    </w:pPr>
  </w:style>
  <w:style w:type="paragraph" w:customStyle="1" w:styleId="MarginNote">
    <w:name w:val="Margin Note"/>
    <w:basedOn w:val="BodyText"/>
    <w:rsid w:val="00F338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8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8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38E0"/>
    <w:rPr>
      <w:sz w:val="32"/>
    </w:rPr>
  </w:style>
  <w:style w:type="paragraph" w:customStyle="1" w:styleId="HeadingProcedure">
    <w:name w:val="Heading Procedure"/>
    <w:basedOn w:val="HeadingBase"/>
    <w:next w:val="Normal"/>
    <w:rsid w:val="00F338E0"/>
    <w:pPr>
      <w:tabs>
        <w:tab w:val="left" w:pos="0"/>
      </w:tabs>
      <w:spacing w:before="120" w:after="60"/>
    </w:pPr>
    <w:rPr>
      <w:i/>
      <w:color w:val="918585"/>
      <w:sz w:val="22"/>
    </w:rPr>
  </w:style>
  <w:style w:type="paragraph" w:customStyle="1" w:styleId="TableBodyText">
    <w:name w:val="Table Body Text"/>
    <w:basedOn w:val="BodyText"/>
    <w:rsid w:val="00F338E0"/>
    <w:pPr>
      <w:spacing w:before="60" w:after="60"/>
    </w:pPr>
  </w:style>
  <w:style w:type="paragraph" w:styleId="ListContinue">
    <w:name w:val="List Continue"/>
    <w:basedOn w:val="List"/>
    <w:rsid w:val="00F338E0"/>
    <w:pPr>
      <w:ind w:firstLine="0"/>
    </w:pPr>
  </w:style>
  <w:style w:type="paragraph" w:customStyle="1" w:styleId="ListNote">
    <w:name w:val="List Note"/>
    <w:basedOn w:val="List"/>
    <w:rsid w:val="00F338E0"/>
    <w:pPr>
      <w:pBdr>
        <w:top w:val="single" w:sz="6" w:space="2" w:color="918585"/>
        <w:bottom w:val="single" w:sz="6" w:space="2" w:color="918585"/>
      </w:pBdr>
      <w:tabs>
        <w:tab w:val="left" w:pos="1021"/>
      </w:tabs>
      <w:ind w:firstLine="0"/>
    </w:pPr>
  </w:style>
  <w:style w:type="paragraph" w:customStyle="1" w:styleId="Warning">
    <w:name w:val="Warning"/>
    <w:basedOn w:val="BodyText"/>
    <w:rsid w:val="00F338E0"/>
    <w:pPr>
      <w:shd w:val="clear" w:color="auto" w:fill="D9D9D9"/>
      <w:tabs>
        <w:tab w:val="left" w:pos="992"/>
      </w:tabs>
      <w:ind w:left="119" w:right="119"/>
    </w:pPr>
    <w:rPr>
      <w:sz w:val="20"/>
    </w:rPr>
  </w:style>
  <w:style w:type="paragraph" w:customStyle="1" w:styleId="MarginIcons">
    <w:name w:val="Margin Icons"/>
    <w:basedOn w:val="BodyText"/>
    <w:rsid w:val="00F338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8E0"/>
    <w:rPr>
      <w:rFonts w:ascii="Courier New" w:hAnsi="Courier New"/>
    </w:rPr>
  </w:style>
  <w:style w:type="paragraph" w:customStyle="1" w:styleId="NoteBullet">
    <w:name w:val="Note Bullet"/>
    <w:basedOn w:val="Note"/>
    <w:rsid w:val="00F338E0"/>
    <w:pPr>
      <w:tabs>
        <w:tab w:val="clear" w:pos="680"/>
      </w:tabs>
      <w:spacing w:before="60" w:after="60"/>
    </w:pPr>
  </w:style>
  <w:style w:type="paragraph" w:customStyle="1" w:styleId="SubHeading2">
    <w:name w:val="SubHeading2"/>
    <w:basedOn w:val="HeadingBase"/>
    <w:rsid w:val="00F338E0"/>
    <w:pPr>
      <w:spacing w:before="240" w:after="60"/>
    </w:pPr>
    <w:rPr>
      <w:sz w:val="20"/>
    </w:rPr>
  </w:style>
  <w:style w:type="paragraph" w:customStyle="1" w:styleId="SubHeading1">
    <w:name w:val="SubHeading1"/>
    <w:basedOn w:val="HeadingBase"/>
    <w:rsid w:val="00F338E0"/>
    <w:pPr>
      <w:spacing w:before="240" w:after="60"/>
    </w:pPr>
    <w:rPr>
      <w:color w:val="918585"/>
      <w:sz w:val="22"/>
    </w:rPr>
  </w:style>
  <w:style w:type="paragraph" w:customStyle="1" w:styleId="SideHeading">
    <w:name w:val="Side Heading"/>
    <w:basedOn w:val="HeadingBase"/>
    <w:rsid w:val="00F338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8E0"/>
    <w:pPr>
      <w:numPr>
        <w:numId w:val="12"/>
      </w:numPr>
    </w:pPr>
  </w:style>
  <w:style w:type="paragraph" w:styleId="PlainText">
    <w:name w:val="Plain Text"/>
    <w:basedOn w:val="Normal"/>
    <w:link w:val="PlainTextChar"/>
    <w:rsid w:val="00F338E0"/>
    <w:rPr>
      <w:sz w:val="20"/>
    </w:rPr>
  </w:style>
  <w:style w:type="character" w:customStyle="1" w:styleId="PlainTextChar">
    <w:name w:val="Plain Text Char"/>
    <w:basedOn w:val="DefaultParagraphFont"/>
    <w:link w:val="PlainText"/>
    <w:rsid w:val="00F338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38E0"/>
    <w:rPr>
      <w:b/>
      <w:smallCaps/>
    </w:rPr>
  </w:style>
  <w:style w:type="paragraph" w:customStyle="1" w:styleId="TableListNumber">
    <w:name w:val="Table List Number"/>
    <w:basedOn w:val="ListNumber"/>
    <w:rsid w:val="00F338E0"/>
    <w:pPr>
      <w:numPr>
        <w:numId w:val="0"/>
      </w:numPr>
    </w:pPr>
  </w:style>
  <w:style w:type="paragraph" w:styleId="TOC4">
    <w:name w:val="toc 4"/>
    <w:basedOn w:val="TOCBase"/>
    <w:next w:val="Normal"/>
    <w:semiHidden/>
    <w:rsid w:val="00F338E0"/>
    <w:pPr>
      <w:tabs>
        <w:tab w:val="right" w:leader="dot" w:pos="9071"/>
      </w:tabs>
      <w:ind w:left="1701"/>
    </w:pPr>
  </w:style>
  <w:style w:type="paragraph" w:customStyle="1" w:styleId="ListAlpha">
    <w:name w:val="List Alpha"/>
    <w:basedOn w:val="List"/>
    <w:rsid w:val="00F338E0"/>
    <w:pPr>
      <w:numPr>
        <w:numId w:val="9"/>
      </w:numPr>
    </w:pPr>
  </w:style>
  <w:style w:type="paragraph" w:customStyle="1" w:styleId="ListAlpha2">
    <w:name w:val="List Alpha 2"/>
    <w:basedOn w:val="List2"/>
    <w:rsid w:val="00F338E0"/>
    <w:pPr>
      <w:numPr>
        <w:numId w:val="8"/>
      </w:numPr>
    </w:pPr>
  </w:style>
  <w:style w:type="paragraph" w:styleId="List2">
    <w:name w:val="List 2"/>
    <w:basedOn w:val="BodyText"/>
    <w:rsid w:val="00F338E0"/>
    <w:pPr>
      <w:tabs>
        <w:tab w:val="left" w:pos="680"/>
      </w:tabs>
      <w:spacing w:before="60" w:after="60"/>
      <w:ind w:left="680" w:hanging="340"/>
    </w:pPr>
  </w:style>
  <w:style w:type="paragraph" w:styleId="List3">
    <w:name w:val="List 3"/>
    <w:basedOn w:val="BodyText"/>
    <w:rsid w:val="00F338E0"/>
    <w:pPr>
      <w:tabs>
        <w:tab w:val="left" w:pos="1021"/>
      </w:tabs>
      <w:spacing w:before="60" w:after="60"/>
      <w:ind w:left="1020" w:hanging="340"/>
    </w:pPr>
  </w:style>
  <w:style w:type="paragraph" w:styleId="List4">
    <w:name w:val="List 4"/>
    <w:basedOn w:val="BodyText"/>
    <w:rsid w:val="00F338E0"/>
    <w:pPr>
      <w:tabs>
        <w:tab w:val="left" w:pos="1361"/>
      </w:tabs>
      <w:spacing w:before="60" w:after="60"/>
      <w:ind w:left="1361" w:hanging="340"/>
    </w:pPr>
  </w:style>
  <w:style w:type="paragraph" w:styleId="List5">
    <w:name w:val="List 5"/>
    <w:basedOn w:val="BodyText"/>
    <w:rsid w:val="00F338E0"/>
    <w:pPr>
      <w:tabs>
        <w:tab w:val="left" w:pos="1701"/>
      </w:tabs>
      <w:spacing w:before="60" w:after="60"/>
      <w:ind w:left="1701" w:hanging="340"/>
    </w:pPr>
  </w:style>
  <w:style w:type="paragraph" w:styleId="ListBullet3">
    <w:name w:val="List Bullet 3"/>
    <w:basedOn w:val="List3"/>
    <w:rsid w:val="00F338E0"/>
    <w:pPr>
      <w:numPr>
        <w:numId w:val="15"/>
      </w:numPr>
      <w:tabs>
        <w:tab w:val="clear" w:pos="1021"/>
      </w:tabs>
      <w:ind w:left="1037" w:hanging="357"/>
    </w:pPr>
  </w:style>
  <w:style w:type="paragraph" w:styleId="ListBullet4">
    <w:name w:val="List Bullet 4"/>
    <w:basedOn w:val="List4"/>
    <w:rsid w:val="00F338E0"/>
    <w:pPr>
      <w:numPr>
        <w:numId w:val="3"/>
      </w:numPr>
    </w:pPr>
  </w:style>
  <w:style w:type="paragraph" w:styleId="ListBullet5">
    <w:name w:val="List Bullet 5"/>
    <w:basedOn w:val="List5"/>
    <w:rsid w:val="00F338E0"/>
    <w:pPr>
      <w:numPr>
        <w:numId w:val="4"/>
      </w:numPr>
    </w:pPr>
  </w:style>
  <w:style w:type="paragraph" w:styleId="ListContinue2">
    <w:name w:val="List Continue 2"/>
    <w:basedOn w:val="List2"/>
    <w:rsid w:val="00F338E0"/>
    <w:pPr>
      <w:ind w:firstLine="0"/>
    </w:pPr>
  </w:style>
  <w:style w:type="paragraph" w:styleId="ListContinue3">
    <w:name w:val="List Continue 3"/>
    <w:basedOn w:val="List3"/>
    <w:rsid w:val="00F338E0"/>
    <w:pPr>
      <w:ind w:left="1021" w:firstLine="0"/>
    </w:pPr>
  </w:style>
  <w:style w:type="paragraph" w:styleId="ListContinue4">
    <w:name w:val="List Continue 4"/>
    <w:basedOn w:val="List4"/>
    <w:rsid w:val="00F338E0"/>
    <w:pPr>
      <w:ind w:firstLine="0"/>
    </w:pPr>
  </w:style>
  <w:style w:type="paragraph" w:styleId="ListContinue5">
    <w:name w:val="List Continue 5"/>
    <w:basedOn w:val="List5"/>
    <w:rsid w:val="00F338E0"/>
    <w:pPr>
      <w:ind w:firstLine="0"/>
    </w:pPr>
  </w:style>
  <w:style w:type="paragraph" w:styleId="ListNumber3">
    <w:name w:val="List Number 3"/>
    <w:basedOn w:val="List3"/>
    <w:rsid w:val="00F338E0"/>
    <w:pPr>
      <w:numPr>
        <w:numId w:val="5"/>
      </w:numPr>
    </w:pPr>
  </w:style>
  <w:style w:type="paragraph" w:styleId="ListNumber4">
    <w:name w:val="List Number 4"/>
    <w:basedOn w:val="List4"/>
    <w:rsid w:val="00F338E0"/>
    <w:pPr>
      <w:numPr>
        <w:numId w:val="6"/>
      </w:numPr>
    </w:pPr>
  </w:style>
  <w:style w:type="paragraph" w:styleId="ListNumber5">
    <w:name w:val="List Number 5"/>
    <w:basedOn w:val="List5"/>
    <w:rsid w:val="00F338E0"/>
    <w:pPr>
      <w:numPr>
        <w:numId w:val="7"/>
      </w:numPr>
    </w:pPr>
  </w:style>
  <w:style w:type="paragraph" w:styleId="BlockText">
    <w:name w:val="Block Text"/>
    <w:basedOn w:val="Normal"/>
    <w:rsid w:val="00F338E0"/>
    <w:pPr>
      <w:spacing w:after="120"/>
      <w:ind w:left="1440" w:right="1440"/>
    </w:pPr>
  </w:style>
  <w:style w:type="character" w:customStyle="1" w:styleId="Subscript">
    <w:name w:val="Subscript"/>
    <w:basedOn w:val="DefaultParagraphFont"/>
    <w:rsid w:val="00F338E0"/>
    <w:rPr>
      <w:sz w:val="16"/>
      <w:vertAlign w:val="subscript"/>
    </w:rPr>
  </w:style>
  <w:style w:type="character" w:customStyle="1" w:styleId="Superscript">
    <w:name w:val="Superscript"/>
    <w:basedOn w:val="DefaultParagraphFont"/>
    <w:rsid w:val="00F338E0"/>
    <w:rPr>
      <w:sz w:val="16"/>
      <w:vertAlign w:val="superscript"/>
    </w:rPr>
  </w:style>
  <w:style w:type="character" w:customStyle="1" w:styleId="Symbols">
    <w:name w:val="Symbols"/>
    <w:basedOn w:val="DefaultParagraphFont"/>
    <w:rsid w:val="00F338E0"/>
    <w:rPr>
      <w:rFonts w:ascii="Symbol" w:hAnsi="Symbol"/>
    </w:rPr>
  </w:style>
  <w:style w:type="character" w:customStyle="1" w:styleId="MenuOptions">
    <w:name w:val="Menu Options"/>
    <w:basedOn w:val="DefaultParagraphFont"/>
    <w:rsid w:val="00F338E0"/>
    <w:rPr>
      <w:rFonts w:ascii="Arial Narrow" w:hAnsi="Arial Narrow"/>
      <w:smallCaps/>
    </w:rPr>
  </w:style>
  <w:style w:type="character" w:customStyle="1" w:styleId="Buttons">
    <w:name w:val="Buttons"/>
    <w:basedOn w:val="DefaultParagraphFont"/>
    <w:rsid w:val="00F338E0"/>
    <w:rPr>
      <w:b/>
    </w:rPr>
  </w:style>
  <w:style w:type="character" w:customStyle="1" w:styleId="Underlined">
    <w:name w:val="Underlined"/>
    <w:basedOn w:val="DefaultParagraphFont"/>
    <w:rsid w:val="00F338E0"/>
    <w:rPr>
      <w:u w:val="single"/>
    </w:rPr>
  </w:style>
  <w:style w:type="paragraph" w:customStyle="1" w:styleId="TableBodyTextRight">
    <w:name w:val="Table Body Text Right"/>
    <w:basedOn w:val="TableBodyText"/>
    <w:rsid w:val="00F338E0"/>
    <w:pPr>
      <w:widowControl w:val="0"/>
      <w:autoSpaceDE w:val="0"/>
      <w:autoSpaceDN w:val="0"/>
      <w:adjustRightInd w:val="0"/>
      <w:jc w:val="right"/>
    </w:pPr>
    <w:rPr>
      <w:rFonts w:cs="Arial"/>
      <w:szCs w:val="18"/>
    </w:rPr>
  </w:style>
  <w:style w:type="paragraph" w:customStyle="1" w:styleId="CopyrightText">
    <w:name w:val="Copyright Text"/>
    <w:basedOn w:val="BodyText"/>
    <w:rsid w:val="00F338E0"/>
    <w:rPr>
      <w:sz w:val="18"/>
    </w:rPr>
  </w:style>
  <w:style w:type="paragraph" w:customStyle="1" w:styleId="BodySmallRight">
    <w:name w:val="Body Small Right"/>
    <w:basedOn w:val="BodyTextRight"/>
    <w:rsid w:val="00F338E0"/>
    <w:rPr>
      <w:sz w:val="18"/>
      <w:szCs w:val="18"/>
    </w:rPr>
  </w:style>
  <w:style w:type="paragraph" w:customStyle="1" w:styleId="MarginEdition">
    <w:name w:val="Margin Edition"/>
    <w:basedOn w:val="MarginNote"/>
    <w:rsid w:val="00F338E0"/>
    <w:pPr>
      <w:spacing w:before="0" w:after="0"/>
    </w:pPr>
    <w:rPr>
      <w:rFonts w:ascii="Times New Roman" w:hAnsi="Times New Roman"/>
      <w:color w:val="999999"/>
    </w:rPr>
  </w:style>
  <w:style w:type="paragraph" w:customStyle="1" w:styleId="Spacer">
    <w:name w:val="Spacer"/>
    <w:basedOn w:val="Normal"/>
    <w:rsid w:val="00F338E0"/>
    <w:rPr>
      <w:sz w:val="2"/>
      <w:szCs w:val="2"/>
    </w:rPr>
  </w:style>
  <w:style w:type="character" w:customStyle="1" w:styleId="Small">
    <w:name w:val="Small"/>
    <w:basedOn w:val="DefaultParagraphFont"/>
    <w:rsid w:val="00F338E0"/>
    <w:rPr>
      <w:sz w:val="16"/>
    </w:rPr>
  </w:style>
  <w:style w:type="paragraph" w:customStyle="1" w:styleId="WideTable">
    <w:name w:val="Wide Table"/>
    <w:basedOn w:val="Normal"/>
    <w:rsid w:val="00F338E0"/>
    <w:pPr>
      <w:ind w:left="-1418"/>
    </w:pPr>
    <w:rPr>
      <w:sz w:val="2"/>
      <w:szCs w:val="2"/>
    </w:rPr>
  </w:style>
  <w:style w:type="character" w:styleId="PageNumber">
    <w:name w:val="page number"/>
    <w:basedOn w:val="DefaultParagraphFont"/>
    <w:rsid w:val="00F338E0"/>
  </w:style>
  <w:style w:type="paragraph" w:styleId="Quote">
    <w:name w:val="Quote"/>
    <w:basedOn w:val="Heading1"/>
    <w:link w:val="QuoteChar"/>
    <w:qFormat/>
    <w:rsid w:val="00F338E0"/>
    <w:rPr>
      <w:b w:val="0"/>
      <w:sz w:val="72"/>
      <w:szCs w:val="72"/>
      <w:lang w:val="en-NZ"/>
    </w:rPr>
  </w:style>
  <w:style w:type="character" w:customStyle="1" w:styleId="QuoteChar">
    <w:name w:val="Quote Char"/>
    <w:basedOn w:val="DefaultParagraphFont"/>
    <w:link w:val="Quote"/>
    <w:rsid w:val="00F338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8E0"/>
    <w:pPr>
      <w:pageBreakBefore/>
    </w:pPr>
  </w:style>
  <w:style w:type="paragraph" w:customStyle="1" w:styleId="Border">
    <w:name w:val="Border"/>
    <w:basedOn w:val="Normal"/>
    <w:qFormat/>
    <w:rsid w:val="00F338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8E0"/>
    <w:rPr>
      <w:b/>
      <w:bCs/>
      <w:i/>
      <w:iCs/>
      <w:color w:val="auto"/>
    </w:rPr>
  </w:style>
  <w:style w:type="paragraph" w:styleId="IntenseQuote">
    <w:name w:val="Intense Quote"/>
    <w:basedOn w:val="Normal"/>
    <w:next w:val="Normal"/>
    <w:link w:val="IntenseQuoteChar"/>
    <w:uiPriority w:val="30"/>
    <w:qFormat/>
    <w:rsid w:val="00F338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8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38E0"/>
    <w:rPr>
      <w:smallCaps/>
      <w:color w:val="auto"/>
      <w:u w:val="single"/>
    </w:rPr>
  </w:style>
  <w:style w:type="character" w:styleId="IntenseReference">
    <w:name w:val="Intense Reference"/>
    <w:basedOn w:val="DefaultParagraphFont"/>
    <w:uiPriority w:val="32"/>
    <w:qFormat/>
    <w:rsid w:val="00F338E0"/>
    <w:rPr>
      <w:b/>
      <w:bCs/>
      <w:smallCaps/>
      <w:color w:val="auto"/>
      <w:spacing w:val="5"/>
      <w:u w:val="single"/>
    </w:rPr>
  </w:style>
  <w:style w:type="paragraph" w:customStyle="1" w:styleId="2ColumnHeading">
    <w:name w:val="2Column Heading"/>
    <w:basedOn w:val="BodyText"/>
    <w:qFormat/>
    <w:rsid w:val="00F338E0"/>
    <w:pPr>
      <w:spacing w:after="60"/>
      <w:ind w:left="-2268"/>
    </w:pPr>
    <w:rPr>
      <w:b/>
    </w:rPr>
  </w:style>
  <w:style w:type="paragraph" w:customStyle="1" w:styleId="Heading1TOC">
    <w:name w:val="Heading1 TOC"/>
    <w:basedOn w:val="Normal"/>
    <w:qFormat/>
    <w:rsid w:val="00F338E0"/>
    <w:pPr>
      <w:spacing w:before="240" w:after="120"/>
    </w:pPr>
    <w:rPr>
      <w:rFonts w:ascii="Times New Roman" w:hAnsi="Times New Roman"/>
      <w:b/>
      <w:sz w:val="32"/>
    </w:rPr>
  </w:style>
  <w:style w:type="paragraph" w:customStyle="1" w:styleId="Heading2TOC">
    <w:name w:val="Heading2 TOC"/>
    <w:basedOn w:val="Normal"/>
    <w:qFormat/>
    <w:rsid w:val="00F338E0"/>
    <w:pPr>
      <w:spacing w:before="240" w:after="60"/>
    </w:pPr>
    <w:rPr>
      <w:rFonts w:ascii="Times New Roman" w:hAnsi="Times New Roman"/>
      <w:b/>
      <w:sz w:val="28"/>
    </w:rPr>
  </w:style>
  <w:style w:type="character" w:customStyle="1" w:styleId="Underline">
    <w:name w:val="Underline"/>
    <w:basedOn w:val="DefaultParagraphFont"/>
    <w:qFormat/>
    <w:rsid w:val="00F338E0"/>
    <w:rPr>
      <w:u w:val="single"/>
    </w:rPr>
  </w:style>
  <w:style w:type="character" w:customStyle="1" w:styleId="BoldandItalics">
    <w:name w:val="Bold and Italics"/>
    <w:qFormat/>
    <w:rsid w:val="00F338E0"/>
    <w:rPr>
      <w:b/>
      <w:i/>
      <w:u w:val="none"/>
    </w:rPr>
  </w:style>
  <w:style w:type="paragraph" w:styleId="BalloonText">
    <w:name w:val="Balloon Text"/>
    <w:basedOn w:val="Normal"/>
    <w:link w:val="BalloonTextChar"/>
    <w:rsid w:val="00F338E0"/>
    <w:rPr>
      <w:rFonts w:ascii="Tahoma" w:hAnsi="Tahoma" w:cs="Tahoma"/>
      <w:sz w:val="16"/>
      <w:szCs w:val="16"/>
    </w:rPr>
  </w:style>
  <w:style w:type="character" w:customStyle="1" w:styleId="BalloonTextChar">
    <w:name w:val="Balloon Text Char"/>
    <w:basedOn w:val="DefaultParagraphFont"/>
    <w:link w:val="BalloonText"/>
    <w:rsid w:val="00F338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38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8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2353</Words>
  <Characters>14831</Characters>
  <Application>Microsoft Office Word</Application>
  <DocSecurity>0</DocSecurity>
  <Lines>613</Lines>
  <Paragraphs>242</Paragraphs>
  <ScaleCrop>false</ScaleCrop>
  <Company>Author-it Software Corporation Ltd.</Company>
  <LinksUpToDate>false</LinksUpToDate>
  <CharactersWithSpaces>16991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UETTDRSO09B Coordinate LV distribution networks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2012-05-26T12:21:00Z</dcterms:created>
  <dcterms:modified xsi:type="dcterms:W3CDTF">2012-05-26T12:21:00Z</dcterms:modified>
</cp:coreProperties>
</file>