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30D" w:rsidP="0050230D">
      <w:pPr>
        <w:pStyle w:val="Title"/>
      </w:pPr>
      <w:r>
        <w:fldChar w:fldCharType="begin"/>
      </w:r>
      <w:r>
        <w:instrText xml:space="preserve"> TITLE   \* MERGEFORMAT </w:instrText>
      </w:r>
      <w:r>
        <w:fldChar w:fldCharType="separate"/>
      </w:r>
      <w:r>
        <w:t>UETTDRSO08B Develop and evaluate transmission switching programs</w:t>
      </w:r>
      <w:r>
        <w:fldChar w:fldCharType="end"/>
      </w:r>
    </w:p>
    <w:p w:rsidR="0050230D" w:rsidP="0050230D">
      <w:pPr>
        <w:pStyle w:val="Version"/>
        <w:sectPr w:rsidSect="00347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5C1" w:rsidP="003475C1">
      <w:pPr>
        <w:pStyle w:val="SuperHeading"/>
      </w:pPr>
      <w:r w:rsidRPr="003475C1">
        <w:t>UETTDRSO08B Develop and evaluate transmission switching programs</w:t>
      </w:r>
    </w:p>
    <w:p w:rsidR="00000000" w:rsidRPr="003475C1" w:rsidP="003475C1">
      <w:pPr>
        <w:pStyle w:val="Heading1"/>
      </w:pPr>
      <w:bookmarkStart w:id="1" w:name="O_275543"/>
      <w:bookmarkEnd w:id="1"/>
      <w:r w:rsidRPr="003475C1">
        <w:t>Modification History</w:t>
      </w:r>
    </w:p>
    <w:p w:rsidR="00000000" w:rsidRPr="003475C1" w:rsidP="003475C1">
      <w:pPr>
        <w:pStyle w:val="BodyText"/>
      </w:pPr>
      <w:r w:rsidRPr="003475C1">
        <w:t>Not Applicable</w:t>
      </w:r>
    </w:p>
    <w:p w:rsidR="00000000" w:rsidRPr="003475C1" w:rsidP="003475C1">
      <w:pPr>
        <w:pStyle w:val="AllowPageBreak"/>
      </w:pPr>
    </w:p>
    <w:p w:rsidR="00000000" w:rsidRPr="003475C1" w:rsidP="003475C1">
      <w:pPr>
        <w:pStyle w:val="Heading1"/>
      </w:pPr>
      <w:bookmarkStart w:id="2" w:name="O_231949"/>
      <w:bookmarkEnd w:id="2"/>
      <w:r w:rsidRPr="003475C1">
        <w:t>Unit Descriptor</w:t>
      </w:r>
    </w:p>
    <w:tbl>
      <w:tblPr>
        <w:tblW w:w="0" w:type="auto"/>
        <w:tblLayout w:type="fixed"/>
        <w:tblCellMar>
          <w:left w:w="62" w:type="dxa"/>
          <w:right w:w="62" w:type="dxa"/>
        </w:tblCellMar>
        <w:tblLook w:val="0000"/>
      </w:tblPr>
      <w:tblGrid>
        <w:gridCol w:w="2700"/>
        <w:gridCol w:w="5760"/>
      </w:tblGrid>
      <w:tr w:rsidTr="0050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1</w:t>
            </w:r>
            <w:r w:rsidRPr="003475C1">
              <w:t xml:space="preserve">) </w:t>
            </w:r>
          </w:p>
          <w:p w:rsidR="00000000" w:rsidP="003475C1">
            <w:pPr>
              <w:pStyle w:val="BodyText"/>
              <w:rPr>
                <w:lang w:val="en-NZ"/>
              </w:rPr>
            </w:pPr>
            <w:r w:rsidRPr="003475C1">
              <w:rPr>
                <w:rStyle w:val="SpecialBold"/>
              </w:rPr>
              <w:t>1</w:t>
            </w:r>
            <w:r w:rsidRPr="003475C1">
              <w:t>.</w:t>
            </w:r>
            <w:r w:rsidRPr="003475C1">
              <w:rPr>
                <w:rStyle w:val="SpecialBold"/>
              </w:rPr>
              <w:t>1</w:t>
            </w:r>
            <w:r w:rsidRPr="003475C1">
              <w:t xml:space="preserve">) </w:t>
            </w:r>
            <w:r w:rsidRPr="003475C1">
              <w:rPr>
                <w:rStyle w:val="SpecialBold"/>
              </w:rPr>
              <w:t>Descriptor</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 xml:space="preserve">This Competency Standard Unit covers the development and evaluation of activities required to place the transmission network in a state in which work can safely be performed whilst minimising customer outages. The format is typically a written sequence of </w:t>
            </w:r>
            <w:r w:rsidRPr="003475C1">
              <w:t>switching items in a pre-defined format. It includes planning for the management of the network and multiple outages. It encompasses the calculation of network loading conditions to ensure the network will operate within design parameters and in compliance</w:t>
            </w:r>
            <w:r w:rsidRPr="003475C1">
              <w:t xml:space="preserve"> with national electricity code.</w:t>
            </w:r>
          </w:p>
        </w:tc>
      </w:tr>
    </w:tbl>
    <w:p w:rsidR="0050230D" w:rsidP="003475C1">
      <w:pPr>
        <w:pStyle w:val="BodyText"/>
      </w:pPr>
    </w:p>
    <w:p w:rsidR="0050230D" w:rsidP="003475C1">
      <w:pPr>
        <w:pStyle w:val="BodyText"/>
      </w:pPr>
    </w:p>
    <w:p w:rsidR="00000000" w:rsidRPr="003475C1" w:rsidP="003475C1">
      <w:pPr>
        <w:pStyle w:val="Heading1"/>
      </w:pPr>
      <w:bookmarkStart w:id="3" w:name="O_231954"/>
      <w:bookmarkEnd w:id="3"/>
      <w:r w:rsidRPr="003475C1">
        <w:t>Application of the Unit</w:t>
      </w:r>
    </w:p>
    <w:tbl>
      <w:tblPr>
        <w:tblW w:w="0" w:type="auto"/>
        <w:tblLayout w:type="fixed"/>
        <w:tblCellMar>
          <w:left w:w="62" w:type="dxa"/>
          <w:right w:w="62" w:type="dxa"/>
        </w:tblCellMar>
        <w:tblLook w:val="0000"/>
      </w:tblPr>
      <w:tblGrid>
        <w:gridCol w:w="2700"/>
        <w:gridCol w:w="5760"/>
      </w:tblGrid>
      <w:tr w:rsidTr="0050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4</w:t>
            </w:r>
            <w:r w:rsidRPr="003475C1">
              <w:t>)</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 xml:space="preserve">This Competency Standard Unit is intended to augment formally acquired competencies. It is suitable for employment-based programs under an </w:t>
            </w:r>
            <w:r w:rsidRPr="003475C1">
              <w:t>approved contract of training.</w:t>
            </w:r>
          </w:p>
        </w:tc>
      </w:tr>
    </w:tbl>
    <w:p w:rsidR="0050230D" w:rsidP="003475C1">
      <w:pPr>
        <w:pStyle w:val="BodyText"/>
      </w:pPr>
    </w:p>
    <w:p w:rsidR="0050230D" w:rsidP="003475C1">
      <w:pPr>
        <w:pStyle w:val="BodyText"/>
      </w:pPr>
    </w:p>
    <w:p w:rsidR="00000000" w:rsidRPr="003475C1" w:rsidP="003475C1">
      <w:pPr>
        <w:pStyle w:val="Heading1"/>
      </w:pPr>
      <w:bookmarkStart w:id="4" w:name="O_231950"/>
      <w:bookmarkEnd w:id="4"/>
      <w:r w:rsidRPr="003475C1">
        <w:t>Licensing/Regulatory Information</w:t>
      </w:r>
    </w:p>
    <w:tbl>
      <w:tblPr>
        <w:tblW w:w="0" w:type="auto"/>
        <w:tblLayout w:type="fixed"/>
        <w:tblCellMar>
          <w:left w:w="62" w:type="dxa"/>
          <w:right w:w="62" w:type="dxa"/>
        </w:tblCellMar>
        <w:tblLook w:val="0000"/>
      </w:tblPr>
      <w:tblGrid>
        <w:gridCol w:w="8460"/>
      </w:tblGrid>
      <w:tr w:rsidTr="005023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1</w:t>
            </w:r>
            <w:r w:rsidRPr="003475C1">
              <w:t>.</w:t>
            </w:r>
            <w:r w:rsidRPr="003475C1">
              <w:rPr>
                <w:rStyle w:val="SpecialBold"/>
              </w:rPr>
              <w:t>2</w:t>
            </w:r>
            <w:r w:rsidRPr="003475C1">
              <w:t xml:space="preserve">) </w:t>
            </w:r>
            <w:r w:rsidRPr="003475C1">
              <w:rPr>
                <w:rStyle w:val="SpecialBold"/>
              </w:rPr>
              <w:t>License to practice</w:t>
            </w:r>
          </w:p>
        </w:tc>
      </w:tr>
      <w:tr w:rsidTr="005023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 xml:space="preserve">The skills and knowledge described in this unit may require a licence/registration to practice in the work place subject to regulations for </w:t>
            </w:r>
            <w:r w:rsidRPr="003475C1">
              <w:t>undertaking of electrical work. Practice in workplace and during training is also subject to regulations directly related to Occupational Health and Safety, electricity/telecommunications/gas/water industry safety and compliance, industrial relations, envi</w:t>
            </w:r>
            <w:r w:rsidRPr="003475C1">
              <w:t>ronmental protection, anti discrimination and training. Commonwealth, State/Territory or Local Government legislation and regulations may exist that limits the age of operating certain equipment.</w:t>
            </w:r>
          </w:p>
        </w:tc>
      </w:tr>
    </w:tbl>
    <w:p w:rsidR="0050230D" w:rsidP="003475C1">
      <w:pPr>
        <w:pStyle w:val="BodyText"/>
      </w:pPr>
    </w:p>
    <w:p w:rsidR="0050230D" w:rsidP="003475C1">
      <w:pPr>
        <w:pStyle w:val="BodyText"/>
      </w:pPr>
    </w:p>
    <w:p w:rsidR="00000000" w:rsidRPr="003475C1" w:rsidP="003475C1">
      <w:pPr>
        <w:pStyle w:val="Heading1"/>
      </w:pPr>
      <w:bookmarkStart w:id="5" w:name="O_231951"/>
      <w:bookmarkEnd w:id="5"/>
      <w:r w:rsidRPr="003475C1">
        <w:t>Pre-Requisites</w:t>
      </w:r>
    </w:p>
    <w:tbl>
      <w:tblPr>
        <w:tblW w:w="0" w:type="auto"/>
        <w:tblLayout w:type="fixed"/>
        <w:tblCellMar>
          <w:left w:w="62" w:type="dxa"/>
          <w:right w:w="62" w:type="dxa"/>
        </w:tblCellMar>
        <w:tblLook w:val="0000"/>
      </w:tblPr>
      <w:tblGrid>
        <w:gridCol w:w="2700"/>
        <w:gridCol w:w="720"/>
        <w:gridCol w:w="1980"/>
        <w:gridCol w:w="3060"/>
      </w:tblGrid>
      <w:tr w:rsidTr="0050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Prerequisite Unit</w:t>
            </w:r>
            <w:r w:rsidRPr="003475C1">
              <w:t>(</w:t>
            </w:r>
            <w:r w:rsidRPr="003475C1">
              <w:rPr>
                <w:rStyle w:val="SpecialBold"/>
              </w:rPr>
              <w:t>s</w:t>
            </w:r>
            <w:r w:rsidRPr="003475C1">
              <w:t>)</w:t>
            </w:r>
          </w:p>
        </w:tc>
        <w:tc>
          <w:tcPr>
            <w:tcW w:w="5760" w:type="dxa"/>
            <w:gridSpan w:val="3"/>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2</w:t>
            </w:r>
            <w:r w:rsidRPr="003475C1">
              <w:t xml:space="preserve">) </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75C1">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2</w:t>
            </w:r>
            <w:r w:rsidRPr="003475C1">
              <w:t>.</w:t>
            </w:r>
            <w:r w:rsidRPr="003475C1">
              <w:rPr>
                <w:rStyle w:val="SpecialBold"/>
              </w:rPr>
              <w:t>1</w:t>
            </w:r>
            <w:r w:rsidRPr="003475C1">
              <w:t xml:space="preserve">) </w:t>
            </w:r>
            <w:r w:rsidRPr="003475C1">
              <w:rPr>
                <w:rStyle w:val="SpecialBold"/>
              </w:rPr>
              <w:t>Competencies</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Granting of competency in this unit shall be made only after competency in the following unit(s) has/have been confirmed:.</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UEENEED004B</w:t>
            </w:r>
          </w:p>
        </w:tc>
        <w:tc>
          <w:tcPr>
            <w:tcW w:w="30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Use engineering application software</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UEENEEE007B</w:t>
            </w:r>
          </w:p>
        </w:tc>
        <w:tc>
          <w:tcPr>
            <w:tcW w:w="30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Use drawings, diagrams, schedules and manuals</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UEENEEE024B</w:t>
            </w:r>
          </w:p>
        </w:tc>
        <w:tc>
          <w:tcPr>
            <w:tcW w:w="30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Compile and produce electrotechnology report</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UEENEEG049B</w:t>
            </w:r>
          </w:p>
        </w:tc>
        <w:tc>
          <w:tcPr>
            <w:tcW w:w="30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Solve problems in complex polyphase power circuits</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UETTDRIS22B </w:t>
            </w:r>
          </w:p>
        </w:tc>
        <w:tc>
          <w:tcPr>
            <w:tcW w:w="30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Implement and monitor organisation's OHS policies, procedures and pr</w:t>
            </w:r>
            <w:r w:rsidRPr="003475C1">
              <w:t xml:space="preserve">ograms </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UETTDRIS23B</w:t>
            </w:r>
          </w:p>
        </w:tc>
        <w:tc>
          <w:tcPr>
            <w:tcW w:w="30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Implement and monitor environmental and sustainable energy policies and </w:t>
            </w:r>
            <w:r w:rsidRPr="003475C1">
              <w:t xml:space="preserve">procedures </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For the full prerequisite chain details for this unit please refer to Table 3 in Volume 1, Part 2</w:t>
            </w:r>
          </w:p>
        </w:tc>
      </w:tr>
    </w:tbl>
    <w:p w:rsidR="0050230D" w:rsidP="003475C1">
      <w:pPr>
        <w:pStyle w:val="BodyText"/>
      </w:pPr>
    </w:p>
    <w:p w:rsidR="0050230D" w:rsidP="003475C1">
      <w:pPr>
        <w:pStyle w:val="BodyText"/>
      </w:pPr>
    </w:p>
    <w:p w:rsidR="00000000" w:rsidRPr="003475C1" w:rsidP="003475C1">
      <w:pPr>
        <w:pStyle w:val="Heading1"/>
      </w:pPr>
      <w:bookmarkStart w:id="6" w:name="O_231953"/>
      <w:bookmarkEnd w:id="6"/>
      <w:r w:rsidRPr="003475C1">
        <w:t>Employability Skills Information</w:t>
      </w:r>
    </w:p>
    <w:tbl>
      <w:tblPr>
        <w:tblW w:w="0" w:type="auto"/>
        <w:tblLayout w:type="fixed"/>
        <w:tblCellMar>
          <w:left w:w="62" w:type="dxa"/>
          <w:right w:w="62" w:type="dxa"/>
        </w:tblCellMar>
        <w:tblLook w:val="0000"/>
      </w:tblPr>
      <w:tblGrid>
        <w:gridCol w:w="2700"/>
        <w:gridCol w:w="5760"/>
      </w:tblGrid>
      <w:tr w:rsidTr="0050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3</w:t>
            </w:r>
            <w:r w:rsidRPr="003475C1">
              <w:t>)</w:t>
            </w:r>
          </w:p>
          <w:p w:rsidR="00000000" w:rsidRPr="003475C1" w:rsidP="003475C1">
            <w:pPr>
              <w:pStyle w:val="BodyText"/>
            </w:pPr>
            <w:r w:rsidRPr="003475C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475C1">
              <w:t>requirements.</w:t>
            </w:r>
          </w:p>
        </w:tc>
      </w:tr>
    </w:tbl>
    <w:p w:rsidR="0050230D" w:rsidP="003475C1">
      <w:pPr>
        <w:pStyle w:val="BodyText"/>
      </w:pPr>
    </w:p>
    <w:p w:rsidR="0050230D" w:rsidP="003475C1">
      <w:pPr>
        <w:pStyle w:val="BodyText"/>
      </w:pPr>
    </w:p>
    <w:p w:rsidR="00000000" w:rsidRPr="003475C1" w:rsidP="003475C1">
      <w:pPr>
        <w:pStyle w:val="Heading1"/>
      </w:pPr>
      <w:bookmarkStart w:id="7" w:name="O_293589"/>
      <w:bookmarkEnd w:id="7"/>
      <w:r w:rsidRPr="003475C1">
        <w:t>Elements and Performance Criteria Pre-Content</w:t>
      </w:r>
    </w:p>
    <w:tbl>
      <w:tblPr>
        <w:tblW w:w="0" w:type="auto"/>
        <w:tblLayout w:type="fixed"/>
        <w:tblCellMar>
          <w:left w:w="62" w:type="dxa"/>
          <w:right w:w="62" w:type="dxa"/>
        </w:tblCellMar>
        <w:tblLook w:val="0000"/>
      </w:tblPr>
      <w:tblGrid>
        <w:gridCol w:w="2757"/>
        <w:gridCol w:w="5703"/>
      </w:tblGrid>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6</w:t>
            </w:r>
            <w:r w:rsidRPr="003475C1">
              <w:t xml:space="preserve">) </w:t>
            </w:r>
            <w:r w:rsidRPr="003475C1">
              <w:rPr>
                <w:rStyle w:val="SpecialBold"/>
              </w:rPr>
              <w:t>Elements</w:t>
            </w:r>
            <w:r w:rsidRPr="003475C1">
              <w:t>: Elements describe the essential outcomes of a competency standard unit</w:t>
            </w:r>
          </w:p>
        </w:tc>
        <w:tc>
          <w:tcPr>
            <w:tcW w:w="5703"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 xml:space="preserve">Performance Criteria describe the required performance needed to demonstrate achievement of </w:t>
            </w:r>
            <w:r w:rsidRPr="003475C1">
              <w:t>the Element. Assessment of performance is to be consistent with the Evidence Guide.</w:t>
            </w:r>
          </w:p>
        </w:tc>
      </w:tr>
    </w:tbl>
    <w:p w:rsidR="00000000" w:rsidRPr="003475C1" w:rsidP="003475C1">
      <w:pPr>
        <w:pStyle w:val="BodyText"/>
      </w:pPr>
    </w:p>
    <w:p w:rsidR="00000000" w:rsidRPr="003475C1" w:rsidP="003475C1">
      <w:pPr>
        <w:pStyle w:val="AllowPageBreak"/>
      </w:pPr>
    </w:p>
    <w:p w:rsidR="00000000" w:rsidRPr="003475C1" w:rsidP="003475C1">
      <w:pPr>
        <w:pStyle w:val="Heading1"/>
      </w:pPr>
      <w:bookmarkStart w:id="8" w:name="O_240257"/>
      <w:bookmarkEnd w:id="8"/>
      <w:r w:rsidRPr="003475C1">
        <w:t>Elements and Performance Criteria</w:t>
      </w:r>
    </w:p>
    <w:tbl>
      <w:tblPr>
        <w:tblW w:w="0" w:type="auto"/>
        <w:tblLayout w:type="fixed"/>
        <w:tblCellMar>
          <w:left w:w="62" w:type="dxa"/>
          <w:right w:w="62" w:type="dxa"/>
        </w:tblCellMar>
        <w:tblLook w:val="0000"/>
      </w:tblPr>
      <w:tblGrid>
        <w:gridCol w:w="413"/>
        <w:gridCol w:w="2344"/>
        <w:gridCol w:w="919"/>
        <w:gridCol w:w="4784"/>
      </w:tblGrid>
      <w:tr w:rsidTr="0050230D">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ELEMENT</w:t>
            </w:r>
          </w:p>
        </w:tc>
        <w:tc>
          <w:tcPr>
            <w:tcW w:w="5703" w:type="dxa"/>
            <w:gridSpan w:val="2"/>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PERFORMANCE CRITERIA</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w:t>
            </w:r>
          </w:p>
        </w:tc>
        <w:tc>
          <w:tcPr>
            <w:tcW w:w="234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Plan and coordinate for the preparation of HV Transmission switching programs</w:t>
            </w: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1.1</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OHS practices/procedures and environmental and sustainable energy procedures, which may influence the preparation of the switching program, are reviewed and determined.</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1.2</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Purpose of the switching program is established after data is analysed and expec</w:t>
            </w:r>
            <w:r w:rsidRPr="003475C1">
              <w:t>ted outcomes of the work are confirmed with the appropriate personnel.</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1.3</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Established policies, procedures and specifications for the switching program are obtained or established with the appropriate personnel.</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1.4</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Switching procedures are discussed with and/or directed to the appropriate personnel in order to ascertain the project brief.</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1.5</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Switching parameters are ascertained from established policies, procedures and specifications.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1.6</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Equipment/tools and p</w:t>
            </w:r>
            <w:r w:rsidRPr="003475C1">
              <w:t>ersonal protective equipment are selected based on specified Performance Criteria and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1.7</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Work roles and tasks are allocated according to requirements and individuals' competencies.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1.8</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Work is prioritised and sequenced for the most efficient/effective outcome, completed within an acceptable timeframe to a quality standard and in accordance with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1.9</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Liaison and communication issues with other/authorised personne</w:t>
            </w:r>
            <w:r w:rsidRPr="003475C1">
              <w:t>l, authorities and clients are resolved and activities coordinated to carry out work.</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1.10</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Risk control measures are identified, prioritised and evaluated against the work schedule.</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1.11</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Relevant work permits are secured to coordinate the performance</w:t>
            </w:r>
            <w:r w:rsidRPr="003475C1">
              <w:t xml:space="preserve"> of work according to requirements and/or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w:t>
            </w:r>
          </w:p>
        </w:tc>
        <w:tc>
          <w:tcPr>
            <w:tcW w:w="2344" w:type="dxa"/>
            <w:vMerge w:val="restart"/>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Carry out and coordinate the preparation of HV Transmission switching programs</w:t>
            </w: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2.1</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Circuit/systems modelling is used to evaluate alternative proposals as per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2.2</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OHS and sustainable energy principles, functionality and practices to reduce the incidents of accidents and minimise waste are incorporated into the project in accordance with requirements and/or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2.3</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Decisions concerning the </w:t>
            </w:r>
            <w:r w:rsidRPr="003475C1">
              <w:t>preparation of the HV Transmission Switching program are made on the basis of safety and effective outcomes according to requirements and/or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2.4</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The effectiveness of the finished project is analysed as per requirements and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2.5</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Technical advice is given regarding potential hazards, safety risks and control measures so that monitoring and preventative action can be undertak</w:t>
            </w:r>
            <w:r w:rsidRPr="003475C1">
              <w:t>en and/or appropriate authorities consulted, where necessary, in accordance with requirements and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2.6</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Essential knowledge and associated skills are applied to analyse specific data and compare it with compliance specifications to</w:t>
            </w:r>
            <w:r w:rsidRPr="003475C1">
              <w:t xml:space="preserve"> ensure completion of the project within an agreed timeframe according to requirements.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2.7</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Testing of the program is undertaken according to requirements and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2.8</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Work teams/groups are arranged/coordinated/evaluated to ensure planned goals are met according to established procedures.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2.9</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Solutions to non-routine problems are identified and actioned, using acquired essential knowledge and associated skills, accord</w:t>
            </w:r>
            <w:r w:rsidRPr="003475C1">
              <w:t>ing to requirements.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2.10</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Quality of work is monitored against personal performance agreement and/or established organisational and professional standards.</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3</w:t>
            </w:r>
          </w:p>
        </w:tc>
        <w:tc>
          <w:tcPr>
            <w:tcW w:w="234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Complete and coordinate the preparation of HV Transmission switching programs</w:t>
            </w: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3.1</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Final review</w:t>
            </w:r>
            <w:r w:rsidRPr="003475C1">
              <w:t xml:space="preserve"> of the switching program is undertaken to ensure it complies with all requirements and include all specifications and documentations needed to complete the project.</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3.2</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Appropriate personnel are notified of completion and reports and/or completion docu</w:t>
            </w:r>
            <w:r w:rsidRPr="003475C1">
              <w:t>ments are finalised/commissioned.</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3.3</w:t>
            </w:r>
          </w:p>
        </w:tc>
        <w:tc>
          <w:tcPr>
            <w:tcW w:w="478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Reports and/or completion documents are submitted to relevant personnel/organisations for approval and, where applicable, statutory or regulatory approval.</w:t>
            </w:r>
          </w:p>
        </w:tc>
      </w:tr>
      <w:tr w:rsidTr="0050230D">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3.4</w:t>
            </w:r>
          </w:p>
        </w:tc>
        <w:tc>
          <w:tcPr>
            <w:tcW w:w="4784"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 xml:space="preserve">Approved copies of switching </w:t>
            </w:r>
            <w:r w:rsidRPr="003475C1">
              <w:t>program documents are issued and records are updated in accordance with established procedures.</w:t>
            </w:r>
          </w:p>
        </w:tc>
      </w:tr>
    </w:tbl>
    <w:p w:rsidR="0050230D" w:rsidP="003475C1">
      <w:pPr>
        <w:pStyle w:val="BodyText"/>
      </w:pPr>
    </w:p>
    <w:p w:rsidR="0050230D" w:rsidP="003475C1">
      <w:pPr>
        <w:pStyle w:val="BodyText"/>
      </w:pPr>
    </w:p>
    <w:p w:rsidR="00000000" w:rsidRPr="003475C1" w:rsidP="003475C1">
      <w:pPr>
        <w:pStyle w:val="Heading1"/>
      </w:pPr>
      <w:bookmarkStart w:id="9" w:name="O_264048"/>
      <w:bookmarkEnd w:id="9"/>
      <w:r w:rsidRPr="003475C1">
        <w:t>Required Skills and Knowledge</w:t>
      </w:r>
    </w:p>
    <w:tbl>
      <w:tblPr>
        <w:tblW w:w="0" w:type="auto"/>
        <w:tblLayout w:type="fixed"/>
        <w:tblCellMar>
          <w:left w:w="62" w:type="dxa"/>
          <w:right w:w="62" w:type="dxa"/>
        </w:tblCellMar>
        <w:tblLook w:val="0000"/>
      </w:tblPr>
      <w:tblGrid>
        <w:gridCol w:w="2757"/>
        <w:gridCol w:w="1103"/>
        <w:gridCol w:w="4600"/>
      </w:tblGrid>
      <w:tr w:rsidTr="0050230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REQUIRED SKILLS AND KNOWLEDGE</w:t>
            </w:r>
          </w:p>
        </w:tc>
      </w:tr>
      <w:tr w:rsidTr="005023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7</w:t>
            </w:r>
            <w:r w:rsidRPr="003475C1">
              <w:t xml:space="preserve">) </w:t>
            </w:r>
            <w:r w:rsidRPr="003475C1">
              <w:rPr>
                <w:rStyle w:val="SpecialBold"/>
              </w:rPr>
              <w:t>Essential Knowledge and Associated Skills</w:t>
            </w:r>
            <w:r w:rsidRPr="003475C1">
              <w:t xml:space="preserve"> (</w:t>
            </w:r>
            <w:r w:rsidRPr="003475C1">
              <w:rPr>
                <w:rStyle w:val="SpecialBold"/>
              </w:rPr>
              <w:t>EKAS</w:t>
            </w:r>
            <w:r w:rsidRPr="003475C1">
              <w:t>): This describes the essential skills and knowledge and their level, required for this unit.</w:t>
            </w:r>
          </w:p>
        </w:tc>
      </w:tr>
      <w:tr w:rsidTr="005023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Evidence shall show that knowledge has been acquired of developing and evaluating transmission switching programs.</w:t>
            </w:r>
          </w:p>
          <w:p w:rsidR="00000000" w:rsidRPr="003475C1" w:rsidP="003475C1">
            <w:pPr>
              <w:pStyle w:val="BodyText"/>
            </w:pPr>
            <w:r w:rsidRPr="003475C1">
              <w:t>All knowledge and skills detailed in this un</w:t>
            </w:r>
            <w:r w:rsidRPr="003475C1">
              <w:t>it should be contextualised to current industry practices and technologies.</w:t>
            </w:r>
          </w:p>
          <w:p w:rsidR="00000000" w:rsidP="003475C1">
            <w:pPr>
              <w:pStyle w:val="BodyText"/>
              <w:rPr>
                <w:lang w:val="en-NZ"/>
              </w:rPr>
            </w:pPr>
            <w:r w:rsidRPr="003475C1">
              <w:t>The extent of the essential knowledge and associated skills (EKAS) required is given in Volume 2 - Part 2.2 EKAS. It forms an integral part of this unit.</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E2.18.1 </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Occupational </w:t>
            </w:r>
            <w:r w:rsidRPr="003475C1">
              <w:t>Health and Safety principles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E2.18.2</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Electrical safe working practice</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T2.2.1</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Generation power systems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T2.2.2</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Transmission, distribution and rail power systems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T2.2.3</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Substations, power transformers and reactors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T2.2.35</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Live l</w:t>
            </w:r>
            <w:r w:rsidRPr="003475C1">
              <w:t>ine working up to 132kV with Hotstick</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T2.2.36</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Live line work for voltages greater than 132kV and up to 500kV with Hotstick</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T2.2.39</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Plant, equipment and tools used for HV live line work</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T2.2.48</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Electrical Equipment  HV and LV Powerline</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T2.2.49</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Coordinating permit process authority procedures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T2.3.1 </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Powerline safety practices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T2.3.3</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Statutory and safety considerations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T3.3.5</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Discrete protection schemes  isolation and tagging procedures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T2.4.1 </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Switchgear installation</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T2.4.3 </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High voltage switching principles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T2.4.8</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System switching operations and authorisation procedures  HV</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T2.4.11</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High voltage overhead and substation switching principles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T2.4.13</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High voltage switching instruction preparation</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T2.5.1</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Ecological principles for vegetation control</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T2.5.2</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Vegetation control techniques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 xml:space="preserve">T2.8.1 </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Enterprises specific  policies and procedure instructions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T2.8.2</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Enterprises specific  OHS instructions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T2.8.3</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Enterprises specific  technical drawing and doc</w:t>
            </w:r>
            <w:r w:rsidRPr="003475C1">
              <w:t>uments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T2.9.1</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Interpretation of power distribution network documentation</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T2.10.9</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Analyse and interpret results and measurements  substations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T2.10.11</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Substation safety practices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T2.10.15</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High voltage insulation system principles  substations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T2.10.19</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Substation switching principles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T2.11.11</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Control of transient overvoltages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T2.11.14</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Fault calculation techniques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T2.11.15</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Visual inspection procedures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T2.11.16</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Commissioning procedures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T2.11.18</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Discrete protection systems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T2.11.19</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Interdependent protection systems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T2.11.20</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Complex protection systems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T2.11.31</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Primary plant testing</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T2.11.40</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Harmonics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T2.11.59</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Generator control systems  EHV</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T2.11.60</w:t>
            </w:r>
          </w:p>
        </w:tc>
        <w:tc>
          <w:tcPr>
            <w:tcW w:w="460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Transmission line component fundamentals</w:t>
            </w:r>
          </w:p>
        </w:tc>
      </w:tr>
      <w:tr w:rsidTr="0050230D">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T2.11.66</w:t>
            </w:r>
          </w:p>
        </w:tc>
        <w:tc>
          <w:tcPr>
            <w:tcW w:w="460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EHV transmission system load calculation principles</w:t>
            </w:r>
          </w:p>
        </w:tc>
      </w:tr>
    </w:tbl>
    <w:p w:rsidR="0050230D" w:rsidP="003475C1">
      <w:pPr>
        <w:pStyle w:val="BodyText"/>
      </w:pPr>
    </w:p>
    <w:p w:rsidR="0050230D" w:rsidP="003475C1">
      <w:pPr>
        <w:pStyle w:val="BodyText"/>
      </w:pPr>
    </w:p>
    <w:p w:rsidR="00000000" w:rsidRPr="003475C1" w:rsidP="003475C1">
      <w:pPr>
        <w:pStyle w:val="Heading1"/>
      </w:pPr>
      <w:bookmarkStart w:id="10" w:name="O_248240"/>
      <w:bookmarkEnd w:id="10"/>
      <w:r w:rsidRPr="003475C1">
        <w:t>Evidence Guide</w:t>
      </w:r>
    </w:p>
    <w:tbl>
      <w:tblPr>
        <w:tblW w:w="0" w:type="auto"/>
        <w:tblLayout w:type="fixed"/>
        <w:tblCellMar>
          <w:left w:w="62" w:type="dxa"/>
          <w:right w:w="62" w:type="dxa"/>
        </w:tblCellMar>
        <w:tblLook w:val="0000"/>
      </w:tblPr>
      <w:tblGrid>
        <w:gridCol w:w="2206"/>
        <w:gridCol w:w="735"/>
        <w:gridCol w:w="919"/>
        <w:gridCol w:w="368"/>
        <w:gridCol w:w="1471"/>
        <w:gridCol w:w="2761"/>
      </w:tblGrid>
      <w:tr w:rsidTr="0050230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EVIDENCE GUIDE</w:t>
            </w:r>
          </w:p>
        </w:tc>
      </w:tr>
      <w:tr w:rsidTr="0050230D">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9</w:t>
            </w:r>
            <w:r w:rsidRPr="003475C1">
              <w:t xml:space="preserve">) This provides essential advice for assessment of the competency standard unit and must be read </w:t>
            </w:r>
            <w:r w:rsidRPr="003475C1">
              <w:t>in conjunction with the Performance Criteria and the Range Statement of the competency standard unit and the Training Package Assessment Guidelines.</w:t>
            </w:r>
          </w:p>
          <w:p w:rsidR="00000000" w:rsidP="003475C1">
            <w:pPr>
              <w:pStyle w:val="BodyText"/>
              <w:rPr>
                <w:lang w:val="en-NZ"/>
              </w:rPr>
            </w:pPr>
            <w:r w:rsidRPr="003475C1">
              <w:t>The Evidence Guide forms an integral part of this Competency Standard Unit and shall be used in conjunction</w:t>
            </w:r>
            <w:r w:rsidRPr="003475C1">
              <w:t xml:space="preserve"> with all component parts of this unit and, performed in accordance with the Assessment Guidelines of this Training Package.</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Overview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9</w:t>
            </w:r>
            <w:r w:rsidRPr="003475C1">
              <w:t>.</w:t>
            </w:r>
            <w:r w:rsidRPr="003475C1">
              <w:rPr>
                <w:rStyle w:val="SpecialBold"/>
              </w:rPr>
              <w:t>1</w:t>
            </w:r>
            <w:r w:rsidRPr="003475C1">
              <w:t xml:space="preserve">) </w:t>
            </w:r>
          </w:p>
          <w:p w:rsidR="00000000" w:rsidRPr="003475C1" w:rsidP="003475C1">
            <w:pPr>
              <w:pStyle w:val="BodyText"/>
            </w:pPr>
            <w:r w:rsidRPr="003475C1">
              <w:t>Longitudinal competency development approaches to assessment, such as Profiling, require data to be reliably gathered in a form that can be consistently interpreted over time. This approach is best utilised in Apprenticeship programs and reduces assessment</w:t>
            </w:r>
            <w:r w:rsidRPr="003475C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475C1">
              <w:t>tency in a realistically simulated work environment. It is recognised that, in some circumstances, assessment in part or full can occur outside the workplace. However, it must be in accord with Industry and, Regulatory policy in this regard.</w:t>
            </w:r>
          </w:p>
          <w:p w:rsidR="00000000" w:rsidRPr="003475C1" w:rsidP="003475C1">
            <w:pPr>
              <w:pStyle w:val="BodyText"/>
            </w:pPr>
            <w:r w:rsidRPr="003475C1">
              <w:t>Methods chosen</w:t>
            </w:r>
            <w:r w:rsidRPr="003475C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475C1">
              <w:t>equired and the critical nature of the competencies being assessed.</w:t>
            </w:r>
          </w:p>
          <w:p w:rsidR="00000000" w:rsidRPr="003475C1" w:rsidP="003475C1">
            <w:pPr>
              <w:pStyle w:val="BodyText"/>
            </w:pPr>
            <w:r w:rsidRPr="003475C1">
              <w:t>The critical safety nature of working with electricity, electrical equipment, gas or any other hazardous substance/material carries risk in deeming a person competent. Hence, sources of ev</w:t>
            </w:r>
            <w:r w:rsidRPr="003475C1">
              <w:t>idence need to be 'rich' in nature so as to minimise error in judgment.</w:t>
            </w:r>
          </w:p>
          <w:p w:rsidR="00000000" w:rsidP="003475C1">
            <w:pPr>
              <w:pStyle w:val="BodyText"/>
              <w:rPr>
                <w:lang w:val="en-NZ"/>
              </w:rPr>
            </w:pPr>
            <w:r w:rsidRPr="003475C1">
              <w:t>Activities associated with normal every day work have a bearing on the decision as to how much and how detailed the data gathered will contribute to its 'richness'. Some skills are mor</w:t>
            </w:r>
            <w:r w:rsidRPr="003475C1">
              <w:t>e critical to safety and operational requirements while the same skills may be more or less frequently practiced. These points are raised for the assessors to consider when choosing an assessment method and developing assessment instruments. Sample assessm</w:t>
            </w:r>
            <w:r w:rsidRPr="003475C1">
              <w:t>ent instruments are included for Assessors in the Assessment Guidelines of this Training Package.</w:t>
            </w:r>
          </w:p>
        </w:tc>
      </w:tr>
      <w:tr w:rsidTr="0050230D">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Critical aspects of evidence required to demonstrate competency in this unit</w:t>
            </w:r>
          </w:p>
        </w:tc>
        <w:tc>
          <w:tcPr>
            <w:tcW w:w="6254" w:type="dxa"/>
            <w:gridSpan w:val="5"/>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9</w:t>
            </w:r>
            <w:r w:rsidRPr="003475C1">
              <w:t>.</w:t>
            </w:r>
            <w:r w:rsidRPr="003475C1">
              <w:rPr>
                <w:rStyle w:val="SpecialBold"/>
              </w:rPr>
              <w:t>2</w:t>
            </w:r>
            <w:r w:rsidRPr="003475C1">
              <w:t xml:space="preserve">) </w:t>
            </w:r>
          </w:p>
          <w:p w:rsidR="00000000" w:rsidP="003475C1">
            <w:pPr>
              <w:pStyle w:val="BodyText"/>
              <w:rPr>
                <w:lang w:val="en-NZ"/>
              </w:rPr>
            </w:pPr>
            <w:r w:rsidRPr="003475C1">
              <w:t>Before the critical aspects of evidence are considered all prerequisites shall be met.</w:t>
            </w:r>
          </w:p>
        </w:tc>
      </w:tr>
      <w:tr w:rsidTr="0050230D">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Evidence for competence in this unit shall be considered holistically. Each Element and associated Performance Criteria shall be demonstrated on at least two occas</w:t>
            </w:r>
            <w:r w:rsidRPr="003475C1">
              <w:t>ions in accordance with the "Assessment Guidelines - UET09". Evidence shall also comprise:</w:t>
            </w:r>
          </w:p>
          <w:p w:rsidR="00000000" w:rsidP="003475C1">
            <w:pPr>
              <w:pStyle w:val="ListBullet"/>
              <w:rPr>
                <w:lang w:val="en-NZ"/>
              </w:rPr>
            </w:pPr>
            <w:r w:rsidRPr="003475C1">
              <w:t xml:space="preserve">A representative body of Performance Criteria demonstrated within the timeframes typically expected of the discipline, work function and industrial environment. In </w:t>
            </w:r>
            <w:r w:rsidRPr="003475C1">
              <w:t>particular this shall incorporate evidence that shows a candidate is able to:</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3475C1" w:rsidP="003475C1">
            <w:pPr>
              <w:pStyle w:val="ListBullet2"/>
            </w:pPr>
            <w:r w:rsidRPr="003475C1">
              <w:t xml:space="preserve">Implement Occupational Health and Safety workplace procedures and practices including </w:t>
            </w:r>
            <w:r w:rsidRPr="003475C1">
              <w:t>the use of risk control measures as specified in the Performance Criteria and range; and</w:t>
            </w:r>
          </w:p>
          <w:p w:rsidR="00000000" w:rsidRPr="003475C1" w:rsidP="003475C1">
            <w:pPr>
              <w:pStyle w:val="ListBullet2"/>
            </w:pPr>
            <w:r w:rsidRPr="003475C1">
              <w:t>Apply sustainable energy principles and practices as specified in the Performance Criteria and range; and</w:t>
            </w:r>
          </w:p>
          <w:p w:rsidR="00000000" w:rsidRPr="003475C1" w:rsidP="003475C1">
            <w:pPr>
              <w:pStyle w:val="ListBullet2"/>
            </w:pPr>
            <w:r w:rsidRPr="003475C1">
              <w:t>Demonstrate an understanding of the essential knowledge and associated skills described in this unit to such an extent that the learner's performance outcome is reported in accordance with the preferred approach; namely a percentile graded result, where re</w:t>
            </w:r>
            <w:r w:rsidRPr="003475C1">
              <w:t>quired by the regulated environment; and</w:t>
            </w:r>
          </w:p>
          <w:p w:rsidR="00000000" w:rsidRPr="003475C1" w:rsidP="003475C1">
            <w:pPr>
              <w:pStyle w:val="ListBullet2"/>
            </w:pPr>
            <w:r w:rsidRPr="003475C1">
              <w:t>Demonstrate an appropriate level of employability skills; and</w:t>
            </w:r>
          </w:p>
          <w:p w:rsidR="00000000" w:rsidP="003475C1">
            <w:pPr>
              <w:pStyle w:val="ListBullet2"/>
              <w:rPr>
                <w:lang w:val="en-NZ"/>
              </w:rPr>
            </w:pPr>
            <w:r w:rsidRPr="003475C1">
              <w:t>Conduct work observing the relevant Anti Discrimination legislation, regulations, policies and workplace procedures; and</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3475C1">
            <w:pPr>
              <w:pStyle w:val="ListBullet"/>
              <w:rPr>
                <w:lang w:val="en-NZ"/>
              </w:rPr>
            </w:pPr>
            <w:r w:rsidRPr="003475C1">
              <w:t xml:space="preserve">Demonstrated performance </w:t>
            </w:r>
            <w:r w:rsidRPr="003475C1">
              <w:t>across a representative range of contexts from the prescribed items below:</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475C1">
            <w:pPr>
              <w:pStyle w:val="BodyText"/>
              <w:keepNext w:val="0"/>
              <w:keepLines w:val="0"/>
              <w:contextualSpacing w:val="0"/>
            </w:pPr>
          </w:p>
        </w:tc>
        <w:tc>
          <w:tcPr>
            <w:tcW w:w="551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rPr>
                <w:rStyle w:val="SpecialBold"/>
              </w:rPr>
              <w:t>Range of tools</w:t>
            </w:r>
            <w:r w:rsidRPr="003475C1">
              <w:t>/</w:t>
            </w:r>
            <w:r w:rsidRPr="003475C1">
              <w:rPr>
                <w:rStyle w:val="SpecialBold"/>
              </w:rPr>
              <w:t>equipment</w:t>
            </w:r>
            <w:r w:rsidRPr="003475C1">
              <w:t>/</w:t>
            </w:r>
            <w:r w:rsidRPr="003475C1">
              <w:rPr>
                <w:rStyle w:val="SpecialBold"/>
              </w:rPr>
              <w:t>materials</w:t>
            </w:r>
            <w:r w:rsidRPr="003475C1">
              <w:t>/</w:t>
            </w:r>
            <w:r w:rsidRPr="003475C1">
              <w:rPr>
                <w:rStyle w:val="SpecialBold"/>
              </w:rPr>
              <w:t>procedures</w:t>
            </w:r>
            <w:r w:rsidRPr="003475C1">
              <w:t>/</w:t>
            </w:r>
            <w:r w:rsidRPr="003475C1">
              <w:rPr>
                <w:rStyle w:val="SpecialBold"/>
              </w:rPr>
              <w:t>workplaces</w:t>
            </w:r>
            <w:r w:rsidRPr="003475C1">
              <w:t>/</w:t>
            </w:r>
            <w:r w:rsidRPr="003475C1">
              <w:rPr>
                <w:rStyle w:val="SpecialBold"/>
              </w:rPr>
              <w:t>other variables</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Group No</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The minimum number of items on which skill is to be demonstrated</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Item List</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A</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Develop and evaluate, at least four (4) switching programs that between them integrates all of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5C1" w:rsidP="003475C1">
            <w:pPr>
              <w:pStyle w:val="BodyText"/>
            </w:pPr>
            <w:r w:rsidRPr="003475C1">
              <w:t>A transformer with an EHV winding</w:t>
            </w:r>
          </w:p>
          <w:p w:rsidR="00000000" w:rsidRPr="003475C1" w:rsidP="003475C1">
            <w:pPr>
              <w:pStyle w:val="BodyText"/>
            </w:pPr>
            <w:r w:rsidRPr="003475C1">
              <w:t xml:space="preserve">EHV Busbars; </w:t>
            </w:r>
          </w:p>
          <w:p w:rsidR="00000000" w:rsidRPr="003475C1" w:rsidP="003475C1">
            <w:pPr>
              <w:pStyle w:val="BodyText"/>
            </w:pPr>
            <w:r w:rsidRPr="003475C1">
              <w:t>EHV Isolators</w:t>
            </w:r>
          </w:p>
          <w:p w:rsidR="00000000" w:rsidRPr="003475C1" w:rsidP="003475C1">
            <w:pPr>
              <w:pStyle w:val="BodyText"/>
            </w:pPr>
            <w:r w:rsidRPr="003475C1">
              <w:t>EHV Switchgear (applicable to enterprise equipment)</w:t>
            </w:r>
          </w:p>
          <w:p w:rsidR="00000000" w:rsidRPr="003475C1" w:rsidP="003475C1">
            <w:pPr>
              <w:pStyle w:val="BodyText"/>
            </w:pPr>
            <w:r w:rsidRPr="003475C1">
              <w:t>Phasing and phase rotation</w:t>
            </w:r>
          </w:p>
          <w:p w:rsidR="00000000" w:rsidRPr="003475C1" w:rsidP="003475C1">
            <w:pPr>
              <w:pStyle w:val="BodyText"/>
            </w:pPr>
            <w:r w:rsidRPr="003475C1">
              <w:t>Comm</w:t>
            </w:r>
            <w:r w:rsidRPr="003475C1">
              <w:t>issioning a project that includes more than one item of EHV plant that includes a transformer</w:t>
            </w:r>
          </w:p>
          <w:p w:rsidR="00000000" w:rsidRPr="003475C1" w:rsidP="003475C1">
            <w:pPr>
              <w:pStyle w:val="BodyText"/>
            </w:pPr>
            <w:r w:rsidRPr="003475C1">
              <w:t>A planned liaison with a HV customer/s</w:t>
            </w:r>
          </w:p>
          <w:p w:rsidR="00000000" w:rsidP="003475C1">
            <w:pPr>
              <w:pStyle w:val="BodyText"/>
              <w:rPr>
                <w:lang w:val="en-NZ"/>
              </w:rPr>
            </w:pPr>
            <w:r w:rsidRPr="003475C1">
              <w:t>Activities that address the correction of errors in the process</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B</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Prepare switching instructions, test and earth the fol</w:t>
            </w:r>
            <w:r w:rsidRPr="003475C1">
              <w:t>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5C1" w:rsidP="003475C1">
            <w:pPr>
              <w:pStyle w:val="BodyText"/>
            </w:pPr>
            <w:r w:rsidRPr="003475C1">
              <w:t>Transformer types</w:t>
            </w:r>
          </w:p>
          <w:p w:rsidR="00000000" w:rsidRPr="003475C1" w:rsidP="003475C1">
            <w:pPr>
              <w:pStyle w:val="BodyText"/>
            </w:pPr>
            <w:r w:rsidRPr="003475C1">
              <w:t>Busbar types</w:t>
            </w:r>
          </w:p>
          <w:p w:rsidR="00000000" w:rsidRPr="003475C1" w:rsidP="003475C1">
            <w:pPr>
              <w:pStyle w:val="BodyText"/>
            </w:pPr>
            <w:r w:rsidRPr="003475C1">
              <w:t>Transmission line types</w:t>
            </w:r>
          </w:p>
          <w:p w:rsidR="00000000" w:rsidP="003475C1">
            <w:pPr>
              <w:pStyle w:val="BodyText"/>
              <w:rPr>
                <w:lang w:val="en-NZ"/>
              </w:rPr>
            </w:pPr>
            <w:r w:rsidRPr="003475C1">
              <w:t>Circuit breakers, isolators or switches</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C</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All of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5C1" w:rsidP="003475C1">
            <w:pPr>
              <w:pStyle w:val="BodyText"/>
            </w:pPr>
            <w:r w:rsidRPr="003475C1">
              <w:t xml:space="preserve">Check switching instructions; </w:t>
            </w:r>
          </w:p>
          <w:p w:rsidR="00000000" w:rsidRPr="003475C1" w:rsidP="003475C1">
            <w:pPr>
              <w:pStyle w:val="BodyText"/>
            </w:pPr>
            <w:r w:rsidRPr="003475C1">
              <w:t xml:space="preserve">Calculate plant loading; </w:t>
            </w:r>
          </w:p>
          <w:p w:rsidR="00000000" w:rsidP="003475C1">
            <w:pPr>
              <w:pStyle w:val="BodyText"/>
              <w:rPr>
                <w:lang w:val="en-NZ"/>
              </w:rPr>
            </w:pPr>
            <w:r w:rsidRPr="003475C1">
              <w:t>Manage the development of multiple switching programs</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D</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At least one occasion</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5C1">
            <w:pPr>
              <w:pStyle w:val="BodyText"/>
              <w:rPr>
                <w:lang w:val="en-NZ"/>
              </w:rPr>
            </w:pPr>
            <w:r w:rsidRPr="003475C1">
              <w:t>Dealing with an unplanned event by drawing on essential knowledge and associated skills to provide appropriate solutions incorporated in the holistic assessment with the above listed items.</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Context of and specific resources for asse</w:t>
            </w:r>
            <w:r w:rsidRPr="003475C1">
              <w:rPr>
                <w:rStyle w:val="SpecialBold"/>
              </w:rPr>
              <w:t>ssment</w:t>
            </w:r>
          </w:p>
        </w:tc>
        <w:tc>
          <w:tcPr>
            <w:tcW w:w="6254" w:type="dxa"/>
            <w:gridSpan w:val="5"/>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9</w:t>
            </w:r>
            <w:r w:rsidRPr="003475C1">
              <w:t>.</w:t>
            </w:r>
            <w:r w:rsidRPr="003475C1">
              <w:rPr>
                <w:rStyle w:val="SpecialBold"/>
              </w:rPr>
              <w:t>3</w:t>
            </w:r>
            <w:r w:rsidRPr="003475C1">
              <w:t xml:space="preserve">) </w:t>
            </w:r>
          </w:p>
          <w:p w:rsidR="00000000" w:rsidRPr="003475C1" w:rsidP="003475C1">
            <w:pPr>
              <w:pStyle w:val="BodyText"/>
            </w:pPr>
            <w:r w:rsidRPr="003475C1">
              <w:t>This unit should be assessed as it relates to normal work practice using procedures, information and resources typical of a workplace. This should include:</w:t>
            </w:r>
          </w:p>
          <w:p w:rsidR="00000000" w:rsidRPr="003475C1" w:rsidP="003475C1">
            <w:pPr>
              <w:pStyle w:val="ListBullet"/>
            </w:pPr>
            <w:r w:rsidRPr="003475C1">
              <w:t>OHS policy and work procedures and instructions.</w:t>
            </w:r>
          </w:p>
          <w:p w:rsidR="00000000" w:rsidRPr="003475C1" w:rsidP="003475C1">
            <w:pPr>
              <w:pStyle w:val="ListBullet"/>
            </w:pPr>
            <w:r w:rsidRPr="003475C1">
              <w:t>Suitable work environment, facilities</w:t>
            </w:r>
            <w:r w:rsidRPr="003475C1">
              <w:t>, equipment and materials to undertake actual preparation of HV Transmission Switching programs</w:t>
            </w:r>
          </w:p>
          <w:p w:rsidR="00000000" w:rsidRPr="003475C1" w:rsidP="003475C1">
            <w:pPr>
              <w:pStyle w:val="BodyText"/>
            </w:pPr>
            <w:r w:rsidRPr="003475C1">
              <w:t>Note:</w:t>
            </w:r>
          </w:p>
          <w:p w:rsidR="00000000" w:rsidP="003475C1">
            <w:pPr>
              <w:pStyle w:val="BodyText"/>
              <w:rPr>
                <w:lang w:val="en-NZ"/>
              </w:rPr>
            </w:pPr>
            <w:r w:rsidRPr="003475C1">
              <w:t>Access will be needed to: relevant modelling tools, drawings, computerised electrical plant control and monitoring facilities and enterprise operational policies, procedures and work practices.</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In addition to the resources listed above, in Context of</w:t>
            </w:r>
            <w:r w:rsidRPr="003475C1">
              <w:t xml:space="preserve"> and specific resources for assessment, evidence should show demonstrated competency working in realistic environment and a variety of conditions.</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Method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9</w:t>
            </w:r>
            <w:r w:rsidRPr="003475C1">
              <w:t>.</w:t>
            </w:r>
            <w:r w:rsidRPr="003475C1">
              <w:rPr>
                <w:rStyle w:val="SpecialBold"/>
              </w:rPr>
              <w:t>4</w:t>
            </w:r>
            <w:r w:rsidRPr="003475C1">
              <w:t xml:space="preserve">) </w:t>
            </w:r>
          </w:p>
          <w:p w:rsidR="00000000" w:rsidRPr="003475C1" w:rsidP="003475C1">
            <w:pPr>
              <w:pStyle w:val="BodyText"/>
            </w:pPr>
            <w:r w:rsidRPr="003475C1">
              <w:t>This Competency Standard Unit shall be assessed by methods given in Volume 1, Part 3 "Assessment Guidelines".</w:t>
            </w:r>
          </w:p>
          <w:p w:rsidR="00000000" w:rsidP="003475C1">
            <w:pPr>
              <w:pStyle w:val="BodyText"/>
              <w:rPr>
                <w:lang w:val="en-NZ"/>
              </w:rPr>
            </w:pPr>
            <w:r w:rsidRPr="003475C1">
              <w:t>Note:</w:t>
            </w:r>
            <w:r w:rsidRPr="003475C1">
              <w:br/>
              <w:t>Competent performance with inherent safe working practices is expected in the Transmission, Distribution and Rail Traction Industry. This re</w:t>
            </w:r>
            <w:r w:rsidRPr="003475C1">
              <w:t>quires that the specified essential knowledge and associated skills are assessed in a structured environment which is primarily intended for learning/assessment and incorporates all necessary equipment and facilities for learners to develop and demonstrate</w:t>
            </w:r>
            <w:r w:rsidRPr="003475C1">
              <w:t xml:space="preserve"> the essential knowledge and associated skills described in this unit.</w:t>
            </w:r>
          </w:p>
        </w:tc>
      </w:tr>
      <w:tr w:rsidTr="0050230D">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Concurrent assessment and relationship with other units</w:t>
            </w:r>
          </w:p>
        </w:tc>
        <w:tc>
          <w:tcPr>
            <w:tcW w:w="6254" w:type="dxa"/>
            <w:gridSpan w:val="5"/>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9</w:t>
            </w:r>
            <w:r w:rsidRPr="003475C1">
              <w:t>.</w:t>
            </w:r>
            <w:r w:rsidRPr="003475C1">
              <w:rPr>
                <w:rStyle w:val="SpecialBold"/>
              </w:rPr>
              <w:t>5</w:t>
            </w:r>
            <w:r w:rsidRPr="003475C1">
              <w:t>)</w:t>
            </w:r>
          </w:p>
        </w:tc>
      </w:tr>
      <w:tr w:rsidTr="0050230D">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For optimisation of training and assessment effort, competence in this unit may be assessed concurrently with units:</w:t>
            </w:r>
          </w:p>
        </w:tc>
      </w:tr>
      <w:tr w:rsidTr="0050230D">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UETTDRSO06B</w:t>
            </w:r>
          </w:p>
        </w:tc>
        <w:tc>
          <w:tcPr>
            <w:tcW w:w="4232" w:type="dxa"/>
            <w:gridSpan w:val="2"/>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Develop LV distribution switching programs</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UETTDRSO07B</w:t>
            </w:r>
          </w:p>
        </w:tc>
        <w:tc>
          <w:tcPr>
            <w:tcW w:w="4232" w:type="dxa"/>
            <w:gridSpan w:val="2"/>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Develop HV distribu</w:t>
            </w:r>
            <w:r w:rsidRPr="003475C1">
              <w:t>tion and sub transmission switching programs</w:t>
            </w:r>
          </w:p>
        </w:tc>
      </w:tr>
    </w:tbl>
    <w:p w:rsidR="0050230D" w:rsidP="003475C1">
      <w:pPr>
        <w:pStyle w:val="BodyText"/>
      </w:pPr>
    </w:p>
    <w:p w:rsidR="0050230D" w:rsidP="003475C1">
      <w:pPr>
        <w:pStyle w:val="BodyText"/>
      </w:pPr>
    </w:p>
    <w:p w:rsidR="00000000" w:rsidRPr="003475C1" w:rsidP="003475C1">
      <w:pPr>
        <w:pStyle w:val="Heading1"/>
      </w:pPr>
      <w:bookmarkStart w:id="11" w:name="O_256224"/>
      <w:bookmarkEnd w:id="11"/>
      <w:r w:rsidRPr="003475C1">
        <w:t>Range Statement</w:t>
      </w:r>
    </w:p>
    <w:tbl>
      <w:tblPr>
        <w:tblW w:w="0" w:type="auto"/>
        <w:tblLayout w:type="fixed"/>
        <w:tblCellMar>
          <w:left w:w="62" w:type="dxa"/>
          <w:right w:w="62" w:type="dxa"/>
        </w:tblCellMar>
        <w:tblLook w:val="0000"/>
      </w:tblPr>
      <w:tblGrid>
        <w:gridCol w:w="2206"/>
        <w:gridCol w:w="6254"/>
      </w:tblGrid>
      <w:tr w:rsidTr="0050230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RANGE STATEMENT</w:t>
            </w:r>
          </w:p>
        </w:tc>
      </w:tr>
      <w:tr w:rsidTr="005023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8</w:t>
            </w:r>
            <w:r w:rsidRPr="003475C1">
              <w:t xml:space="preserve">) This relates to the competency standard unit as a whole providing the range of contexts and conditions </w:t>
            </w:r>
            <w:r w:rsidRPr="003475C1">
              <w:t>to which the Performance Criteria apply. It allows for different work environments and situations that will affect performance.</w:t>
            </w:r>
          </w:p>
        </w:tc>
      </w:tr>
      <w:tr w:rsidTr="005023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This Competency Standard Unit shall/may be demonstrated in relation to the development and evaluation of activities required t</w:t>
            </w:r>
            <w:r w:rsidRPr="003475C1">
              <w:t>o place the transmission network in a state in which work can safely be performed whilst minimising customer outages and may include the following:</w:t>
            </w:r>
          </w:p>
          <w:p w:rsidR="00000000" w:rsidRPr="003475C1" w:rsidP="003475C1">
            <w:pPr>
              <w:pStyle w:val="BodyText"/>
            </w:pPr>
            <w:r w:rsidRPr="003475C1">
              <w:t>EHV transmission network; EHV transmission lines; Transformers with EHV windings ; EHV busbars - indoor and/</w:t>
            </w:r>
            <w:r w:rsidRPr="003475C1">
              <w:t>or outdoor as applicable to enterprise; EHV isolators ; EHV switchgear (applicable to enterprise equipment); switching instructions (applicable to enterprise equipment); computers (applicable to enterprise equipment); network diagrams (applicable to enterp</w:t>
            </w:r>
            <w:r w:rsidRPr="003475C1">
              <w:t>rise equipment); access authorities; regulatory requirements.</w:t>
            </w:r>
          </w:p>
          <w:p w:rsidR="00000000" w:rsidRPr="003475C1" w:rsidP="003475C1">
            <w:pPr>
              <w:pStyle w:val="BodyText"/>
            </w:pPr>
            <w:r w:rsidRPr="003475C1">
              <w:t>Conditions and facilities for the calculation of network loading, planning for the management of the network and multiple outages.</w:t>
            </w:r>
          </w:p>
          <w:p w:rsidR="00000000" w:rsidRPr="003475C1" w:rsidP="003475C1">
            <w:pPr>
              <w:pStyle w:val="BodyText"/>
            </w:pPr>
            <w:r w:rsidRPr="003475C1">
              <w:t>Regulatory and enterprise procedures for the compliance with na</w:t>
            </w:r>
            <w:r w:rsidRPr="003475C1">
              <w:t>tional electricity code.</w:t>
            </w:r>
          </w:p>
          <w:p w:rsidR="00000000" w:rsidP="003475C1">
            <w:pPr>
              <w:pStyle w:val="BodyText"/>
              <w:rPr>
                <w:lang w:val="en-NZ"/>
              </w:rPr>
            </w:pPr>
            <w:r w:rsidRPr="003475C1">
              <w:t>The following constants and variables included in the Element/Performance Criteria in this unit are fully described in the Definitions Section 1 of this volume and form an integral part of the Range Statement of this unit:</w:t>
            </w:r>
          </w:p>
        </w:tc>
      </w:tr>
      <w:tr w:rsidTr="0050230D">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p>
        </w:tc>
        <w:tc>
          <w:tcPr>
            <w:tcW w:w="6254" w:type="dxa"/>
            <w:tcBorders>
              <w:top w:val="nil"/>
              <w:left w:val="nil"/>
              <w:bottom w:val="nil"/>
              <w:right w:val="nil"/>
            </w:tcBorders>
            <w:tcMar>
              <w:top w:w="0" w:type="dxa"/>
              <w:left w:w="62" w:type="dxa"/>
              <w:bottom w:w="0" w:type="dxa"/>
              <w:right w:w="62" w:type="dxa"/>
            </w:tcMar>
          </w:tcPr>
          <w:p w:rsidR="00000000" w:rsidRPr="003475C1" w:rsidP="003475C1">
            <w:pPr>
              <w:pStyle w:val="ListBullet"/>
            </w:pPr>
            <w:r w:rsidRPr="003475C1">
              <w:t>Appropriate and relevant persons (see Personnel)</w:t>
            </w:r>
          </w:p>
          <w:p w:rsidR="00000000" w:rsidRPr="003475C1" w:rsidP="003475C1">
            <w:pPr>
              <w:pStyle w:val="ListBullet"/>
            </w:pPr>
            <w:r w:rsidRPr="003475C1">
              <w:t>Appropriate authorities</w:t>
            </w:r>
          </w:p>
          <w:p w:rsidR="00000000" w:rsidRPr="003475C1" w:rsidP="003475C1">
            <w:pPr>
              <w:pStyle w:val="ListBullet"/>
            </w:pPr>
            <w:r w:rsidRPr="003475C1">
              <w:t>Appropriate work platform</w:t>
            </w:r>
          </w:p>
          <w:p w:rsidR="00000000" w:rsidRPr="003475C1" w:rsidP="003475C1">
            <w:pPr>
              <w:pStyle w:val="ListBullet"/>
            </w:pPr>
            <w:r w:rsidRPr="003475C1">
              <w:t>Assessing risk</w:t>
            </w:r>
          </w:p>
          <w:p w:rsidR="00000000" w:rsidRPr="003475C1" w:rsidP="003475C1">
            <w:pPr>
              <w:pStyle w:val="ListBullet"/>
            </w:pPr>
            <w:r w:rsidRPr="003475C1">
              <w:t>Assessment</w:t>
            </w:r>
          </w:p>
          <w:p w:rsidR="00000000" w:rsidRPr="003475C1" w:rsidP="003475C1">
            <w:pPr>
              <w:pStyle w:val="ListBullet"/>
            </w:pPr>
            <w:r w:rsidRPr="003475C1">
              <w:t>Authorisation</w:t>
            </w:r>
          </w:p>
          <w:p w:rsidR="00000000" w:rsidRPr="003475C1" w:rsidP="003475C1">
            <w:pPr>
              <w:pStyle w:val="ListBullet"/>
            </w:pPr>
            <w:r w:rsidRPr="003475C1">
              <w:t>Confined space</w:t>
            </w:r>
          </w:p>
          <w:p w:rsidR="00000000" w:rsidRPr="003475C1" w:rsidP="003475C1">
            <w:pPr>
              <w:pStyle w:val="ListBullet"/>
            </w:pPr>
            <w:r w:rsidRPr="003475C1">
              <w:t>Diagnostic, testing and restoration</w:t>
            </w:r>
          </w:p>
          <w:p w:rsidR="00000000" w:rsidRPr="003475C1" w:rsidP="003475C1">
            <w:pPr>
              <w:pStyle w:val="ListBullet"/>
            </w:pPr>
            <w:r w:rsidRPr="003475C1">
              <w:t>Documenting detail work events, record keeping and or storage of i</w:t>
            </w:r>
            <w:r w:rsidRPr="003475C1">
              <w:t>nformation</w:t>
            </w:r>
          </w:p>
          <w:p w:rsidR="00000000" w:rsidRPr="003475C1" w:rsidP="003475C1">
            <w:pPr>
              <w:pStyle w:val="ListBullet"/>
            </w:pPr>
            <w:r w:rsidRPr="003475C1">
              <w:t xml:space="preserve">Drawings and specifications </w:t>
            </w:r>
          </w:p>
          <w:p w:rsidR="00000000" w:rsidRPr="003475C1" w:rsidP="003475C1">
            <w:pPr>
              <w:pStyle w:val="ListBullet"/>
            </w:pPr>
            <w:r w:rsidRPr="003475C1">
              <w:t>Emergency</w:t>
            </w:r>
          </w:p>
          <w:p w:rsidR="00000000" w:rsidRPr="003475C1" w:rsidP="003475C1">
            <w:pPr>
              <w:pStyle w:val="ListBullet"/>
            </w:pPr>
            <w:r w:rsidRPr="003475C1">
              <w:t>Environmental and sustainable energy procedures</w:t>
            </w:r>
          </w:p>
          <w:p w:rsidR="00000000" w:rsidRPr="003475C1" w:rsidP="003475C1">
            <w:pPr>
              <w:pStyle w:val="ListBullet"/>
            </w:pPr>
            <w:r w:rsidRPr="003475C1">
              <w:t>Environmental legislation</w:t>
            </w:r>
          </w:p>
          <w:p w:rsidR="00000000" w:rsidRPr="003475C1" w:rsidP="003475C1">
            <w:pPr>
              <w:pStyle w:val="ListBullet"/>
            </w:pPr>
            <w:r w:rsidRPr="003475C1">
              <w:t>Environmental management documentation</w:t>
            </w:r>
          </w:p>
          <w:p w:rsidR="00000000" w:rsidRPr="003475C1" w:rsidP="003475C1">
            <w:pPr>
              <w:pStyle w:val="ListBullet"/>
            </w:pPr>
            <w:r w:rsidRPr="003475C1">
              <w:t>Established procedures</w:t>
            </w:r>
          </w:p>
          <w:p w:rsidR="00000000" w:rsidRPr="003475C1" w:rsidP="003475C1">
            <w:pPr>
              <w:pStyle w:val="ListBullet"/>
            </w:pPr>
            <w:r w:rsidRPr="003475C1">
              <w:t>Fall prevention</w:t>
            </w:r>
          </w:p>
          <w:p w:rsidR="00000000" w:rsidRPr="003475C1" w:rsidP="003475C1">
            <w:pPr>
              <w:pStyle w:val="ListBullet"/>
            </w:pPr>
            <w:r w:rsidRPr="003475C1">
              <w:t>Hazards</w:t>
            </w:r>
          </w:p>
          <w:p w:rsidR="00000000" w:rsidRPr="003475C1" w:rsidP="003475C1">
            <w:pPr>
              <w:pStyle w:val="ListBullet"/>
            </w:pPr>
            <w:r w:rsidRPr="003475C1">
              <w:t>Identifying hazards</w:t>
            </w:r>
          </w:p>
          <w:p w:rsidR="00000000" w:rsidRPr="003475C1" w:rsidP="003475C1">
            <w:pPr>
              <w:pStyle w:val="ListBullet"/>
            </w:pPr>
            <w:r w:rsidRPr="003475C1">
              <w:t>Inspect</w:t>
            </w:r>
          </w:p>
          <w:p w:rsidR="00000000" w:rsidRPr="003475C1" w:rsidP="003475C1">
            <w:pPr>
              <w:pStyle w:val="ListBullet"/>
            </w:pPr>
            <w:r w:rsidRPr="003475C1">
              <w:t>Legislation</w:t>
            </w:r>
          </w:p>
          <w:p w:rsidR="00000000" w:rsidRPr="003475C1" w:rsidP="003475C1">
            <w:pPr>
              <w:pStyle w:val="ListBullet"/>
            </w:pPr>
            <w:r w:rsidRPr="003475C1">
              <w:t>MSDS</w:t>
            </w:r>
          </w:p>
          <w:p w:rsidR="00000000" w:rsidRPr="003475C1" w:rsidP="003475C1">
            <w:pPr>
              <w:pStyle w:val="ListBullet"/>
            </w:pPr>
            <w:r w:rsidRPr="003475C1">
              <w:t>Notification</w:t>
            </w:r>
          </w:p>
          <w:p w:rsidR="00000000" w:rsidRPr="003475C1" w:rsidP="003475C1">
            <w:pPr>
              <w:pStyle w:val="ListBullet"/>
            </w:pPr>
            <w:r w:rsidRPr="003475C1">
              <w:t>OHS practices</w:t>
            </w:r>
          </w:p>
          <w:p w:rsidR="00000000" w:rsidRPr="003475C1" w:rsidP="003475C1">
            <w:pPr>
              <w:pStyle w:val="ListBullet"/>
            </w:pPr>
            <w:r w:rsidRPr="003475C1">
              <w:t>OHS issues</w:t>
            </w:r>
          </w:p>
          <w:p w:rsidR="00000000" w:rsidRPr="003475C1" w:rsidP="003475C1">
            <w:pPr>
              <w:pStyle w:val="ListBullet"/>
            </w:pPr>
            <w:r w:rsidRPr="003475C1">
              <w:t>Permits and/or permits to work</w:t>
            </w:r>
          </w:p>
          <w:p w:rsidR="00000000" w:rsidRPr="003475C1" w:rsidP="003475C1">
            <w:pPr>
              <w:pStyle w:val="ListBullet"/>
            </w:pPr>
            <w:r w:rsidRPr="003475C1">
              <w:t>Personnel</w:t>
            </w:r>
          </w:p>
          <w:p w:rsidR="00000000" w:rsidRPr="003475C1" w:rsidP="003475C1">
            <w:pPr>
              <w:pStyle w:val="ListBullet"/>
            </w:pPr>
            <w:r w:rsidRPr="003475C1">
              <w:t>Quality assurance systems</w:t>
            </w:r>
          </w:p>
          <w:p w:rsidR="00000000" w:rsidRPr="003475C1" w:rsidP="003475C1">
            <w:pPr>
              <w:pStyle w:val="ListBullet"/>
            </w:pPr>
            <w:r w:rsidRPr="003475C1">
              <w:t>Requirements</w:t>
            </w:r>
          </w:p>
          <w:p w:rsidR="00000000" w:rsidRPr="003475C1" w:rsidP="003475C1">
            <w:pPr>
              <w:pStyle w:val="ListBullet"/>
            </w:pPr>
            <w:r w:rsidRPr="003475C1">
              <w:t>Testing procedures</w:t>
            </w:r>
          </w:p>
          <w:p w:rsidR="00000000" w:rsidRPr="003475C1" w:rsidP="003475C1">
            <w:pPr>
              <w:pStyle w:val="ListBullet"/>
            </w:pPr>
            <w:r w:rsidRPr="003475C1">
              <w:t>Work clearance systems</w:t>
            </w:r>
          </w:p>
        </w:tc>
      </w:tr>
    </w:tbl>
    <w:p w:rsidR="0050230D" w:rsidP="003475C1">
      <w:pPr>
        <w:pStyle w:val="BodyText"/>
      </w:pPr>
    </w:p>
    <w:p w:rsidR="0050230D" w:rsidP="003475C1">
      <w:pPr>
        <w:pStyle w:val="BodyText"/>
      </w:pPr>
    </w:p>
    <w:p w:rsidR="00000000" w:rsidRPr="003475C1" w:rsidP="003475C1">
      <w:pPr>
        <w:pStyle w:val="Heading1"/>
      </w:pPr>
      <w:bookmarkStart w:id="12" w:name="O_297237"/>
      <w:bookmarkEnd w:id="12"/>
      <w:r w:rsidRPr="003475C1">
        <w:t>Unit Sector(s)</w:t>
      </w:r>
    </w:p>
    <w:p w:rsidR="00000000" w:rsidRPr="003475C1" w:rsidP="003475C1">
      <w:pPr>
        <w:pStyle w:val="BodyText"/>
      </w:pPr>
      <w:r w:rsidRPr="003475C1">
        <w:t>Not Applicable</w:t>
      </w:r>
    </w:p>
    <w:p w:rsidR="00000000" w:rsidRPr="003475C1" w:rsidP="003475C1">
      <w:pPr>
        <w:pStyle w:val="AllowPageBreak"/>
      </w:pPr>
    </w:p>
    <w:p w:rsidR="00000000" w:rsidRPr="003475C1" w:rsidP="003475C1">
      <w:pPr>
        <w:pStyle w:val="Heading1"/>
      </w:pPr>
      <w:bookmarkStart w:id="13" w:name="O_231952"/>
      <w:bookmarkEnd w:id="13"/>
      <w:r w:rsidRPr="003475C1">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0230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2</w:t>
            </w:r>
            <w:r w:rsidRPr="003475C1">
              <w:t>.</w:t>
            </w:r>
            <w:r w:rsidRPr="003475C1">
              <w:rPr>
                <w:rStyle w:val="SpecialBold"/>
              </w:rPr>
              <w:t>2</w:t>
            </w:r>
            <w:r w:rsidRPr="003475C1">
              <w:t xml:space="preserve">) </w:t>
            </w:r>
            <w:r w:rsidRPr="003475C1">
              <w:rPr>
                <w:rStyle w:val="SpecialBold"/>
              </w:rPr>
              <w:t>Literacy and numeracy skills</w:t>
            </w:r>
          </w:p>
          <w:p w:rsidR="00000000" w:rsidP="003475C1">
            <w:pPr>
              <w:pStyle w:val="BodyText"/>
              <w:rPr>
                <w:lang w:val="en-NZ"/>
              </w:rPr>
            </w:pPr>
            <w:r w:rsidRPr="003475C1">
              <w:t>Participants are best equipped to achieve this unit if they have reading, writing and numeracy skills indicated by the following scales. Description of each scale is given in Volume 2, Par</w:t>
            </w:r>
            <w:r w:rsidRPr="003475C1">
              <w:t>t 3 "Literacy and Numeracy"</w:t>
            </w:r>
          </w:p>
        </w:tc>
      </w:tr>
      <w:tr w:rsidTr="0050230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Reading</w:t>
            </w:r>
          </w:p>
        </w:tc>
        <w:tc>
          <w:tcPr>
            <w:tcW w:w="1182"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5</w:t>
            </w:r>
          </w:p>
        </w:tc>
        <w:tc>
          <w:tcPr>
            <w:tcW w:w="1739"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Writing</w:t>
            </w:r>
          </w:p>
        </w:tc>
        <w:tc>
          <w:tcPr>
            <w:tcW w:w="1182"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5</w:t>
            </w:r>
          </w:p>
        </w:tc>
        <w:tc>
          <w:tcPr>
            <w:tcW w:w="1721"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t>Numeracy</w:t>
            </w:r>
          </w:p>
        </w:tc>
        <w:tc>
          <w:tcPr>
            <w:tcW w:w="1182"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5</w:t>
            </w:r>
          </w:p>
        </w:tc>
      </w:tr>
    </w:tbl>
    <w:p w:rsidR="0050230D" w:rsidP="003475C1">
      <w:pPr>
        <w:pStyle w:val="BodyText"/>
      </w:pPr>
    </w:p>
    <w:p w:rsidR="0050230D" w:rsidP="003475C1">
      <w:pPr>
        <w:pStyle w:val="BodyText"/>
      </w:pPr>
    </w:p>
    <w:p w:rsidR="00000000" w:rsidRPr="003475C1" w:rsidP="003475C1">
      <w:pPr>
        <w:pStyle w:val="Heading1"/>
      </w:pPr>
      <w:bookmarkStart w:id="14" w:name="O_231955"/>
      <w:bookmarkEnd w:id="14"/>
      <w:r w:rsidRPr="003475C1">
        <w:t>Competency Field</w:t>
      </w:r>
    </w:p>
    <w:tbl>
      <w:tblPr>
        <w:tblW w:w="0" w:type="auto"/>
        <w:tblLayout w:type="fixed"/>
        <w:tblCellMar>
          <w:left w:w="62" w:type="dxa"/>
          <w:right w:w="62" w:type="dxa"/>
        </w:tblCellMar>
        <w:tblLook w:val="0000"/>
      </w:tblPr>
      <w:tblGrid>
        <w:gridCol w:w="2700"/>
        <w:gridCol w:w="5760"/>
      </w:tblGrid>
      <w:tr w:rsidTr="0050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475C1">
            <w:pPr>
              <w:pStyle w:val="BodyText"/>
              <w:rPr>
                <w:lang w:val="en-NZ"/>
              </w:rPr>
            </w:pPr>
            <w:r w:rsidRPr="003475C1">
              <w:rPr>
                <w:rStyle w:val="SpecialBold"/>
              </w:rPr>
              <w:t>5</w:t>
            </w:r>
            <w:r w:rsidRPr="003475C1">
              <w:t>)</w:t>
            </w:r>
          </w:p>
        </w:tc>
      </w:tr>
      <w:tr w:rsidTr="0050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75C1" w:rsidP="003475C1">
            <w:pPr>
              <w:pStyle w:val="BodyText"/>
            </w:pPr>
            <w:r w:rsidRPr="003475C1">
              <w:t>System Operation Units</w:t>
            </w:r>
          </w:p>
        </w:tc>
      </w:tr>
    </w:tbl>
    <w:p w:rsidR="0050230D" w:rsidP="003475C1">
      <w:pPr>
        <w:pStyle w:val="BodyText"/>
      </w:pPr>
    </w:p>
    <w:p w:rsidR="0050230D" w:rsidP="003475C1">
      <w:pPr>
        <w:pStyle w:val="BodyText"/>
      </w:pPr>
    </w:p>
    <w:p w:rsidR="00000000" w:rsidRPr="003475C1" w:rsidP="003475C1"/>
    <w:sectPr w:rsidSect="00347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30D" w:rsidP="00502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30D" w:rsidP="00347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0230D" w:rsidP="003475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0230D" w:rsidP="003475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30D" w:rsidP="005023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30D" w:rsidP="003475C1">
    <w:pPr>
      <w:pStyle w:val="Header"/>
      <w:framePr w:wrap="around"/>
    </w:pPr>
    <w:r>
      <w:fldChar w:fldCharType="begin"/>
    </w:r>
    <w:r>
      <w:instrText xml:space="preserve"> TITLE   \* MERGEFORMAT </w:instrText>
    </w:r>
    <w:r>
      <w:fldChar w:fldCharType="separate"/>
    </w:r>
    <w:r>
      <w:t>UETTDRSO08B Develop and evaluate transmission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230D" w:rsidP="003475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CF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61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A2F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5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5C1"/>
    <w:pPr>
      <w:spacing w:before="360" w:after="60"/>
      <w:outlineLvl w:val="0"/>
    </w:pPr>
    <w:rPr>
      <w:sz w:val="32"/>
    </w:rPr>
  </w:style>
  <w:style w:type="paragraph" w:styleId="Heading2">
    <w:name w:val="heading 2"/>
    <w:basedOn w:val="HeadingBase"/>
    <w:next w:val="BodyText"/>
    <w:link w:val="Heading2Char"/>
    <w:qFormat/>
    <w:rsid w:val="003475C1"/>
    <w:pPr>
      <w:keepLines/>
      <w:spacing w:before="240" w:after="120"/>
      <w:outlineLvl w:val="1"/>
    </w:pPr>
    <w:rPr>
      <w:sz w:val="28"/>
      <w:szCs w:val="40"/>
    </w:rPr>
  </w:style>
  <w:style w:type="paragraph" w:styleId="Heading3">
    <w:name w:val="heading 3"/>
    <w:basedOn w:val="HeadingBase"/>
    <w:next w:val="BodyText"/>
    <w:link w:val="Heading3Char"/>
    <w:qFormat/>
    <w:rsid w:val="003475C1"/>
    <w:pPr>
      <w:spacing w:before="180" w:after="120"/>
      <w:outlineLvl w:val="2"/>
    </w:pPr>
    <w:rPr>
      <w:spacing w:val="-10"/>
      <w:kern w:val="32"/>
    </w:rPr>
  </w:style>
  <w:style w:type="paragraph" w:styleId="Heading4">
    <w:name w:val="heading 4"/>
    <w:basedOn w:val="HeadingBase"/>
    <w:next w:val="BodyText"/>
    <w:link w:val="Heading4Char"/>
    <w:qFormat/>
    <w:rsid w:val="003475C1"/>
    <w:pPr>
      <w:spacing w:before="160" w:after="120"/>
      <w:outlineLvl w:val="3"/>
    </w:pPr>
    <w:rPr>
      <w:sz w:val="22"/>
    </w:rPr>
  </w:style>
  <w:style w:type="paragraph" w:styleId="Heading5">
    <w:name w:val="heading 5"/>
    <w:basedOn w:val="HeadingBase"/>
    <w:next w:val="Normal"/>
    <w:link w:val="Heading5Char"/>
    <w:qFormat/>
    <w:rsid w:val="003475C1"/>
    <w:pPr>
      <w:spacing w:before="80"/>
      <w:outlineLvl w:val="4"/>
    </w:pPr>
    <w:rPr>
      <w:color w:val="918585"/>
      <w:sz w:val="20"/>
    </w:rPr>
  </w:style>
  <w:style w:type="paragraph" w:styleId="Heading6">
    <w:name w:val="heading 6"/>
    <w:basedOn w:val="HeadingBase"/>
    <w:next w:val="Normal"/>
    <w:link w:val="Heading6Char"/>
    <w:qFormat/>
    <w:rsid w:val="003475C1"/>
    <w:pPr>
      <w:spacing w:before="60"/>
      <w:outlineLvl w:val="5"/>
    </w:pPr>
    <w:rPr>
      <w:color w:val="918585"/>
      <w:sz w:val="20"/>
    </w:rPr>
  </w:style>
  <w:style w:type="paragraph" w:styleId="Heading7">
    <w:name w:val="heading 7"/>
    <w:basedOn w:val="Normal"/>
    <w:next w:val="Normal"/>
    <w:link w:val="Heading7Char"/>
    <w:qFormat/>
    <w:rsid w:val="003475C1"/>
    <w:pPr>
      <w:ind w:left="720"/>
      <w:outlineLvl w:val="6"/>
    </w:pPr>
    <w:rPr>
      <w:i/>
    </w:rPr>
  </w:style>
  <w:style w:type="paragraph" w:styleId="Heading8">
    <w:name w:val="heading 8"/>
    <w:basedOn w:val="Normal"/>
    <w:next w:val="Normal"/>
    <w:link w:val="Heading8Char"/>
    <w:qFormat/>
    <w:rsid w:val="003475C1"/>
    <w:pPr>
      <w:ind w:left="720"/>
      <w:outlineLvl w:val="7"/>
    </w:pPr>
    <w:rPr>
      <w:i/>
    </w:rPr>
  </w:style>
  <w:style w:type="paragraph" w:styleId="Heading9">
    <w:name w:val="heading 9"/>
    <w:basedOn w:val="Normal"/>
    <w:next w:val="Normal"/>
    <w:link w:val="Heading9Char"/>
    <w:qFormat/>
    <w:rsid w:val="003475C1"/>
    <w:pPr>
      <w:ind w:left="720"/>
      <w:outlineLvl w:val="8"/>
    </w:pPr>
    <w:rPr>
      <w:i/>
    </w:rPr>
  </w:style>
  <w:style w:type="character" w:default="1" w:styleId="DefaultParagraphFont">
    <w:name w:val="Default Paragraph Font"/>
    <w:uiPriority w:val="1"/>
    <w:unhideWhenUsed/>
    <w:rsid w:val="00347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5C1"/>
  </w:style>
  <w:style w:type="character" w:customStyle="1" w:styleId="Heading1Char">
    <w:name w:val="Heading 1 Char"/>
    <w:basedOn w:val="DefaultParagraphFont"/>
    <w:link w:val="Heading1"/>
    <w:rsid w:val="003475C1"/>
    <w:rPr>
      <w:rFonts w:ascii="Times New Roman" w:eastAsia="Times New Roman" w:hAnsi="Times New Roman" w:cs="Times New Roman"/>
      <w:b/>
      <w:sz w:val="32"/>
      <w:szCs w:val="20"/>
      <w:lang w:eastAsia="en-US"/>
    </w:rPr>
  </w:style>
  <w:style w:type="paragraph" w:styleId="BodyText">
    <w:name w:val="Body Text"/>
    <w:basedOn w:val="Normal"/>
    <w:link w:val="BodyTextChar"/>
    <w:rsid w:val="00347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5C1"/>
    <w:rPr>
      <w:rFonts w:ascii="Times New Roman" w:eastAsia="Times New Roman" w:hAnsi="Times New Roman" w:cs="Times New Roman"/>
      <w:sz w:val="24"/>
      <w:lang w:val="en-US" w:eastAsia="en-US"/>
    </w:rPr>
  </w:style>
  <w:style w:type="paragraph" w:styleId="Footer">
    <w:name w:val="footer"/>
    <w:basedOn w:val="Normal"/>
    <w:link w:val="FooterChar"/>
    <w:rsid w:val="00347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5C1"/>
    <w:rPr>
      <w:rFonts w:ascii="Times New Roman" w:eastAsia="Times New Roman" w:hAnsi="Times New Roman" w:cs="Times New Roman"/>
      <w:sz w:val="16"/>
      <w:lang w:val="en-US" w:eastAsia="en-US"/>
    </w:rPr>
  </w:style>
  <w:style w:type="paragraph" w:styleId="ListBullet">
    <w:name w:val="List Bullet"/>
    <w:basedOn w:val="List"/>
    <w:rsid w:val="003475C1"/>
    <w:pPr>
      <w:numPr>
        <w:numId w:val="13"/>
      </w:numPr>
      <w:tabs>
        <w:tab w:val="clear" w:pos="340"/>
      </w:tabs>
      <w:spacing w:before="40" w:after="40"/>
    </w:pPr>
  </w:style>
  <w:style w:type="character" w:customStyle="1" w:styleId="SpecialBold">
    <w:name w:val="Special Bold"/>
    <w:basedOn w:val="DefaultParagraphFont"/>
    <w:rsid w:val="003475C1"/>
    <w:rPr>
      <w:b/>
      <w:spacing w:val="0"/>
    </w:rPr>
  </w:style>
  <w:style w:type="paragraph" w:styleId="ListBullet2">
    <w:name w:val="List Bullet 2"/>
    <w:basedOn w:val="List2"/>
    <w:rsid w:val="003475C1"/>
    <w:pPr>
      <w:numPr>
        <w:numId w:val="14"/>
      </w:numPr>
      <w:tabs>
        <w:tab w:val="clear" w:pos="680"/>
      </w:tabs>
    </w:pPr>
  </w:style>
  <w:style w:type="paragraph" w:styleId="Header">
    <w:name w:val="header"/>
    <w:basedOn w:val="Normal"/>
    <w:link w:val="HeaderChar"/>
    <w:rsid w:val="00347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5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5C1"/>
    <w:pPr>
      <w:spacing w:before="240" w:after="120"/>
      <w:outlineLvl w:val="0"/>
    </w:pPr>
    <w:rPr>
      <w:rFonts w:ascii="Times New Roman" w:hAnsi="Times New Roman"/>
      <w:b/>
      <w:sz w:val="28"/>
    </w:rPr>
  </w:style>
  <w:style w:type="paragraph" w:customStyle="1" w:styleId="AllowPageBreak">
    <w:name w:val="AllowPageBreak"/>
    <w:rsid w:val="00347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5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5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5C1"/>
    <w:rPr>
      <w:rFonts w:ascii="Courier New" w:eastAsia="Times New Roman" w:hAnsi="Courier New" w:cs="Times New Roman"/>
      <w:i/>
      <w:szCs w:val="20"/>
      <w:lang w:val="en-US" w:eastAsia="en-US"/>
    </w:rPr>
  </w:style>
  <w:style w:type="paragraph" w:customStyle="1" w:styleId="HeadingBase">
    <w:name w:val="Heading Base"/>
    <w:rsid w:val="00347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5C1"/>
    <w:pPr>
      <w:tabs>
        <w:tab w:val="right" w:leader="dot" w:pos="9072"/>
      </w:tabs>
      <w:ind w:left="567"/>
    </w:pPr>
    <w:rPr>
      <w:szCs w:val="22"/>
    </w:rPr>
  </w:style>
  <w:style w:type="paragraph" w:customStyle="1" w:styleId="TOCBase">
    <w:name w:val="TOC Base"/>
    <w:rsid w:val="00347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5C1"/>
    <w:pPr>
      <w:tabs>
        <w:tab w:val="right" w:leader="dot" w:pos="9072"/>
      </w:tabs>
      <w:spacing w:before="40" w:after="40"/>
      <w:ind w:left="284"/>
    </w:pPr>
    <w:rPr>
      <w:rFonts w:ascii="Times New Roman" w:hAnsi="Times New Roman"/>
    </w:rPr>
  </w:style>
  <w:style w:type="paragraph" w:styleId="TOC1">
    <w:name w:val="toc 1"/>
    <w:basedOn w:val="TOCBase"/>
    <w:next w:val="Normal"/>
    <w:rsid w:val="003475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5C1"/>
    <w:pPr>
      <w:spacing w:before="5040"/>
      <w:jc w:val="center"/>
    </w:pPr>
    <w:rPr>
      <w:sz w:val="48"/>
      <w:szCs w:val="72"/>
      <w:lang w:val="en-US"/>
    </w:rPr>
  </w:style>
  <w:style w:type="character" w:customStyle="1" w:styleId="TitleChar">
    <w:name w:val="Title Char"/>
    <w:basedOn w:val="DefaultParagraphFont"/>
    <w:link w:val="Title"/>
    <w:rsid w:val="00347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5C1"/>
    <w:pPr>
      <w:tabs>
        <w:tab w:val="left" w:pos="3600"/>
        <w:tab w:val="left" w:pos="3958"/>
      </w:tabs>
    </w:pPr>
  </w:style>
  <w:style w:type="paragraph" w:styleId="List">
    <w:name w:val="List"/>
    <w:basedOn w:val="BodyText"/>
    <w:next w:val="BodyText"/>
    <w:rsid w:val="003475C1"/>
    <w:pPr>
      <w:tabs>
        <w:tab w:val="left" w:pos="340"/>
      </w:tabs>
      <w:spacing w:before="60" w:after="60"/>
      <w:ind w:left="340" w:hanging="340"/>
    </w:pPr>
  </w:style>
  <w:style w:type="paragraph" w:customStyle="1" w:styleId="Note">
    <w:name w:val="Note"/>
    <w:basedOn w:val="BodyText"/>
    <w:rsid w:val="00347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5C1"/>
    <w:pPr>
      <w:framePr w:wrap="auto" w:hAnchor="text" w:y="6049"/>
    </w:pPr>
    <w:rPr>
      <w:color w:val="000000"/>
      <w:sz w:val="40"/>
    </w:rPr>
  </w:style>
  <w:style w:type="paragraph" w:customStyle="1" w:styleId="TOCTitle">
    <w:name w:val="TOCTitle"/>
    <w:basedOn w:val="Heading1"/>
    <w:rsid w:val="003475C1"/>
    <w:pPr>
      <w:spacing w:after="240"/>
      <w:jc w:val="center"/>
      <w:outlineLvl w:val="9"/>
    </w:pPr>
    <w:rPr>
      <w:caps/>
    </w:rPr>
  </w:style>
  <w:style w:type="paragraph" w:customStyle="1" w:styleId="Version">
    <w:name w:val="Version"/>
    <w:rsid w:val="003475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5C1"/>
    <w:pPr>
      <w:keepNext w:val="0"/>
      <w:tabs>
        <w:tab w:val="right" w:pos="4176"/>
      </w:tabs>
      <w:ind w:left="198" w:hanging="198"/>
    </w:pPr>
    <w:rPr>
      <w:rFonts w:ascii="Garamond" w:hAnsi="Garamond"/>
    </w:rPr>
  </w:style>
  <w:style w:type="paragraph" w:styleId="IndexHeading">
    <w:name w:val="index heading"/>
    <w:basedOn w:val="Normal"/>
    <w:next w:val="Index1"/>
    <w:semiHidden/>
    <w:rsid w:val="003475C1"/>
    <w:pPr>
      <w:spacing w:before="120" w:after="120"/>
    </w:pPr>
    <w:rPr>
      <w:rFonts w:ascii="Arial" w:hAnsi="Arial"/>
      <w:b/>
      <w:color w:val="918585"/>
      <w:sz w:val="24"/>
    </w:rPr>
  </w:style>
  <w:style w:type="paragraph" w:customStyle="1" w:styleId="Chapter">
    <w:name w:val="Chapter"/>
    <w:basedOn w:val="Normal"/>
    <w:rsid w:val="003475C1"/>
    <w:pPr>
      <w:spacing w:before="240"/>
    </w:pPr>
    <w:rPr>
      <w:rFonts w:ascii="Times New Roman" w:hAnsi="Times New Roman"/>
      <w:smallCaps/>
      <w:spacing w:val="80"/>
      <w:sz w:val="28"/>
    </w:rPr>
  </w:style>
  <w:style w:type="paragraph" w:customStyle="1" w:styleId="InChapter">
    <w:name w:val="InChapter"/>
    <w:basedOn w:val="Heading3"/>
    <w:rsid w:val="003475C1"/>
    <w:pPr>
      <w:spacing w:after="240"/>
      <w:outlineLvl w:val="9"/>
    </w:pPr>
    <w:rPr>
      <w:noProof/>
    </w:rPr>
  </w:style>
  <w:style w:type="paragraph" w:styleId="Index2">
    <w:name w:val="index 2"/>
    <w:basedOn w:val="Normal"/>
    <w:next w:val="Normal"/>
    <w:semiHidden/>
    <w:rsid w:val="003475C1"/>
    <w:pPr>
      <w:tabs>
        <w:tab w:val="right" w:pos="4176"/>
      </w:tabs>
      <w:ind w:left="568" w:hanging="284"/>
    </w:pPr>
    <w:rPr>
      <w:rFonts w:ascii="Garamond" w:hAnsi="Garamond"/>
    </w:rPr>
  </w:style>
  <w:style w:type="paragraph" w:customStyle="1" w:styleId="Byline">
    <w:name w:val="Byline"/>
    <w:rsid w:val="00347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5C1"/>
    <w:pPr>
      <w:tabs>
        <w:tab w:val="clear" w:pos="3600"/>
        <w:tab w:val="clear" w:pos="3958"/>
      </w:tabs>
      <w:jc w:val="right"/>
    </w:pPr>
  </w:style>
  <w:style w:type="character" w:styleId="Emphasis">
    <w:name w:val="Emphasis"/>
    <w:basedOn w:val="DefaultParagraphFont"/>
    <w:qFormat/>
    <w:rsid w:val="003475C1"/>
    <w:rPr>
      <w:i/>
    </w:rPr>
  </w:style>
  <w:style w:type="paragraph" w:styleId="Caption">
    <w:name w:val="caption"/>
    <w:basedOn w:val="BodyText"/>
    <w:next w:val="Normal"/>
    <w:qFormat/>
    <w:rsid w:val="003475C1"/>
    <w:pPr>
      <w:framePr w:w="2268" w:hSpace="181" w:vSpace="181" w:wrap="around" w:vAnchor="text" w:hAnchor="page" w:x="1135" w:y="285" w:anchorLock="1"/>
    </w:pPr>
    <w:rPr>
      <w:i/>
    </w:rPr>
  </w:style>
  <w:style w:type="paragraph" w:customStyle="1" w:styleId="MiniTOCTitle">
    <w:name w:val="MiniTOCTitle"/>
    <w:basedOn w:val="Heading4"/>
    <w:rsid w:val="003475C1"/>
    <w:pPr>
      <w:spacing w:before="240"/>
      <w:outlineLvl w:val="9"/>
    </w:pPr>
    <w:rPr>
      <w:noProof/>
      <w:sz w:val="24"/>
    </w:rPr>
  </w:style>
  <w:style w:type="paragraph" w:customStyle="1" w:styleId="MiniTOCItem">
    <w:name w:val="MiniTOCItem"/>
    <w:basedOn w:val="ListBullet"/>
    <w:rsid w:val="003475C1"/>
    <w:pPr>
      <w:numPr>
        <w:numId w:val="0"/>
      </w:numPr>
      <w:tabs>
        <w:tab w:val="right" w:leader="dot" w:pos="6521"/>
      </w:tabs>
      <w:spacing w:before="0" w:after="0"/>
    </w:pPr>
  </w:style>
  <w:style w:type="paragraph" w:customStyle="1" w:styleId="TOFTitle">
    <w:name w:val="TOFTitle"/>
    <w:basedOn w:val="TOCTitle"/>
    <w:rsid w:val="003475C1"/>
  </w:style>
  <w:style w:type="paragraph" w:styleId="TableofFigures">
    <w:name w:val="table of figures"/>
    <w:basedOn w:val="Normal"/>
    <w:next w:val="Normal"/>
    <w:semiHidden/>
    <w:rsid w:val="003475C1"/>
    <w:pPr>
      <w:tabs>
        <w:tab w:val="right" w:leader="dot" w:pos="9072"/>
      </w:tabs>
      <w:ind w:left="970" w:hanging="403"/>
    </w:pPr>
    <w:rPr>
      <w:rFonts w:ascii="Times New Roman" w:hAnsi="Times New Roman"/>
      <w:b/>
    </w:rPr>
  </w:style>
  <w:style w:type="paragraph" w:styleId="ListNumber">
    <w:name w:val="List Number"/>
    <w:basedOn w:val="List"/>
    <w:rsid w:val="003475C1"/>
    <w:pPr>
      <w:numPr>
        <w:numId w:val="11"/>
      </w:numPr>
    </w:pPr>
  </w:style>
  <w:style w:type="character" w:customStyle="1" w:styleId="WingdingSymbols">
    <w:name w:val="Wingding Symbols"/>
    <w:rsid w:val="003475C1"/>
    <w:rPr>
      <w:rFonts w:ascii="Wingdings" w:hAnsi="Wingdings"/>
    </w:rPr>
  </w:style>
  <w:style w:type="paragraph" w:customStyle="1" w:styleId="TableHeading">
    <w:name w:val="Table Heading"/>
    <w:basedOn w:val="HeadingBase"/>
    <w:rsid w:val="003475C1"/>
    <w:pPr>
      <w:keepLines/>
      <w:pBdr>
        <w:bottom w:val="single" w:sz="6" w:space="1" w:color="918585"/>
      </w:pBdr>
      <w:spacing w:before="240"/>
    </w:pPr>
  </w:style>
  <w:style w:type="character" w:customStyle="1" w:styleId="HotSpot">
    <w:name w:val="HotSpot"/>
    <w:rsid w:val="003475C1"/>
    <w:rPr>
      <w:color w:val="0033CC"/>
      <w:u w:val="none"/>
    </w:rPr>
  </w:style>
  <w:style w:type="paragraph" w:customStyle="1" w:styleId="BodyTextRight">
    <w:name w:val="Body Text Right"/>
    <w:basedOn w:val="BodyText"/>
    <w:rsid w:val="003475C1"/>
    <w:pPr>
      <w:spacing w:before="0" w:after="0"/>
      <w:jc w:val="right"/>
    </w:pPr>
  </w:style>
  <w:style w:type="paragraph" w:styleId="Index3">
    <w:name w:val="index 3"/>
    <w:basedOn w:val="ListNumber2"/>
    <w:next w:val="Normal"/>
    <w:semiHidden/>
    <w:rsid w:val="003475C1"/>
    <w:pPr>
      <w:numPr>
        <w:numId w:val="0"/>
      </w:numPr>
      <w:tabs>
        <w:tab w:val="right" w:leader="dot" w:pos="4176"/>
      </w:tabs>
    </w:pPr>
  </w:style>
  <w:style w:type="paragraph" w:styleId="ListNumber2">
    <w:name w:val="List Number 2"/>
    <w:basedOn w:val="List2"/>
    <w:rsid w:val="003475C1"/>
    <w:pPr>
      <w:numPr>
        <w:numId w:val="10"/>
      </w:numPr>
      <w:tabs>
        <w:tab w:val="clear" w:pos="1060"/>
      </w:tabs>
    </w:pPr>
  </w:style>
  <w:style w:type="paragraph" w:customStyle="1" w:styleId="MarginNote">
    <w:name w:val="Margin Note"/>
    <w:basedOn w:val="BodyText"/>
    <w:rsid w:val="00347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5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5C1"/>
    <w:rPr>
      <w:sz w:val="32"/>
    </w:rPr>
  </w:style>
  <w:style w:type="paragraph" w:customStyle="1" w:styleId="HeadingProcedure">
    <w:name w:val="Heading Procedure"/>
    <w:basedOn w:val="HeadingBase"/>
    <w:next w:val="Normal"/>
    <w:rsid w:val="003475C1"/>
    <w:pPr>
      <w:tabs>
        <w:tab w:val="left" w:pos="0"/>
      </w:tabs>
      <w:spacing w:before="120" w:after="60"/>
    </w:pPr>
    <w:rPr>
      <w:i/>
      <w:color w:val="918585"/>
      <w:sz w:val="22"/>
    </w:rPr>
  </w:style>
  <w:style w:type="paragraph" w:customStyle="1" w:styleId="TableBodyText">
    <w:name w:val="Table Body Text"/>
    <w:basedOn w:val="BodyText"/>
    <w:rsid w:val="003475C1"/>
    <w:pPr>
      <w:spacing w:before="60" w:after="60"/>
    </w:pPr>
  </w:style>
  <w:style w:type="paragraph" w:styleId="ListContinue">
    <w:name w:val="List Continue"/>
    <w:basedOn w:val="List"/>
    <w:rsid w:val="003475C1"/>
    <w:pPr>
      <w:ind w:firstLine="0"/>
    </w:pPr>
  </w:style>
  <w:style w:type="paragraph" w:customStyle="1" w:styleId="ListNote">
    <w:name w:val="List Note"/>
    <w:basedOn w:val="List"/>
    <w:rsid w:val="003475C1"/>
    <w:pPr>
      <w:pBdr>
        <w:top w:val="single" w:sz="6" w:space="2" w:color="918585"/>
        <w:bottom w:val="single" w:sz="6" w:space="2" w:color="918585"/>
      </w:pBdr>
      <w:tabs>
        <w:tab w:val="left" w:pos="1021"/>
      </w:tabs>
      <w:ind w:firstLine="0"/>
    </w:pPr>
  </w:style>
  <w:style w:type="paragraph" w:customStyle="1" w:styleId="Warning">
    <w:name w:val="Warning"/>
    <w:basedOn w:val="BodyText"/>
    <w:rsid w:val="003475C1"/>
    <w:pPr>
      <w:shd w:val="clear" w:color="auto" w:fill="D9D9D9"/>
      <w:tabs>
        <w:tab w:val="left" w:pos="992"/>
      </w:tabs>
      <w:ind w:left="119" w:right="119"/>
    </w:pPr>
    <w:rPr>
      <w:sz w:val="20"/>
    </w:rPr>
  </w:style>
  <w:style w:type="paragraph" w:customStyle="1" w:styleId="MarginIcons">
    <w:name w:val="Margin Icons"/>
    <w:basedOn w:val="BodyText"/>
    <w:rsid w:val="00347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5C1"/>
    <w:rPr>
      <w:rFonts w:ascii="Courier New" w:hAnsi="Courier New"/>
    </w:rPr>
  </w:style>
  <w:style w:type="paragraph" w:customStyle="1" w:styleId="NoteBullet">
    <w:name w:val="Note Bullet"/>
    <w:basedOn w:val="Note"/>
    <w:rsid w:val="003475C1"/>
    <w:pPr>
      <w:tabs>
        <w:tab w:val="clear" w:pos="680"/>
      </w:tabs>
      <w:spacing w:before="60" w:after="60"/>
    </w:pPr>
  </w:style>
  <w:style w:type="paragraph" w:customStyle="1" w:styleId="SubHeading2">
    <w:name w:val="SubHeading2"/>
    <w:basedOn w:val="HeadingBase"/>
    <w:rsid w:val="003475C1"/>
    <w:pPr>
      <w:spacing w:before="240" w:after="60"/>
    </w:pPr>
    <w:rPr>
      <w:sz w:val="20"/>
    </w:rPr>
  </w:style>
  <w:style w:type="paragraph" w:customStyle="1" w:styleId="SubHeading1">
    <w:name w:val="SubHeading1"/>
    <w:basedOn w:val="HeadingBase"/>
    <w:rsid w:val="003475C1"/>
    <w:pPr>
      <w:spacing w:before="240" w:after="60"/>
    </w:pPr>
    <w:rPr>
      <w:color w:val="918585"/>
      <w:sz w:val="22"/>
    </w:rPr>
  </w:style>
  <w:style w:type="paragraph" w:customStyle="1" w:styleId="SideHeading">
    <w:name w:val="Side Heading"/>
    <w:basedOn w:val="HeadingBase"/>
    <w:rsid w:val="00347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5C1"/>
    <w:pPr>
      <w:numPr>
        <w:numId w:val="12"/>
      </w:numPr>
    </w:pPr>
  </w:style>
  <w:style w:type="paragraph" w:styleId="PlainText">
    <w:name w:val="Plain Text"/>
    <w:basedOn w:val="Normal"/>
    <w:link w:val="PlainTextChar"/>
    <w:rsid w:val="003475C1"/>
    <w:rPr>
      <w:sz w:val="20"/>
    </w:rPr>
  </w:style>
  <w:style w:type="character" w:customStyle="1" w:styleId="PlainTextChar">
    <w:name w:val="Plain Text Char"/>
    <w:basedOn w:val="DefaultParagraphFont"/>
    <w:link w:val="PlainText"/>
    <w:rsid w:val="003475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5C1"/>
    <w:rPr>
      <w:b/>
      <w:smallCaps/>
    </w:rPr>
  </w:style>
  <w:style w:type="paragraph" w:customStyle="1" w:styleId="TableListNumber">
    <w:name w:val="Table List Number"/>
    <w:basedOn w:val="ListNumber"/>
    <w:rsid w:val="003475C1"/>
    <w:pPr>
      <w:numPr>
        <w:numId w:val="0"/>
      </w:numPr>
    </w:pPr>
  </w:style>
  <w:style w:type="paragraph" w:styleId="TOC4">
    <w:name w:val="toc 4"/>
    <w:basedOn w:val="TOCBase"/>
    <w:next w:val="Normal"/>
    <w:semiHidden/>
    <w:rsid w:val="003475C1"/>
    <w:pPr>
      <w:tabs>
        <w:tab w:val="right" w:leader="dot" w:pos="9071"/>
      </w:tabs>
      <w:ind w:left="1701"/>
    </w:pPr>
  </w:style>
  <w:style w:type="paragraph" w:customStyle="1" w:styleId="ListAlpha">
    <w:name w:val="List Alpha"/>
    <w:basedOn w:val="List"/>
    <w:rsid w:val="003475C1"/>
    <w:pPr>
      <w:numPr>
        <w:numId w:val="9"/>
      </w:numPr>
    </w:pPr>
  </w:style>
  <w:style w:type="paragraph" w:customStyle="1" w:styleId="ListAlpha2">
    <w:name w:val="List Alpha 2"/>
    <w:basedOn w:val="List2"/>
    <w:rsid w:val="003475C1"/>
    <w:pPr>
      <w:numPr>
        <w:numId w:val="8"/>
      </w:numPr>
    </w:pPr>
  </w:style>
  <w:style w:type="paragraph" w:styleId="List2">
    <w:name w:val="List 2"/>
    <w:basedOn w:val="BodyText"/>
    <w:rsid w:val="003475C1"/>
    <w:pPr>
      <w:tabs>
        <w:tab w:val="left" w:pos="680"/>
      </w:tabs>
      <w:spacing w:before="60" w:after="60"/>
      <w:ind w:left="680" w:hanging="340"/>
    </w:pPr>
  </w:style>
  <w:style w:type="paragraph" w:styleId="List3">
    <w:name w:val="List 3"/>
    <w:basedOn w:val="BodyText"/>
    <w:rsid w:val="003475C1"/>
    <w:pPr>
      <w:tabs>
        <w:tab w:val="left" w:pos="1021"/>
      </w:tabs>
      <w:spacing w:before="60" w:after="60"/>
      <w:ind w:left="1020" w:hanging="340"/>
    </w:pPr>
  </w:style>
  <w:style w:type="paragraph" w:styleId="List4">
    <w:name w:val="List 4"/>
    <w:basedOn w:val="BodyText"/>
    <w:rsid w:val="003475C1"/>
    <w:pPr>
      <w:tabs>
        <w:tab w:val="left" w:pos="1361"/>
      </w:tabs>
      <w:spacing w:before="60" w:after="60"/>
      <w:ind w:left="1361" w:hanging="340"/>
    </w:pPr>
  </w:style>
  <w:style w:type="paragraph" w:styleId="List5">
    <w:name w:val="List 5"/>
    <w:basedOn w:val="BodyText"/>
    <w:rsid w:val="003475C1"/>
    <w:pPr>
      <w:tabs>
        <w:tab w:val="left" w:pos="1701"/>
      </w:tabs>
      <w:spacing w:before="60" w:after="60"/>
      <w:ind w:left="1701" w:hanging="340"/>
    </w:pPr>
  </w:style>
  <w:style w:type="paragraph" w:styleId="ListBullet3">
    <w:name w:val="List Bullet 3"/>
    <w:basedOn w:val="List3"/>
    <w:rsid w:val="003475C1"/>
    <w:pPr>
      <w:numPr>
        <w:numId w:val="15"/>
      </w:numPr>
      <w:tabs>
        <w:tab w:val="clear" w:pos="1021"/>
      </w:tabs>
      <w:ind w:left="1037" w:hanging="357"/>
    </w:pPr>
  </w:style>
  <w:style w:type="paragraph" w:styleId="ListBullet4">
    <w:name w:val="List Bullet 4"/>
    <w:basedOn w:val="List4"/>
    <w:rsid w:val="003475C1"/>
    <w:pPr>
      <w:numPr>
        <w:numId w:val="3"/>
      </w:numPr>
    </w:pPr>
  </w:style>
  <w:style w:type="paragraph" w:styleId="ListBullet5">
    <w:name w:val="List Bullet 5"/>
    <w:basedOn w:val="List5"/>
    <w:rsid w:val="003475C1"/>
    <w:pPr>
      <w:numPr>
        <w:numId w:val="4"/>
      </w:numPr>
    </w:pPr>
  </w:style>
  <w:style w:type="paragraph" w:styleId="ListContinue2">
    <w:name w:val="List Continue 2"/>
    <w:basedOn w:val="List2"/>
    <w:rsid w:val="003475C1"/>
    <w:pPr>
      <w:ind w:firstLine="0"/>
    </w:pPr>
  </w:style>
  <w:style w:type="paragraph" w:styleId="ListContinue3">
    <w:name w:val="List Continue 3"/>
    <w:basedOn w:val="List3"/>
    <w:rsid w:val="003475C1"/>
    <w:pPr>
      <w:ind w:left="1021" w:firstLine="0"/>
    </w:pPr>
  </w:style>
  <w:style w:type="paragraph" w:styleId="ListContinue4">
    <w:name w:val="List Continue 4"/>
    <w:basedOn w:val="List4"/>
    <w:rsid w:val="003475C1"/>
    <w:pPr>
      <w:ind w:firstLine="0"/>
    </w:pPr>
  </w:style>
  <w:style w:type="paragraph" w:styleId="ListContinue5">
    <w:name w:val="List Continue 5"/>
    <w:basedOn w:val="List5"/>
    <w:rsid w:val="003475C1"/>
    <w:pPr>
      <w:ind w:firstLine="0"/>
    </w:pPr>
  </w:style>
  <w:style w:type="paragraph" w:styleId="ListNumber3">
    <w:name w:val="List Number 3"/>
    <w:basedOn w:val="List3"/>
    <w:rsid w:val="003475C1"/>
    <w:pPr>
      <w:numPr>
        <w:numId w:val="5"/>
      </w:numPr>
    </w:pPr>
  </w:style>
  <w:style w:type="paragraph" w:styleId="ListNumber4">
    <w:name w:val="List Number 4"/>
    <w:basedOn w:val="List4"/>
    <w:rsid w:val="003475C1"/>
    <w:pPr>
      <w:numPr>
        <w:numId w:val="6"/>
      </w:numPr>
    </w:pPr>
  </w:style>
  <w:style w:type="paragraph" w:styleId="ListNumber5">
    <w:name w:val="List Number 5"/>
    <w:basedOn w:val="List5"/>
    <w:rsid w:val="003475C1"/>
    <w:pPr>
      <w:numPr>
        <w:numId w:val="7"/>
      </w:numPr>
    </w:pPr>
  </w:style>
  <w:style w:type="paragraph" w:styleId="BlockText">
    <w:name w:val="Block Text"/>
    <w:basedOn w:val="Normal"/>
    <w:rsid w:val="003475C1"/>
    <w:pPr>
      <w:spacing w:after="120"/>
      <w:ind w:left="1440" w:right="1440"/>
    </w:pPr>
  </w:style>
  <w:style w:type="character" w:customStyle="1" w:styleId="Subscript">
    <w:name w:val="Subscript"/>
    <w:basedOn w:val="DefaultParagraphFont"/>
    <w:rsid w:val="003475C1"/>
    <w:rPr>
      <w:sz w:val="16"/>
      <w:vertAlign w:val="subscript"/>
    </w:rPr>
  </w:style>
  <w:style w:type="character" w:customStyle="1" w:styleId="Superscript">
    <w:name w:val="Superscript"/>
    <w:basedOn w:val="DefaultParagraphFont"/>
    <w:rsid w:val="003475C1"/>
    <w:rPr>
      <w:sz w:val="16"/>
      <w:vertAlign w:val="superscript"/>
    </w:rPr>
  </w:style>
  <w:style w:type="character" w:customStyle="1" w:styleId="Symbols">
    <w:name w:val="Symbols"/>
    <w:basedOn w:val="DefaultParagraphFont"/>
    <w:rsid w:val="003475C1"/>
    <w:rPr>
      <w:rFonts w:ascii="Symbol" w:hAnsi="Symbol"/>
    </w:rPr>
  </w:style>
  <w:style w:type="character" w:customStyle="1" w:styleId="MenuOptions">
    <w:name w:val="Menu Options"/>
    <w:basedOn w:val="DefaultParagraphFont"/>
    <w:rsid w:val="003475C1"/>
    <w:rPr>
      <w:rFonts w:ascii="Arial Narrow" w:hAnsi="Arial Narrow"/>
      <w:smallCaps/>
    </w:rPr>
  </w:style>
  <w:style w:type="character" w:customStyle="1" w:styleId="Buttons">
    <w:name w:val="Buttons"/>
    <w:basedOn w:val="DefaultParagraphFont"/>
    <w:rsid w:val="003475C1"/>
    <w:rPr>
      <w:b/>
    </w:rPr>
  </w:style>
  <w:style w:type="character" w:customStyle="1" w:styleId="Underlined">
    <w:name w:val="Underlined"/>
    <w:basedOn w:val="DefaultParagraphFont"/>
    <w:rsid w:val="003475C1"/>
    <w:rPr>
      <w:u w:val="single"/>
    </w:rPr>
  </w:style>
  <w:style w:type="paragraph" w:customStyle="1" w:styleId="TableBodyTextRight">
    <w:name w:val="Table Body Text Right"/>
    <w:basedOn w:val="TableBodyText"/>
    <w:rsid w:val="003475C1"/>
    <w:pPr>
      <w:widowControl w:val="0"/>
      <w:autoSpaceDE w:val="0"/>
      <w:autoSpaceDN w:val="0"/>
      <w:adjustRightInd w:val="0"/>
      <w:jc w:val="right"/>
    </w:pPr>
    <w:rPr>
      <w:rFonts w:cs="Arial"/>
      <w:szCs w:val="18"/>
    </w:rPr>
  </w:style>
  <w:style w:type="paragraph" w:customStyle="1" w:styleId="CopyrightText">
    <w:name w:val="Copyright Text"/>
    <w:basedOn w:val="BodyText"/>
    <w:rsid w:val="003475C1"/>
    <w:rPr>
      <w:sz w:val="18"/>
    </w:rPr>
  </w:style>
  <w:style w:type="paragraph" w:customStyle="1" w:styleId="BodySmallRight">
    <w:name w:val="Body Small Right"/>
    <w:basedOn w:val="BodyTextRight"/>
    <w:rsid w:val="003475C1"/>
    <w:rPr>
      <w:sz w:val="18"/>
      <w:szCs w:val="18"/>
    </w:rPr>
  </w:style>
  <w:style w:type="paragraph" w:customStyle="1" w:styleId="MarginEdition">
    <w:name w:val="Margin Edition"/>
    <w:basedOn w:val="MarginNote"/>
    <w:rsid w:val="003475C1"/>
    <w:pPr>
      <w:spacing w:before="0" w:after="0"/>
    </w:pPr>
    <w:rPr>
      <w:rFonts w:ascii="Times New Roman" w:hAnsi="Times New Roman"/>
      <w:color w:val="999999"/>
    </w:rPr>
  </w:style>
  <w:style w:type="paragraph" w:customStyle="1" w:styleId="Spacer">
    <w:name w:val="Spacer"/>
    <w:basedOn w:val="Normal"/>
    <w:rsid w:val="003475C1"/>
    <w:rPr>
      <w:sz w:val="2"/>
      <w:szCs w:val="2"/>
    </w:rPr>
  </w:style>
  <w:style w:type="character" w:customStyle="1" w:styleId="Small">
    <w:name w:val="Small"/>
    <w:basedOn w:val="DefaultParagraphFont"/>
    <w:rsid w:val="003475C1"/>
    <w:rPr>
      <w:sz w:val="16"/>
    </w:rPr>
  </w:style>
  <w:style w:type="paragraph" w:customStyle="1" w:styleId="WideTable">
    <w:name w:val="Wide Table"/>
    <w:basedOn w:val="Normal"/>
    <w:rsid w:val="003475C1"/>
    <w:pPr>
      <w:ind w:left="-1418"/>
    </w:pPr>
    <w:rPr>
      <w:sz w:val="2"/>
      <w:szCs w:val="2"/>
    </w:rPr>
  </w:style>
  <w:style w:type="character" w:styleId="PageNumber">
    <w:name w:val="page number"/>
    <w:basedOn w:val="DefaultParagraphFont"/>
    <w:rsid w:val="003475C1"/>
  </w:style>
  <w:style w:type="paragraph" w:styleId="Quote">
    <w:name w:val="Quote"/>
    <w:basedOn w:val="Heading1"/>
    <w:link w:val="QuoteChar"/>
    <w:qFormat/>
    <w:rsid w:val="003475C1"/>
    <w:rPr>
      <w:b w:val="0"/>
      <w:sz w:val="72"/>
      <w:szCs w:val="72"/>
      <w:lang w:val="en-NZ"/>
    </w:rPr>
  </w:style>
  <w:style w:type="character" w:customStyle="1" w:styleId="QuoteChar">
    <w:name w:val="Quote Char"/>
    <w:basedOn w:val="DefaultParagraphFont"/>
    <w:link w:val="Quote"/>
    <w:rsid w:val="00347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5C1"/>
    <w:pPr>
      <w:pageBreakBefore/>
    </w:pPr>
  </w:style>
  <w:style w:type="paragraph" w:customStyle="1" w:styleId="Border">
    <w:name w:val="Border"/>
    <w:basedOn w:val="Normal"/>
    <w:qFormat/>
    <w:rsid w:val="00347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5C1"/>
    <w:rPr>
      <w:b/>
      <w:bCs/>
      <w:i/>
      <w:iCs/>
      <w:color w:val="auto"/>
    </w:rPr>
  </w:style>
  <w:style w:type="paragraph" w:styleId="IntenseQuote">
    <w:name w:val="Intense Quote"/>
    <w:basedOn w:val="Normal"/>
    <w:next w:val="Normal"/>
    <w:link w:val="IntenseQuoteChar"/>
    <w:uiPriority w:val="30"/>
    <w:qFormat/>
    <w:rsid w:val="00347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5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5C1"/>
    <w:rPr>
      <w:smallCaps/>
      <w:color w:val="auto"/>
      <w:u w:val="single"/>
    </w:rPr>
  </w:style>
  <w:style w:type="character" w:styleId="IntenseReference">
    <w:name w:val="Intense Reference"/>
    <w:basedOn w:val="DefaultParagraphFont"/>
    <w:uiPriority w:val="32"/>
    <w:qFormat/>
    <w:rsid w:val="003475C1"/>
    <w:rPr>
      <w:b/>
      <w:bCs/>
      <w:smallCaps/>
      <w:color w:val="auto"/>
      <w:spacing w:val="5"/>
      <w:u w:val="single"/>
    </w:rPr>
  </w:style>
  <w:style w:type="paragraph" w:customStyle="1" w:styleId="2ColumnHeading">
    <w:name w:val="2Column Heading"/>
    <w:basedOn w:val="BodyText"/>
    <w:qFormat/>
    <w:rsid w:val="003475C1"/>
    <w:pPr>
      <w:spacing w:after="60"/>
      <w:ind w:left="-2268"/>
    </w:pPr>
    <w:rPr>
      <w:b/>
    </w:rPr>
  </w:style>
  <w:style w:type="paragraph" w:customStyle="1" w:styleId="Heading1TOC">
    <w:name w:val="Heading1 TOC"/>
    <w:basedOn w:val="Normal"/>
    <w:qFormat/>
    <w:rsid w:val="003475C1"/>
    <w:pPr>
      <w:spacing w:before="240" w:after="120"/>
    </w:pPr>
    <w:rPr>
      <w:rFonts w:ascii="Times New Roman" w:hAnsi="Times New Roman"/>
      <w:b/>
      <w:sz w:val="32"/>
    </w:rPr>
  </w:style>
  <w:style w:type="paragraph" w:customStyle="1" w:styleId="Heading2TOC">
    <w:name w:val="Heading2 TOC"/>
    <w:basedOn w:val="Normal"/>
    <w:qFormat/>
    <w:rsid w:val="003475C1"/>
    <w:pPr>
      <w:spacing w:before="240" w:after="60"/>
    </w:pPr>
    <w:rPr>
      <w:rFonts w:ascii="Times New Roman" w:hAnsi="Times New Roman"/>
      <w:b/>
      <w:sz w:val="28"/>
    </w:rPr>
  </w:style>
  <w:style w:type="character" w:customStyle="1" w:styleId="Underline">
    <w:name w:val="Underline"/>
    <w:basedOn w:val="DefaultParagraphFont"/>
    <w:qFormat/>
    <w:rsid w:val="003475C1"/>
    <w:rPr>
      <w:u w:val="single"/>
    </w:rPr>
  </w:style>
  <w:style w:type="character" w:customStyle="1" w:styleId="BoldandItalics">
    <w:name w:val="Bold and Italics"/>
    <w:qFormat/>
    <w:rsid w:val="003475C1"/>
    <w:rPr>
      <w:b/>
      <w:i/>
      <w:u w:val="none"/>
    </w:rPr>
  </w:style>
  <w:style w:type="paragraph" w:styleId="BalloonText">
    <w:name w:val="Balloon Text"/>
    <w:basedOn w:val="Normal"/>
    <w:link w:val="BalloonTextChar"/>
    <w:rsid w:val="003475C1"/>
    <w:rPr>
      <w:rFonts w:ascii="Tahoma" w:hAnsi="Tahoma" w:cs="Tahoma"/>
      <w:sz w:val="16"/>
      <w:szCs w:val="16"/>
    </w:rPr>
  </w:style>
  <w:style w:type="character" w:customStyle="1" w:styleId="BalloonTextChar">
    <w:name w:val="Balloon Text Char"/>
    <w:basedOn w:val="DefaultParagraphFont"/>
    <w:link w:val="BalloonText"/>
    <w:rsid w:val="003475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5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2563</Words>
  <Characters>16267</Characters>
  <Application>Microsoft Office Word</Application>
  <DocSecurity>0</DocSecurity>
  <Lines>740</Lines>
  <Paragraphs>308</Paragraphs>
  <ScaleCrop>false</ScaleCrop>
  <Company>Author-it Software Corporation Ltd.</Company>
  <LinksUpToDate>false</LinksUpToDate>
  <CharactersWithSpaces>18587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UETTDRSO08B Develop and evaluate transmission switching programs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2012-05-26T12:21:00Z</dcterms:created>
  <dcterms:modified xsi:type="dcterms:W3CDTF">2012-05-26T12:21:00Z</dcterms:modified>
</cp:coreProperties>
</file>