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5A3F" w:rsidP="002E5A3F">
      <w:pPr>
        <w:pStyle w:val="Title"/>
      </w:pPr>
      <w:r>
        <w:fldChar w:fldCharType="begin"/>
      </w:r>
      <w:r>
        <w:instrText xml:space="preserve"> TITLE   \* MERGEFORMAT </w:instrText>
      </w:r>
      <w:r>
        <w:fldChar w:fldCharType="separate"/>
      </w:r>
      <w:r>
        <w:t>UETTDRSO06B Develop LV distribution switching programs</w:t>
      </w:r>
      <w:r>
        <w:fldChar w:fldCharType="end"/>
      </w:r>
    </w:p>
    <w:p w:rsidR="002E5A3F" w:rsidP="002E5A3F">
      <w:pPr>
        <w:pStyle w:val="Version"/>
        <w:sectPr w:rsidSect="00C000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00CB" w:rsidP="00C000CB">
      <w:pPr>
        <w:pStyle w:val="SuperHeading"/>
      </w:pPr>
      <w:r w:rsidRPr="00C000CB">
        <w:t>UETTDRSO06B Develop LV distribution switching programs</w:t>
      </w:r>
    </w:p>
    <w:p w:rsidR="00000000" w:rsidRPr="00C000CB" w:rsidP="00C000CB">
      <w:pPr>
        <w:pStyle w:val="Heading1"/>
      </w:pPr>
      <w:bookmarkStart w:id="1" w:name="O_275541"/>
      <w:bookmarkEnd w:id="1"/>
      <w:r w:rsidRPr="00C000CB">
        <w:t>Modification History</w:t>
      </w:r>
    </w:p>
    <w:p w:rsidR="00000000" w:rsidRPr="00C000CB" w:rsidP="00C000CB">
      <w:pPr>
        <w:pStyle w:val="BodyText"/>
      </w:pPr>
      <w:r w:rsidRPr="00C000CB">
        <w:t>Not Applicable</w:t>
      </w:r>
    </w:p>
    <w:p w:rsidR="00000000" w:rsidRPr="00C000CB" w:rsidP="00C000CB">
      <w:pPr>
        <w:pStyle w:val="AllowPageBreak"/>
      </w:pPr>
    </w:p>
    <w:p w:rsidR="00000000" w:rsidRPr="00C000CB" w:rsidP="00C000CB">
      <w:pPr>
        <w:pStyle w:val="Heading1"/>
      </w:pPr>
      <w:bookmarkStart w:id="2" w:name="O_231935"/>
      <w:bookmarkEnd w:id="2"/>
      <w:r w:rsidRPr="00C000CB">
        <w:t>Unit Descriptor</w:t>
      </w:r>
    </w:p>
    <w:tbl>
      <w:tblPr>
        <w:tblW w:w="0" w:type="auto"/>
        <w:tblLayout w:type="fixed"/>
        <w:tblCellMar>
          <w:left w:w="62" w:type="dxa"/>
          <w:right w:w="62" w:type="dxa"/>
        </w:tblCellMar>
        <w:tblLook w:val="0000"/>
      </w:tblPr>
      <w:tblGrid>
        <w:gridCol w:w="2700"/>
        <w:gridCol w:w="5760"/>
      </w:tblGrid>
      <w:tr w:rsidTr="002E5A3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000CB" w:rsidP="00C000CB">
            <w:pPr>
              <w:pStyle w:val="BodyText"/>
            </w:pPr>
            <w:r w:rsidRPr="00C000C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C000CB" w:rsidP="00C000CB">
            <w:pPr>
              <w:pStyle w:val="BodyText"/>
            </w:pPr>
            <w:r w:rsidRPr="00C000CB">
              <w:rPr>
                <w:rStyle w:val="SpecialBold"/>
              </w:rPr>
              <w:t>1</w:t>
            </w:r>
            <w:r w:rsidRPr="00C000CB">
              <w:t xml:space="preserve">) </w:t>
            </w:r>
          </w:p>
          <w:p w:rsidR="00000000" w:rsidP="00C000CB">
            <w:pPr>
              <w:pStyle w:val="BodyText"/>
              <w:rPr>
                <w:lang w:val="en-NZ"/>
              </w:rPr>
            </w:pPr>
            <w:r w:rsidRPr="00C000CB">
              <w:rPr>
                <w:rStyle w:val="SpecialBold"/>
              </w:rPr>
              <w:t>1</w:t>
            </w:r>
            <w:r w:rsidRPr="00C000CB">
              <w:t>.</w:t>
            </w:r>
            <w:r w:rsidRPr="00C000CB">
              <w:rPr>
                <w:rStyle w:val="SpecialBold"/>
              </w:rPr>
              <w:t>1</w:t>
            </w:r>
            <w:r w:rsidRPr="00C000CB">
              <w:t xml:space="preserve">) </w:t>
            </w:r>
            <w:r w:rsidRPr="00C000CB">
              <w:rPr>
                <w:rStyle w:val="SpecialBold"/>
              </w:rPr>
              <w:t>Descriptor</w:t>
            </w:r>
          </w:p>
        </w:tc>
      </w:tr>
      <w:tr w:rsidTr="002E5A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000CB" w:rsidP="00C000CB">
            <w:pPr>
              <w:pStyle w:val="BodyText"/>
            </w:pPr>
            <w:r w:rsidRPr="00C000CB">
              <w:t>This Competency Standard Unit covers the preparation and/or checking of activities required to place the LV distribution network in a state in which work can safely be performed whilst minimising customer outages. The format is typically a written sequence</w:t>
            </w:r>
            <w:r w:rsidRPr="00C000CB">
              <w:t xml:space="preserve"> of switching items in a pre-defined format. It includes planning outages and taking into account loading of network components. It also includes planning the management of multiple outages on the LV distribution network and the calculation of network load</w:t>
            </w:r>
            <w:r w:rsidRPr="00C000CB">
              <w:t>ing conditions to ensure the network is operating within designed parameters.</w:t>
            </w:r>
          </w:p>
        </w:tc>
      </w:tr>
    </w:tbl>
    <w:p w:rsidR="002E5A3F" w:rsidP="00C000CB">
      <w:pPr>
        <w:pStyle w:val="BodyText"/>
      </w:pPr>
    </w:p>
    <w:p w:rsidR="002E5A3F" w:rsidP="00C000CB">
      <w:pPr>
        <w:pStyle w:val="BodyText"/>
      </w:pPr>
    </w:p>
    <w:p w:rsidR="00000000" w:rsidRPr="00C000CB" w:rsidP="00C000CB">
      <w:pPr>
        <w:pStyle w:val="Heading1"/>
      </w:pPr>
      <w:bookmarkStart w:id="3" w:name="O_231940"/>
      <w:bookmarkEnd w:id="3"/>
      <w:r w:rsidRPr="00C000CB">
        <w:t>Application of the Unit</w:t>
      </w:r>
    </w:p>
    <w:tbl>
      <w:tblPr>
        <w:tblW w:w="0" w:type="auto"/>
        <w:tblLayout w:type="fixed"/>
        <w:tblCellMar>
          <w:left w:w="62" w:type="dxa"/>
          <w:right w:w="62" w:type="dxa"/>
        </w:tblCellMar>
        <w:tblLook w:val="0000"/>
      </w:tblPr>
      <w:tblGrid>
        <w:gridCol w:w="2700"/>
        <w:gridCol w:w="5760"/>
      </w:tblGrid>
      <w:tr w:rsidTr="002E5A3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000CB" w:rsidP="00C000CB">
            <w:pPr>
              <w:pStyle w:val="BodyText"/>
            </w:pPr>
            <w:r w:rsidRPr="00C000CB">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rPr>
                <w:rStyle w:val="SpecialBold"/>
              </w:rPr>
              <w:t>4</w:t>
            </w:r>
            <w:r w:rsidRPr="00C000CB">
              <w:t>)</w:t>
            </w:r>
          </w:p>
        </w:tc>
      </w:tr>
      <w:tr w:rsidTr="002E5A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000CB" w:rsidP="00C000CB">
            <w:pPr>
              <w:pStyle w:val="BodyText"/>
            </w:pPr>
            <w:r w:rsidRPr="00C000CB">
              <w:t>This Competency Standard Unit is intended to augment formally acquired competencies. It is suitable for employment-based programs under an approved contract of training.</w:t>
            </w:r>
          </w:p>
        </w:tc>
      </w:tr>
    </w:tbl>
    <w:p w:rsidR="002E5A3F" w:rsidP="00C000CB">
      <w:pPr>
        <w:pStyle w:val="BodyText"/>
      </w:pPr>
    </w:p>
    <w:p w:rsidR="002E5A3F" w:rsidP="00C000CB">
      <w:pPr>
        <w:pStyle w:val="BodyText"/>
      </w:pPr>
    </w:p>
    <w:p w:rsidR="00000000" w:rsidRPr="00C000CB" w:rsidP="00C000CB">
      <w:pPr>
        <w:pStyle w:val="Heading1"/>
      </w:pPr>
      <w:bookmarkStart w:id="4" w:name="O_231936"/>
      <w:bookmarkEnd w:id="4"/>
      <w:r w:rsidRPr="00C000CB">
        <w:t>Licensing/Regulatory Information</w:t>
      </w:r>
    </w:p>
    <w:tbl>
      <w:tblPr>
        <w:tblW w:w="0" w:type="auto"/>
        <w:tblLayout w:type="fixed"/>
        <w:tblCellMar>
          <w:left w:w="62" w:type="dxa"/>
          <w:right w:w="62" w:type="dxa"/>
        </w:tblCellMar>
        <w:tblLook w:val="0000"/>
      </w:tblPr>
      <w:tblGrid>
        <w:gridCol w:w="8460"/>
      </w:tblGrid>
      <w:tr w:rsidTr="002E5A3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rPr>
                <w:rStyle w:val="SpecialBold"/>
              </w:rPr>
              <w:t>1</w:t>
            </w:r>
            <w:r w:rsidRPr="00C000CB">
              <w:t>.</w:t>
            </w:r>
            <w:r w:rsidRPr="00C000CB">
              <w:rPr>
                <w:rStyle w:val="SpecialBold"/>
              </w:rPr>
              <w:t>2</w:t>
            </w:r>
            <w:r w:rsidRPr="00C000CB">
              <w:t xml:space="preserve">) </w:t>
            </w:r>
            <w:r w:rsidRPr="00C000CB">
              <w:rPr>
                <w:rStyle w:val="SpecialBold"/>
              </w:rPr>
              <w:t>License to practice</w:t>
            </w:r>
          </w:p>
        </w:tc>
      </w:tr>
      <w:tr w:rsidTr="002E5A3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000CB" w:rsidP="00C000CB">
            <w:pPr>
              <w:pStyle w:val="BodyText"/>
            </w:pPr>
            <w:r w:rsidRPr="00C000CB">
              <w:t>The skills and knowledge described in this unit may require a licence/registration to practice in the work place subject to regulations for undertaking of electrical work. Practice in workplace and during training is also subject to regulations directly re</w:t>
            </w:r>
            <w:r w:rsidRPr="00C000CB">
              <w:t>lated to Occupational Health and Safety, electricity/telecommunications/gas/water industry safety and compliance, industrial relations, environmental protection, anti discrimination and training. Commonwealth, State/Territory or Local Government legislatio</w:t>
            </w:r>
            <w:r w:rsidRPr="00C000CB">
              <w:t>n and regulations may exist that limits the age of operating certain equipment.</w:t>
            </w:r>
          </w:p>
        </w:tc>
      </w:tr>
    </w:tbl>
    <w:p w:rsidR="002E5A3F" w:rsidP="00C000CB">
      <w:pPr>
        <w:pStyle w:val="BodyText"/>
      </w:pPr>
    </w:p>
    <w:p w:rsidR="002E5A3F" w:rsidP="00C000CB">
      <w:pPr>
        <w:pStyle w:val="BodyText"/>
      </w:pPr>
    </w:p>
    <w:p w:rsidR="00000000" w:rsidRPr="00C000CB" w:rsidP="00C000CB">
      <w:pPr>
        <w:pStyle w:val="Heading1"/>
      </w:pPr>
      <w:bookmarkStart w:id="5" w:name="O_231937"/>
      <w:bookmarkEnd w:id="5"/>
      <w:r w:rsidRPr="00C000CB">
        <w:t>Pre-Requisites</w:t>
      </w:r>
    </w:p>
    <w:tbl>
      <w:tblPr>
        <w:tblW w:w="0" w:type="auto"/>
        <w:tblLayout w:type="fixed"/>
        <w:tblCellMar>
          <w:left w:w="62" w:type="dxa"/>
          <w:right w:w="62" w:type="dxa"/>
        </w:tblCellMar>
        <w:tblLook w:val="0000"/>
      </w:tblPr>
      <w:tblGrid>
        <w:gridCol w:w="2700"/>
        <w:gridCol w:w="720"/>
        <w:gridCol w:w="1980"/>
        <w:gridCol w:w="3060"/>
      </w:tblGrid>
      <w:tr w:rsidTr="002E5A3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000CB" w:rsidP="00C000CB">
            <w:pPr>
              <w:pStyle w:val="BodyText"/>
            </w:pPr>
            <w:r w:rsidRPr="00C000CB">
              <w:rPr>
                <w:rStyle w:val="SpecialBold"/>
              </w:rPr>
              <w:t>Prerequisite Unit</w:t>
            </w:r>
            <w:r w:rsidRPr="00C000CB">
              <w:t>(</w:t>
            </w:r>
            <w:r w:rsidRPr="00C000CB">
              <w:rPr>
                <w:rStyle w:val="SpecialBold"/>
              </w:rPr>
              <w:t>s</w:t>
            </w:r>
            <w:r w:rsidRPr="00C000CB">
              <w:t>)</w:t>
            </w:r>
          </w:p>
        </w:tc>
        <w:tc>
          <w:tcPr>
            <w:tcW w:w="5760" w:type="dxa"/>
            <w:gridSpan w:val="3"/>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rPr>
                <w:rStyle w:val="SpecialBold"/>
              </w:rPr>
              <w:t>2</w:t>
            </w:r>
            <w:r w:rsidRPr="00C000CB">
              <w:t xml:space="preserve">) </w:t>
            </w:r>
          </w:p>
        </w:tc>
      </w:tr>
      <w:tr w:rsidTr="002E5A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000CB">
            <w:pPr>
              <w:pStyle w:val="BodyText"/>
              <w:keepNext w:val="0"/>
              <w:keepLines w:val="0"/>
              <w:contextualSpacing w:val="0"/>
            </w:pPr>
          </w:p>
        </w:tc>
        <w:tc>
          <w:tcPr>
            <w:tcW w:w="5760" w:type="dxa"/>
            <w:gridSpan w:val="3"/>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rPr>
                <w:rStyle w:val="SpecialBold"/>
              </w:rPr>
              <w:t>2</w:t>
            </w:r>
            <w:r w:rsidRPr="00C000CB">
              <w:t>.</w:t>
            </w:r>
            <w:r w:rsidRPr="00C000CB">
              <w:rPr>
                <w:rStyle w:val="SpecialBold"/>
              </w:rPr>
              <w:t>1</w:t>
            </w:r>
            <w:r w:rsidRPr="00C000CB">
              <w:t xml:space="preserve">) </w:t>
            </w:r>
            <w:r w:rsidRPr="00C000CB">
              <w:rPr>
                <w:rStyle w:val="SpecialBold"/>
              </w:rPr>
              <w:t>Competencies</w:t>
            </w:r>
          </w:p>
        </w:tc>
      </w:tr>
      <w:tr w:rsidTr="002E5A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3"/>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Granting of competency in this unit shall be made only after competency in the following unit(s) has/have been confirmed:.</w:t>
            </w:r>
          </w:p>
        </w:tc>
      </w:tr>
      <w:tr w:rsidTr="002E5A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UEENEED004B</w:t>
            </w:r>
          </w:p>
        </w:tc>
        <w:tc>
          <w:tcPr>
            <w:tcW w:w="306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Use engineering application software</w:t>
            </w:r>
          </w:p>
        </w:tc>
      </w:tr>
      <w:tr w:rsidTr="002E5A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and</w:t>
            </w:r>
          </w:p>
        </w:tc>
        <w:tc>
          <w:tcPr>
            <w:tcW w:w="198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UEENEEE007B</w:t>
            </w:r>
          </w:p>
        </w:tc>
        <w:tc>
          <w:tcPr>
            <w:tcW w:w="306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 xml:space="preserve">Use drawings, diagrams, schedules and manuals </w:t>
            </w:r>
          </w:p>
        </w:tc>
      </w:tr>
      <w:tr w:rsidTr="002E5A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and</w:t>
            </w:r>
          </w:p>
        </w:tc>
        <w:tc>
          <w:tcPr>
            <w:tcW w:w="198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UEENEEE024B</w:t>
            </w:r>
          </w:p>
        </w:tc>
        <w:tc>
          <w:tcPr>
            <w:tcW w:w="306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Compile and produce electrotechnology report</w:t>
            </w:r>
          </w:p>
        </w:tc>
      </w:tr>
      <w:tr w:rsidTr="002E5A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and</w:t>
            </w:r>
          </w:p>
        </w:tc>
        <w:tc>
          <w:tcPr>
            <w:tcW w:w="198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UEENEEG049B</w:t>
            </w:r>
          </w:p>
        </w:tc>
        <w:tc>
          <w:tcPr>
            <w:tcW w:w="306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Solve problems in complex polyphase power circuits</w:t>
            </w:r>
          </w:p>
        </w:tc>
      </w:tr>
      <w:tr w:rsidTr="002E5A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and</w:t>
            </w:r>
          </w:p>
        </w:tc>
        <w:tc>
          <w:tcPr>
            <w:tcW w:w="198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 xml:space="preserve">UETTDRIS22B </w:t>
            </w:r>
          </w:p>
        </w:tc>
        <w:tc>
          <w:tcPr>
            <w:tcW w:w="306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 xml:space="preserve">Implement and monitor organisation's OHS policies, procedures and programs </w:t>
            </w:r>
          </w:p>
        </w:tc>
      </w:tr>
      <w:tr w:rsidTr="002E5A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and</w:t>
            </w:r>
          </w:p>
        </w:tc>
        <w:tc>
          <w:tcPr>
            <w:tcW w:w="198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UETTDRIS23B</w:t>
            </w:r>
          </w:p>
        </w:tc>
        <w:tc>
          <w:tcPr>
            <w:tcW w:w="306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 xml:space="preserve">Implement and monitor environmental and sustainable energy policies and </w:t>
            </w:r>
            <w:r w:rsidRPr="00C000CB">
              <w:t xml:space="preserve">procedures </w:t>
            </w:r>
          </w:p>
        </w:tc>
      </w:tr>
      <w:tr w:rsidTr="002E5A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3"/>
            <w:tcBorders>
              <w:top w:val="nil"/>
              <w:left w:val="nil"/>
              <w:bottom w:val="nil"/>
              <w:right w:val="nil"/>
            </w:tcBorders>
            <w:tcMar>
              <w:top w:w="0" w:type="dxa"/>
              <w:left w:w="62" w:type="dxa"/>
              <w:bottom w:w="0" w:type="dxa"/>
              <w:right w:w="62" w:type="dxa"/>
            </w:tcMar>
          </w:tcPr>
          <w:p w:rsidR="00000000" w:rsidRPr="00C000CB" w:rsidP="00C000CB">
            <w:pPr>
              <w:pStyle w:val="BodyText"/>
            </w:pPr>
            <w:r w:rsidRPr="00C000CB">
              <w:t>For the full prerequisite chain details for this unit please refer to Table 3 in Volume 1, Part 2</w:t>
            </w:r>
          </w:p>
        </w:tc>
      </w:tr>
    </w:tbl>
    <w:p w:rsidR="002E5A3F" w:rsidP="00C000CB">
      <w:pPr>
        <w:pStyle w:val="BodyText"/>
      </w:pPr>
    </w:p>
    <w:p w:rsidR="002E5A3F" w:rsidP="00C000CB">
      <w:pPr>
        <w:pStyle w:val="BodyText"/>
      </w:pPr>
    </w:p>
    <w:p w:rsidR="00000000" w:rsidRPr="00C000CB" w:rsidP="00C000CB">
      <w:pPr>
        <w:pStyle w:val="Heading1"/>
      </w:pPr>
      <w:bookmarkStart w:id="6" w:name="O_231939"/>
      <w:bookmarkEnd w:id="6"/>
      <w:r w:rsidRPr="00C000CB">
        <w:t>Employability Skills Information</w:t>
      </w:r>
    </w:p>
    <w:tbl>
      <w:tblPr>
        <w:tblW w:w="0" w:type="auto"/>
        <w:tblLayout w:type="fixed"/>
        <w:tblCellMar>
          <w:left w:w="62" w:type="dxa"/>
          <w:right w:w="62" w:type="dxa"/>
        </w:tblCellMar>
        <w:tblLook w:val="0000"/>
      </w:tblPr>
      <w:tblGrid>
        <w:gridCol w:w="2700"/>
        <w:gridCol w:w="5760"/>
      </w:tblGrid>
      <w:tr w:rsidTr="002E5A3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000CB" w:rsidP="00C000CB">
            <w:pPr>
              <w:pStyle w:val="BodyText"/>
            </w:pPr>
            <w:r w:rsidRPr="00C000CB">
              <w:rPr>
                <w:rStyle w:val="SpecialBold"/>
              </w:rPr>
              <w:t>Employability Ski</w:t>
            </w:r>
            <w:r w:rsidRPr="00C000CB">
              <w:rPr>
                <w:rStyle w:val="SpecialBold"/>
              </w:rPr>
              <w:t>lls</w:t>
            </w:r>
          </w:p>
        </w:tc>
        <w:tc>
          <w:tcPr>
            <w:tcW w:w="5760" w:type="dxa"/>
            <w:tcBorders>
              <w:top w:val="nil"/>
              <w:left w:val="nil"/>
              <w:bottom w:val="nil"/>
              <w:right w:val="nil"/>
            </w:tcBorders>
            <w:tcMar>
              <w:top w:w="0" w:type="dxa"/>
              <w:left w:w="62" w:type="dxa"/>
              <w:bottom w:w="0" w:type="dxa"/>
              <w:right w:w="62" w:type="dxa"/>
            </w:tcMar>
          </w:tcPr>
          <w:p w:rsidR="00000000" w:rsidRPr="00C000CB" w:rsidP="00C000CB">
            <w:pPr>
              <w:pStyle w:val="BodyText"/>
            </w:pPr>
            <w:r w:rsidRPr="00C000CB">
              <w:rPr>
                <w:rStyle w:val="SpecialBold"/>
              </w:rPr>
              <w:t>3</w:t>
            </w:r>
            <w:r w:rsidRPr="00C000CB">
              <w:t>)</w:t>
            </w:r>
          </w:p>
          <w:p w:rsidR="00000000" w:rsidRPr="00C000CB" w:rsidP="00C000CB">
            <w:pPr>
              <w:pStyle w:val="BodyText"/>
            </w:pPr>
            <w:r w:rsidRPr="00C000CB">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C000CB">
              <w:t>requirements.</w:t>
            </w:r>
          </w:p>
        </w:tc>
      </w:tr>
    </w:tbl>
    <w:p w:rsidR="002E5A3F" w:rsidP="00C000CB">
      <w:pPr>
        <w:pStyle w:val="BodyText"/>
      </w:pPr>
    </w:p>
    <w:p w:rsidR="002E5A3F" w:rsidP="00C000CB">
      <w:pPr>
        <w:pStyle w:val="BodyText"/>
      </w:pPr>
    </w:p>
    <w:p w:rsidR="00000000" w:rsidRPr="00C000CB" w:rsidP="00C000CB">
      <w:pPr>
        <w:pStyle w:val="Heading1"/>
      </w:pPr>
      <w:bookmarkStart w:id="7" w:name="O_293587"/>
      <w:bookmarkEnd w:id="7"/>
      <w:r w:rsidRPr="00C000CB">
        <w:t>Elements and Performance Criteria Pre-Content</w:t>
      </w:r>
    </w:p>
    <w:tbl>
      <w:tblPr>
        <w:tblW w:w="0" w:type="auto"/>
        <w:tblLayout w:type="fixed"/>
        <w:tblCellMar>
          <w:left w:w="62" w:type="dxa"/>
          <w:right w:w="62" w:type="dxa"/>
        </w:tblCellMar>
        <w:tblLook w:val="0000"/>
      </w:tblPr>
      <w:tblGrid>
        <w:gridCol w:w="2700"/>
        <w:gridCol w:w="5760"/>
      </w:tblGrid>
      <w:tr w:rsidTr="002E5A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rPr>
                <w:rStyle w:val="SpecialBold"/>
              </w:rPr>
              <w:t>6</w:t>
            </w:r>
            <w:r w:rsidRPr="00C000CB">
              <w:t xml:space="preserve">) </w:t>
            </w:r>
            <w:r w:rsidRPr="00C000CB">
              <w:rPr>
                <w:rStyle w:val="SpecialBold"/>
              </w:rPr>
              <w:t>Elements</w:t>
            </w:r>
            <w:r w:rsidRPr="00C000CB">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C000CB" w:rsidP="00C000CB">
            <w:pPr>
              <w:pStyle w:val="BodyText"/>
            </w:pPr>
            <w:r w:rsidRPr="00C000CB">
              <w:t xml:space="preserve">Performance Criteria describe the required performance needed to demonstrate achievement of </w:t>
            </w:r>
            <w:r w:rsidRPr="00C000CB">
              <w:t>the Element. Assessment of performance is to be consistent with the Evidence Guide.</w:t>
            </w:r>
          </w:p>
        </w:tc>
      </w:tr>
    </w:tbl>
    <w:p w:rsidR="00000000" w:rsidRPr="00C000CB" w:rsidP="00C000CB">
      <w:pPr>
        <w:pStyle w:val="BodyText"/>
      </w:pPr>
    </w:p>
    <w:p w:rsidR="00000000" w:rsidRPr="00C000CB" w:rsidP="00C000CB">
      <w:pPr>
        <w:pStyle w:val="AllowPageBreak"/>
      </w:pPr>
    </w:p>
    <w:p w:rsidR="00000000" w:rsidRPr="00C000CB" w:rsidP="00C000CB">
      <w:pPr>
        <w:pStyle w:val="Heading1"/>
      </w:pPr>
      <w:bookmarkStart w:id="8" w:name="O_240255"/>
      <w:bookmarkEnd w:id="8"/>
      <w:r w:rsidRPr="00C000CB">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2E5A3F">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C000CB" w:rsidP="00C000CB">
            <w:pPr>
              <w:pStyle w:val="BodyText"/>
            </w:pPr>
            <w:r w:rsidRPr="00C000C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rPr>
                <w:rStyle w:val="SpecialBold"/>
              </w:rPr>
              <w:t>PERFORMANCE CRITERIA</w:t>
            </w:r>
          </w:p>
        </w:tc>
      </w:tr>
      <w:tr w:rsidTr="002E5A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1</w:t>
            </w:r>
          </w:p>
        </w:tc>
        <w:tc>
          <w:tcPr>
            <w:tcW w:w="2296"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Plan for the preparation of LV Distribution switching programs</w:t>
            </w:r>
          </w:p>
        </w:tc>
        <w:tc>
          <w:tcPr>
            <w:tcW w:w="90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1.1</w:t>
            </w:r>
          </w:p>
        </w:tc>
        <w:tc>
          <w:tcPr>
            <w:tcW w:w="486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OHS practices/procedures and environmental and sustainable energy procedures, which may influence the preparation of LV Distribution switching systems, are reviewed and determined.</w:t>
            </w:r>
          </w:p>
        </w:tc>
      </w:tr>
      <w:tr w:rsidTr="002E5A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1.2</w:t>
            </w:r>
          </w:p>
        </w:tc>
        <w:tc>
          <w:tcPr>
            <w:tcW w:w="486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Purpose of the switching program preparation is established after da</w:t>
            </w:r>
            <w:r w:rsidRPr="00C000CB">
              <w:t>ta is analysed and expected outcomes of the work are confirmed with the appropriate personnel.</w:t>
            </w:r>
          </w:p>
        </w:tc>
      </w:tr>
      <w:tr w:rsidTr="002E5A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1.3</w:t>
            </w:r>
          </w:p>
        </w:tc>
        <w:tc>
          <w:tcPr>
            <w:tcW w:w="486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 xml:space="preserve">Organisational established procedures on policies and specifications for the LV Distribution Switching systems are obtained or established </w:t>
            </w:r>
            <w:r w:rsidRPr="00C000CB">
              <w:t>with the appropriate personnel.</w:t>
            </w:r>
          </w:p>
        </w:tc>
      </w:tr>
      <w:tr w:rsidTr="002E5A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1.4</w:t>
            </w:r>
          </w:p>
        </w:tc>
        <w:tc>
          <w:tcPr>
            <w:tcW w:w="486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Testing procedures are discussed with/directed to the appropriate personnel in order to ascertain the project brief.</w:t>
            </w:r>
          </w:p>
        </w:tc>
      </w:tr>
      <w:tr w:rsidTr="002E5A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1.5</w:t>
            </w:r>
          </w:p>
        </w:tc>
        <w:tc>
          <w:tcPr>
            <w:tcW w:w="486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Testing parameters are established from organisational established procedures on policies and</w:t>
            </w:r>
            <w:r w:rsidRPr="00C000CB">
              <w:t xml:space="preserve"> specifications.</w:t>
            </w:r>
          </w:p>
        </w:tc>
      </w:tr>
      <w:tr w:rsidTr="002E5A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1.6</w:t>
            </w:r>
          </w:p>
        </w:tc>
        <w:tc>
          <w:tcPr>
            <w:tcW w:w="486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Equipment/tools and personal protective equipment are selected based on specified Performance Criteria and established procedures.</w:t>
            </w:r>
          </w:p>
        </w:tc>
      </w:tr>
      <w:tr w:rsidTr="002E5A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1.7</w:t>
            </w:r>
          </w:p>
        </w:tc>
        <w:tc>
          <w:tcPr>
            <w:tcW w:w="486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Work roles and tasks are allocated according to requirements and individuals' competencies.</w:t>
            </w:r>
          </w:p>
        </w:tc>
      </w:tr>
      <w:tr w:rsidTr="002E5A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1.8</w:t>
            </w:r>
          </w:p>
        </w:tc>
        <w:tc>
          <w:tcPr>
            <w:tcW w:w="486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Work is prioritised and sequenced for the most efficient/effective outcome, completed within an acceptable timeframe to a quality standard and in accordance with established procedures.</w:t>
            </w:r>
          </w:p>
        </w:tc>
      </w:tr>
      <w:tr w:rsidTr="002E5A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1.9</w:t>
            </w:r>
          </w:p>
        </w:tc>
        <w:tc>
          <w:tcPr>
            <w:tcW w:w="486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Liaison and communication issues with other/authorised per</w:t>
            </w:r>
            <w:r w:rsidRPr="00C000CB">
              <w:t>sonnel, authorities, clients and land owners are resolved and activities coordinated to carry out work.</w:t>
            </w:r>
          </w:p>
        </w:tc>
      </w:tr>
      <w:tr w:rsidTr="002E5A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1.10</w:t>
            </w:r>
          </w:p>
        </w:tc>
        <w:tc>
          <w:tcPr>
            <w:tcW w:w="486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Risk control measures are identified, prioritised and evaluated against the work schedule.</w:t>
            </w:r>
          </w:p>
        </w:tc>
      </w:tr>
      <w:tr w:rsidTr="002E5A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1.11</w:t>
            </w:r>
          </w:p>
        </w:tc>
        <w:tc>
          <w:tcPr>
            <w:tcW w:w="486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Relevant work permits are secured to coordina</w:t>
            </w:r>
            <w:r w:rsidRPr="00C000CB">
              <w:t>te the performance of work according to requirements and/or established procedures.</w:t>
            </w:r>
          </w:p>
        </w:tc>
      </w:tr>
      <w:tr w:rsidTr="002E5A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2</w:t>
            </w:r>
          </w:p>
        </w:tc>
        <w:tc>
          <w:tcPr>
            <w:tcW w:w="2296" w:type="dxa"/>
            <w:vMerge w:val="restart"/>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Carry out the preparation of LV Distribution switching programs</w:t>
            </w:r>
          </w:p>
        </w:tc>
        <w:tc>
          <w:tcPr>
            <w:tcW w:w="90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2.1</w:t>
            </w:r>
          </w:p>
        </w:tc>
        <w:tc>
          <w:tcPr>
            <w:tcW w:w="486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Circuit/systems modelling is used to evaluate alternative proposals as per established procedures.</w:t>
            </w:r>
          </w:p>
        </w:tc>
      </w:tr>
      <w:tr w:rsidTr="002E5A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2.2</w:t>
            </w:r>
          </w:p>
        </w:tc>
        <w:tc>
          <w:tcPr>
            <w:tcW w:w="486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OHS and sustainable energy principles, functionality and practices to reduce the incidents of accidents and minimise waste are incorporated into the project in accordance with requirements and/or established procedures.</w:t>
            </w:r>
          </w:p>
        </w:tc>
      </w:tr>
      <w:tr w:rsidTr="002E5A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2.3</w:t>
            </w:r>
          </w:p>
        </w:tc>
        <w:tc>
          <w:tcPr>
            <w:tcW w:w="486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LV Distribution switchin</w:t>
            </w:r>
            <w:r w:rsidRPr="00C000CB">
              <w:t>g program decisions are made on the basis of safety and effective outcomes according to requirements and/or established procedures.</w:t>
            </w:r>
          </w:p>
        </w:tc>
      </w:tr>
      <w:tr w:rsidTr="002E5A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2.4</w:t>
            </w:r>
          </w:p>
        </w:tc>
        <w:tc>
          <w:tcPr>
            <w:tcW w:w="486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Mathematical and/or engineering models of the LV Switching systems are used to analyse the effectiveness of the finished project as per requirements and established procedures.</w:t>
            </w:r>
          </w:p>
        </w:tc>
      </w:tr>
      <w:tr w:rsidTr="002E5A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2.5</w:t>
            </w:r>
          </w:p>
        </w:tc>
        <w:tc>
          <w:tcPr>
            <w:tcW w:w="486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 xml:space="preserve">Technical advice is given regarding potential hazards, safety risks and </w:t>
            </w:r>
            <w:r w:rsidRPr="00C000CB">
              <w:t>control measures so that monitoring and preventative action can be undertaken and/or appropriate authorities consulted, where necessary, in accordance with requirements and established procedures.</w:t>
            </w:r>
          </w:p>
        </w:tc>
      </w:tr>
      <w:tr w:rsidTr="002E5A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2.6</w:t>
            </w:r>
          </w:p>
        </w:tc>
        <w:tc>
          <w:tcPr>
            <w:tcW w:w="486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Essential knowledge and associated skills are applie</w:t>
            </w:r>
            <w:r w:rsidRPr="00C000CB">
              <w:t>d to analyse specific data and compare it with compliance specifications to ensure completion of the project within an agreed timeframe according to requirements.</w:t>
            </w:r>
          </w:p>
        </w:tc>
      </w:tr>
      <w:tr w:rsidTr="002E5A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2.7</w:t>
            </w:r>
          </w:p>
        </w:tc>
        <w:tc>
          <w:tcPr>
            <w:tcW w:w="486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Testing of LV switching program is undertaken according to requirements and establishe</w:t>
            </w:r>
            <w:r w:rsidRPr="00C000CB">
              <w:t>d procedures.</w:t>
            </w:r>
          </w:p>
        </w:tc>
      </w:tr>
      <w:tr w:rsidTr="002E5A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2.8</w:t>
            </w:r>
          </w:p>
        </w:tc>
        <w:tc>
          <w:tcPr>
            <w:tcW w:w="486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Work teams/groups are arranged/coordinated/evaluated to ensure planned goals are met according to established procedures.</w:t>
            </w:r>
          </w:p>
        </w:tc>
      </w:tr>
      <w:tr w:rsidTr="002E5A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2.9</w:t>
            </w:r>
          </w:p>
        </w:tc>
        <w:tc>
          <w:tcPr>
            <w:tcW w:w="486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Solutions to non-routine problems are identified and ac</w:t>
            </w:r>
            <w:r w:rsidRPr="00C000CB">
              <w:t>tioned, using acquired essential knowledge and associated skills, according to requirements.</w:t>
            </w:r>
          </w:p>
        </w:tc>
      </w:tr>
      <w:tr w:rsidTr="002E5A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2.10</w:t>
            </w:r>
          </w:p>
        </w:tc>
        <w:tc>
          <w:tcPr>
            <w:tcW w:w="486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Quality of work is monitored against personal performance agreement and/or established organisational and professional standards.</w:t>
            </w:r>
          </w:p>
        </w:tc>
      </w:tr>
      <w:tr w:rsidTr="002E5A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2.11</w:t>
            </w:r>
          </w:p>
        </w:tc>
        <w:tc>
          <w:tcPr>
            <w:tcW w:w="486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Strategic plans a</w:t>
            </w:r>
            <w:r w:rsidRPr="00C000CB">
              <w:t>re developed incorporating organisation initiatives as per established procedures.</w:t>
            </w:r>
          </w:p>
        </w:tc>
      </w:tr>
      <w:tr w:rsidTr="002E5A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3</w:t>
            </w:r>
          </w:p>
        </w:tc>
        <w:tc>
          <w:tcPr>
            <w:tcW w:w="2296"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Complete the preparation of LV Distribution switching programs</w:t>
            </w:r>
          </w:p>
        </w:tc>
        <w:tc>
          <w:tcPr>
            <w:tcW w:w="90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3.1</w:t>
            </w:r>
          </w:p>
        </w:tc>
        <w:tc>
          <w:tcPr>
            <w:tcW w:w="486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Final review of the switching program is undertaken to ensure they comply with all requirements and inc</w:t>
            </w:r>
            <w:r w:rsidRPr="00C000CB">
              <w:t>lude all specifications and documentations needed to complete the project.</w:t>
            </w:r>
          </w:p>
        </w:tc>
      </w:tr>
      <w:tr w:rsidTr="002E5A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3.2</w:t>
            </w:r>
          </w:p>
        </w:tc>
        <w:tc>
          <w:tcPr>
            <w:tcW w:w="486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Appropriate personnel are notified of completion and reports and/or completion documents are finalised/commissioned.</w:t>
            </w:r>
          </w:p>
        </w:tc>
      </w:tr>
      <w:tr w:rsidTr="002E5A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3.3</w:t>
            </w:r>
          </w:p>
        </w:tc>
        <w:tc>
          <w:tcPr>
            <w:tcW w:w="486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Reports and/or completion documents are submitted to relevant personnel/organisations for approval and, where applicable, statutory or regulatory approval.</w:t>
            </w:r>
          </w:p>
        </w:tc>
      </w:tr>
      <w:tr w:rsidTr="002E5A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3.4</w:t>
            </w:r>
          </w:p>
        </w:tc>
        <w:tc>
          <w:tcPr>
            <w:tcW w:w="4860" w:type="dxa"/>
            <w:tcBorders>
              <w:top w:val="nil"/>
              <w:left w:val="nil"/>
              <w:bottom w:val="nil"/>
              <w:right w:val="nil"/>
            </w:tcBorders>
            <w:tcMar>
              <w:top w:w="0" w:type="dxa"/>
              <w:left w:w="62" w:type="dxa"/>
              <w:bottom w:w="0" w:type="dxa"/>
              <w:right w:w="62" w:type="dxa"/>
            </w:tcMar>
          </w:tcPr>
          <w:p w:rsidR="00000000" w:rsidRPr="00C000CB" w:rsidP="00C000CB">
            <w:pPr>
              <w:pStyle w:val="BodyText"/>
            </w:pPr>
            <w:r w:rsidRPr="00C000CB">
              <w:t>Approved copies of the preparation of LV Distribution Switching programs documents are issued</w:t>
            </w:r>
            <w:r w:rsidRPr="00C000CB">
              <w:t xml:space="preserve"> and records are updated in accordance with established procedures.</w:t>
            </w:r>
          </w:p>
        </w:tc>
      </w:tr>
    </w:tbl>
    <w:p w:rsidR="002E5A3F" w:rsidP="00C000CB">
      <w:pPr>
        <w:pStyle w:val="BodyText"/>
      </w:pPr>
    </w:p>
    <w:p w:rsidR="002E5A3F" w:rsidP="00C000CB">
      <w:pPr>
        <w:pStyle w:val="BodyText"/>
      </w:pPr>
    </w:p>
    <w:p w:rsidR="00000000" w:rsidRPr="00C000CB" w:rsidP="00C000CB">
      <w:pPr>
        <w:pStyle w:val="Heading1"/>
      </w:pPr>
      <w:bookmarkStart w:id="9" w:name="O_264046"/>
      <w:bookmarkEnd w:id="9"/>
      <w:r w:rsidRPr="00C000CB">
        <w:t>Required Skills and Knowledge</w:t>
      </w:r>
    </w:p>
    <w:tbl>
      <w:tblPr>
        <w:tblW w:w="0" w:type="auto"/>
        <w:tblLayout w:type="fixed"/>
        <w:tblCellMar>
          <w:left w:w="62" w:type="dxa"/>
          <w:right w:w="62" w:type="dxa"/>
        </w:tblCellMar>
        <w:tblLook w:val="0000"/>
      </w:tblPr>
      <w:tblGrid>
        <w:gridCol w:w="2700"/>
        <w:gridCol w:w="1080"/>
        <w:gridCol w:w="4680"/>
      </w:tblGrid>
      <w:tr w:rsidTr="002E5A3F">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rPr>
                <w:rStyle w:val="SpecialBold"/>
              </w:rPr>
              <w:t>REQUIRED SKILLS AND KNOWLEDGE</w:t>
            </w:r>
          </w:p>
        </w:tc>
      </w:tr>
      <w:tr w:rsidTr="002E5A3F">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rPr>
                <w:rStyle w:val="SpecialBold"/>
              </w:rPr>
              <w:t>7</w:t>
            </w:r>
            <w:r w:rsidRPr="00C000CB">
              <w:t xml:space="preserve">) </w:t>
            </w:r>
            <w:r w:rsidRPr="00C000CB">
              <w:rPr>
                <w:rStyle w:val="SpecialBold"/>
              </w:rPr>
              <w:t>Essential Knowledge and Associated Skills</w:t>
            </w:r>
            <w:r w:rsidRPr="00C000CB">
              <w:t xml:space="preserve"> (</w:t>
            </w:r>
            <w:r w:rsidRPr="00C000CB">
              <w:rPr>
                <w:rStyle w:val="SpecialBold"/>
              </w:rPr>
              <w:t>EKAS</w:t>
            </w:r>
            <w:r w:rsidRPr="00C000CB">
              <w:t>): This describes the essential skills and knowledge and their level, required for this unit.</w:t>
            </w:r>
          </w:p>
        </w:tc>
      </w:tr>
      <w:tr w:rsidTr="002E5A3F">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C000CB" w:rsidP="00C000CB">
            <w:pPr>
              <w:pStyle w:val="BodyText"/>
            </w:pPr>
            <w:r w:rsidRPr="00C000CB">
              <w:t xml:space="preserve">Evidence shall show that knowledge has been acquired of developing LV distribution switching programs. </w:t>
            </w:r>
          </w:p>
          <w:p w:rsidR="00000000" w:rsidRPr="00C000CB" w:rsidP="00C000CB">
            <w:pPr>
              <w:pStyle w:val="BodyText"/>
            </w:pPr>
            <w:r w:rsidRPr="00C000CB">
              <w:t>All knowledge and skills detailed in this unit should b</w:t>
            </w:r>
            <w:r w:rsidRPr="00C000CB">
              <w:t>e contextualised to current industry practices and technologies.</w:t>
            </w:r>
          </w:p>
          <w:p w:rsidR="00000000" w:rsidP="00C000CB">
            <w:pPr>
              <w:pStyle w:val="BodyText"/>
              <w:rPr>
                <w:lang w:val="en-NZ"/>
              </w:rPr>
            </w:pPr>
            <w:r w:rsidRPr="00C000CB">
              <w:t>The extent of the essential knowledge and associated skills (EKAS) required is given in Volume 2 - Part 2.2 EKAS. It forms an integral part of this unit.</w:t>
            </w:r>
          </w:p>
        </w:tc>
      </w:tr>
      <w:tr w:rsidTr="002E5A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 xml:space="preserve">E2.18.1 </w:t>
            </w:r>
          </w:p>
        </w:tc>
        <w:tc>
          <w:tcPr>
            <w:tcW w:w="468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Occupational Health and Safety principles</w:t>
            </w:r>
          </w:p>
        </w:tc>
      </w:tr>
      <w:tr w:rsidTr="002E5A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E2.18.2</w:t>
            </w:r>
          </w:p>
        </w:tc>
        <w:tc>
          <w:tcPr>
            <w:tcW w:w="468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Electrical safe working practice</w:t>
            </w:r>
          </w:p>
        </w:tc>
      </w:tr>
      <w:tr w:rsidTr="002E5A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T2.2.1</w:t>
            </w:r>
          </w:p>
        </w:tc>
        <w:tc>
          <w:tcPr>
            <w:tcW w:w="468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Generation power systems</w:t>
            </w:r>
          </w:p>
        </w:tc>
      </w:tr>
      <w:tr w:rsidTr="002E5A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T2.2.2</w:t>
            </w:r>
          </w:p>
        </w:tc>
        <w:tc>
          <w:tcPr>
            <w:tcW w:w="468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Transmission, distribution and rail power systems</w:t>
            </w:r>
          </w:p>
        </w:tc>
      </w:tr>
      <w:tr w:rsidTr="002E5A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T2.2.3</w:t>
            </w:r>
          </w:p>
        </w:tc>
        <w:tc>
          <w:tcPr>
            <w:tcW w:w="468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Substations, power transformers and reactors</w:t>
            </w:r>
          </w:p>
        </w:tc>
      </w:tr>
      <w:tr w:rsidTr="002E5A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T2.2.27</w:t>
            </w:r>
          </w:p>
        </w:tc>
        <w:tc>
          <w:tcPr>
            <w:tcW w:w="468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Generator cont</w:t>
            </w:r>
            <w:r w:rsidRPr="00C000CB">
              <w:t>rol systems  LV</w:t>
            </w:r>
          </w:p>
        </w:tc>
      </w:tr>
      <w:tr w:rsidTr="002E5A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T2.2.31</w:t>
            </w:r>
          </w:p>
        </w:tc>
        <w:tc>
          <w:tcPr>
            <w:tcW w:w="468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Distribution overhead line component fundamentals</w:t>
            </w:r>
          </w:p>
        </w:tc>
      </w:tr>
      <w:tr w:rsidTr="002E5A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T2.2.37</w:t>
            </w:r>
          </w:p>
        </w:tc>
        <w:tc>
          <w:tcPr>
            <w:tcW w:w="468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Live line work up to 33KV with glove and barrier</w:t>
            </w:r>
          </w:p>
        </w:tc>
      </w:tr>
      <w:tr w:rsidTr="002E5A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T2.2.38</w:t>
            </w:r>
          </w:p>
        </w:tc>
        <w:tc>
          <w:tcPr>
            <w:tcW w:w="468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Working on live lines up to 33kV with glove and barrier/Hotstick Combined</w:t>
            </w:r>
          </w:p>
        </w:tc>
      </w:tr>
      <w:tr w:rsidTr="002E5A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T2.2.39</w:t>
            </w:r>
          </w:p>
        </w:tc>
        <w:tc>
          <w:tcPr>
            <w:tcW w:w="468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Plant, equipment and tools used for HV live line work</w:t>
            </w:r>
          </w:p>
        </w:tc>
      </w:tr>
      <w:tr w:rsidTr="002E5A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T2.2.48</w:t>
            </w:r>
          </w:p>
        </w:tc>
        <w:tc>
          <w:tcPr>
            <w:tcW w:w="468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Electrical Equipment  HV and LV powerline</w:t>
            </w:r>
          </w:p>
        </w:tc>
      </w:tr>
      <w:tr w:rsidTr="002E5A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T2.2.49</w:t>
            </w:r>
          </w:p>
        </w:tc>
        <w:tc>
          <w:tcPr>
            <w:tcW w:w="468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Coordinating permit access authority procedures.</w:t>
            </w:r>
          </w:p>
        </w:tc>
      </w:tr>
      <w:tr w:rsidTr="002E5A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 xml:space="preserve">T2.3.1 </w:t>
            </w:r>
          </w:p>
        </w:tc>
        <w:tc>
          <w:tcPr>
            <w:tcW w:w="468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Powerline safety practices</w:t>
            </w:r>
          </w:p>
        </w:tc>
      </w:tr>
      <w:tr w:rsidTr="002E5A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T2.3.3</w:t>
            </w:r>
          </w:p>
        </w:tc>
        <w:tc>
          <w:tcPr>
            <w:tcW w:w="468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Statutory and safety considerations</w:t>
            </w:r>
          </w:p>
        </w:tc>
      </w:tr>
      <w:tr w:rsidTr="002E5A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T3.3.5</w:t>
            </w:r>
          </w:p>
        </w:tc>
        <w:tc>
          <w:tcPr>
            <w:tcW w:w="468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Discrete protection schemes  isolation and tagging procedures</w:t>
            </w:r>
          </w:p>
        </w:tc>
      </w:tr>
      <w:tr w:rsidTr="002E5A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 xml:space="preserve">T2.4.1 </w:t>
            </w:r>
          </w:p>
        </w:tc>
        <w:tc>
          <w:tcPr>
            <w:tcW w:w="468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Switchgear installation</w:t>
            </w:r>
          </w:p>
        </w:tc>
      </w:tr>
      <w:tr w:rsidTr="002E5A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 xml:space="preserve">T2.4.2 </w:t>
            </w:r>
          </w:p>
        </w:tc>
        <w:tc>
          <w:tcPr>
            <w:tcW w:w="468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Low voltage switching principles</w:t>
            </w:r>
          </w:p>
        </w:tc>
      </w:tr>
      <w:tr w:rsidTr="002E5A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T2.4.9</w:t>
            </w:r>
          </w:p>
        </w:tc>
        <w:tc>
          <w:tcPr>
            <w:tcW w:w="468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 xml:space="preserve">Systems switching operations and authorisation procedures  LV </w:t>
            </w:r>
          </w:p>
        </w:tc>
      </w:tr>
      <w:tr w:rsidTr="002E5A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T2.4.12</w:t>
            </w:r>
          </w:p>
        </w:tc>
        <w:tc>
          <w:tcPr>
            <w:tcW w:w="468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Low voltage overhead and substation switching principles</w:t>
            </w:r>
          </w:p>
        </w:tc>
      </w:tr>
      <w:tr w:rsidTr="002E5A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T2.4.14</w:t>
            </w:r>
          </w:p>
        </w:tc>
        <w:tc>
          <w:tcPr>
            <w:tcW w:w="468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Low voltage switching instruction preparation</w:t>
            </w:r>
          </w:p>
        </w:tc>
      </w:tr>
      <w:tr w:rsidTr="002E5A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T2.5.1</w:t>
            </w:r>
          </w:p>
        </w:tc>
        <w:tc>
          <w:tcPr>
            <w:tcW w:w="468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Ecological principles for vegetation control</w:t>
            </w:r>
          </w:p>
        </w:tc>
      </w:tr>
      <w:tr w:rsidTr="002E5A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T2.5.2</w:t>
            </w:r>
          </w:p>
        </w:tc>
        <w:tc>
          <w:tcPr>
            <w:tcW w:w="468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Vegetation control techniques</w:t>
            </w:r>
          </w:p>
        </w:tc>
      </w:tr>
      <w:tr w:rsidTr="002E5A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 xml:space="preserve">T2.8.1 </w:t>
            </w:r>
          </w:p>
        </w:tc>
        <w:tc>
          <w:tcPr>
            <w:tcW w:w="468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Enterprises specific  policies and procedure instructions</w:t>
            </w:r>
          </w:p>
        </w:tc>
      </w:tr>
      <w:tr w:rsidTr="002E5A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T2.8.2</w:t>
            </w:r>
          </w:p>
        </w:tc>
        <w:tc>
          <w:tcPr>
            <w:tcW w:w="468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Enterprises specific  OHS instructions</w:t>
            </w:r>
          </w:p>
        </w:tc>
      </w:tr>
      <w:tr w:rsidTr="002E5A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T2.8.3</w:t>
            </w:r>
          </w:p>
        </w:tc>
        <w:tc>
          <w:tcPr>
            <w:tcW w:w="468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Enterprises specific  technical drawing and documents</w:t>
            </w:r>
          </w:p>
        </w:tc>
      </w:tr>
      <w:tr w:rsidTr="002E5A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T2.8.4</w:t>
            </w:r>
          </w:p>
        </w:tc>
        <w:tc>
          <w:tcPr>
            <w:tcW w:w="468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Enterprises specific - switching diagrams</w:t>
            </w:r>
          </w:p>
        </w:tc>
      </w:tr>
      <w:tr w:rsidTr="002E5A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T2.9.1</w:t>
            </w:r>
          </w:p>
        </w:tc>
        <w:tc>
          <w:tcPr>
            <w:tcW w:w="468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Interpretation of power dis</w:t>
            </w:r>
            <w:r w:rsidRPr="00C000CB">
              <w:t>tribution network drawings and documentation</w:t>
            </w:r>
          </w:p>
        </w:tc>
      </w:tr>
      <w:tr w:rsidTr="002E5A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T2.10.11</w:t>
            </w:r>
          </w:p>
        </w:tc>
        <w:tc>
          <w:tcPr>
            <w:tcW w:w="468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Substation safety practices</w:t>
            </w:r>
          </w:p>
        </w:tc>
      </w:tr>
      <w:tr w:rsidTr="002E5A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T2.11.14</w:t>
            </w:r>
          </w:p>
        </w:tc>
        <w:tc>
          <w:tcPr>
            <w:tcW w:w="468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Fault calculation techniques</w:t>
            </w:r>
          </w:p>
        </w:tc>
      </w:tr>
      <w:tr w:rsidTr="002E5A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T2.11.15</w:t>
            </w:r>
          </w:p>
        </w:tc>
        <w:tc>
          <w:tcPr>
            <w:tcW w:w="468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Visual inspection procedures</w:t>
            </w:r>
          </w:p>
        </w:tc>
      </w:tr>
      <w:tr w:rsidTr="002E5A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T2.11.16</w:t>
            </w:r>
          </w:p>
        </w:tc>
        <w:tc>
          <w:tcPr>
            <w:tcW w:w="468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Commissioning procedures</w:t>
            </w:r>
          </w:p>
        </w:tc>
      </w:tr>
      <w:tr w:rsidTr="002E5A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T2.11.18</w:t>
            </w:r>
          </w:p>
        </w:tc>
        <w:tc>
          <w:tcPr>
            <w:tcW w:w="468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Discrete protection systems</w:t>
            </w:r>
          </w:p>
        </w:tc>
      </w:tr>
      <w:tr w:rsidTr="002E5A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T2.11.19</w:t>
            </w:r>
          </w:p>
        </w:tc>
        <w:tc>
          <w:tcPr>
            <w:tcW w:w="468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Interdependent protection systems</w:t>
            </w:r>
          </w:p>
        </w:tc>
      </w:tr>
      <w:tr w:rsidTr="002E5A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T2.11.20</w:t>
            </w:r>
          </w:p>
        </w:tc>
        <w:tc>
          <w:tcPr>
            <w:tcW w:w="468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Complex protection systems</w:t>
            </w:r>
          </w:p>
        </w:tc>
      </w:tr>
      <w:tr w:rsidTr="002E5A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T2.11.40</w:t>
            </w:r>
          </w:p>
        </w:tc>
        <w:tc>
          <w:tcPr>
            <w:tcW w:w="468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Harmonics</w:t>
            </w:r>
          </w:p>
        </w:tc>
      </w:tr>
      <w:tr w:rsidTr="002E5A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T2.11.58</w:t>
            </w:r>
          </w:p>
        </w:tc>
        <w:tc>
          <w:tcPr>
            <w:tcW w:w="468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Distribution UG line component fundamentals</w:t>
            </w:r>
          </w:p>
        </w:tc>
      </w:tr>
      <w:tr w:rsidTr="002E5A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T2.11.64</w:t>
            </w:r>
          </w:p>
        </w:tc>
        <w:tc>
          <w:tcPr>
            <w:tcW w:w="4680" w:type="dxa"/>
            <w:tcBorders>
              <w:top w:val="nil"/>
              <w:left w:val="nil"/>
              <w:bottom w:val="nil"/>
              <w:right w:val="nil"/>
            </w:tcBorders>
            <w:tcMar>
              <w:top w:w="0" w:type="dxa"/>
              <w:left w:w="62" w:type="dxa"/>
              <w:bottom w:w="0" w:type="dxa"/>
              <w:right w:w="62" w:type="dxa"/>
            </w:tcMar>
          </w:tcPr>
          <w:p w:rsidR="00000000" w:rsidRPr="00C000CB" w:rsidP="00C000CB">
            <w:pPr>
              <w:pStyle w:val="BodyText"/>
            </w:pPr>
            <w:r w:rsidRPr="00C000CB">
              <w:t>LV System load calculation principles</w:t>
            </w:r>
          </w:p>
        </w:tc>
      </w:tr>
    </w:tbl>
    <w:p w:rsidR="002E5A3F" w:rsidP="00C000CB">
      <w:pPr>
        <w:pStyle w:val="BodyText"/>
      </w:pPr>
    </w:p>
    <w:p w:rsidR="002E5A3F" w:rsidP="00C000CB">
      <w:pPr>
        <w:pStyle w:val="BodyText"/>
      </w:pPr>
    </w:p>
    <w:p w:rsidR="00000000" w:rsidRPr="00C000CB" w:rsidP="00C000CB">
      <w:pPr>
        <w:pStyle w:val="Heading1"/>
      </w:pPr>
      <w:bookmarkStart w:id="10" w:name="O_248238"/>
      <w:bookmarkEnd w:id="10"/>
      <w:r w:rsidRPr="00C000CB">
        <w:t>Evidence Guide</w:t>
      </w:r>
    </w:p>
    <w:tbl>
      <w:tblPr>
        <w:tblW w:w="0" w:type="auto"/>
        <w:tblLayout w:type="fixed"/>
        <w:tblCellMar>
          <w:left w:w="62" w:type="dxa"/>
          <w:right w:w="62" w:type="dxa"/>
        </w:tblCellMar>
        <w:tblLook w:val="0000"/>
      </w:tblPr>
      <w:tblGrid>
        <w:gridCol w:w="2160"/>
        <w:gridCol w:w="720"/>
        <w:gridCol w:w="900"/>
        <w:gridCol w:w="180"/>
        <w:gridCol w:w="1440"/>
        <w:gridCol w:w="3060"/>
      </w:tblGrid>
      <w:tr w:rsidTr="002E5A3F">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rPr>
                <w:rStyle w:val="SpecialBold"/>
              </w:rPr>
              <w:t>EVIDENCE GUIDE</w:t>
            </w:r>
          </w:p>
        </w:tc>
      </w:tr>
      <w:tr w:rsidTr="002E5A3F">
        <w:tblPrEx>
          <w:tblW w:w="0" w:type="auto"/>
          <w:tblLayout w:type="fixed"/>
          <w:tblCellMar>
            <w:left w:w="62" w:type="dxa"/>
            <w:right w:w="62" w:type="dxa"/>
          </w:tblCellMar>
          <w:tblLook w:val="0000"/>
        </w:tblPrEx>
        <w:tc>
          <w:tcPr>
            <w:tcW w:w="8460" w:type="dxa"/>
            <w:gridSpan w:val="6"/>
            <w:tcBorders>
              <w:top w:val="nil"/>
              <w:left w:val="nil"/>
              <w:bottom w:val="nil"/>
              <w:right w:val="nil"/>
            </w:tcBorders>
            <w:tcMar>
              <w:top w:w="0" w:type="dxa"/>
              <w:left w:w="62" w:type="dxa"/>
              <w:bottom w:w="0" w:type="dxa"/>
              <w:right w:w="62" w:type="dxa"/>
            </w:tcMar>
          </w:tcPr>
          <w:p w:rsidR="00000000" w:rsidRPr="00C000CB" w:rsidP="00C000CB">
            <w:pPr>
              <w:pStyle w:val="BodyText"/>
            </w:pPr>
            <w:r w:rsidRPr="00C000CB">
              <w:rPr>
                <w:rStyle w:val="SpecialBold"/>
              </w:rPr>
              <w:t>9</w:t>
            </w:r>
            <w:r w:rsidRPr="00C000CB">
              <w:t>) This provides essential advice for assessment of the competency standard unit and must be read in conjunction with the Performance Criteria and the Range Statement of the competency standard unit and the Training Package Assessment Guidelines.</w:t>
            </w:r>
          </w:p>
          <w:p w:rsidR="00000000" w:rsidP="00C000CB">
            <w:pPr>
              <w:pStyle w:val="BodyText"/>
              <w:rPr>
                <w:lang w:val="en-NZ"/>
              </w:rPr>
            </w:pPr>
            <w:r w:rsidRPr="00C000CB">
              <w:t>The Eviden</w:t>
            </w:r>
            <w:r w:rsidRPr="00C000CB">
              <w:t>ce Guide forms an integral part of this Competency Standard Unit and shall be used in conjunction with all component parts of this unit and, performed in accordance with the Assessment Guidelines of this Training Package.</w:t>
            </w:r>
          </w:p>
        </w:tc>
      </w:tr>
      <w:tr w:rsidTr="002E5A3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000CB" w:rsidP="00C000CB">
            <w:pPr>
              <w:pStyle w:val="BodyText"/>
            </w:pPr>
            <w:r w:rsidRPr="00C000CB">
              <w:rPr>
                <w:rStyle w:val="SpecialBold"/>
              </w:rPr>
              <w:t>Overview of Assessment</w:t>
            </w:r>
          </w:p>
        </w:tc>
        <w:tc>
          <w:tcPr>
            <w:tcW w:w="6300" w:type="dxa"/>
            <w:gridSpan w:val="5"/>
            <w:tcBorders>
              <w:top w:val="nil"/>
              <w:left w:val="nil"/>
              <w:bottom w:val="nil"/>
              <w:right w:val="nil"/>
            </w:tcBorders>
            <w:tcMar>
              <w:top w:w="0" w:type="dxa"/>
              <w:left w:w="62" w:type="dxa"/>
              <w:bottom w:w="0" w:type="dxa"/>
              <w:right w:w="62" w:type="dxa"/>
            </w:tcMar>
          </w:tcPr>
          <w:p w:rsidR="00000000" w:rsidRPr="00C000CB" w:rsidP="00C000CB">
            <w:pPr>
              <w:pStyle w:val="BodyText"/>
            </w:pPr>
            <w:r w:rsidRPr="00C000CB">
              <w:rPr>
                <w:rStyle w:val="SpecialBold"/>
              </w:rPr>
              <w:t>9</w:t>
            </w:r>
            <w:r w:rsidRPr="00C000CB">
              <w:t>.</w:t>
            </w:r>
            <w:r w:rsidRPr="00C000CB">
              <w:rPr>
                <w:rStyle w:val="SpecialBold"/>
              </w:rPr>
              <w:t>1</w:t>
            </w:r>
            <w:r w:rsidRPr="00C000CB">
              <w:t xml:space="preserve">) </w:t>
            </w:r>
          </w:p>
          <w:p w:rsidR="00000000" w:rsidRPr="00C000CB" w:rsidP="00C000CB">
            <w:pPr>
              <w:pStyle w:val="BodyText"/>
            </w:pPr>
            <w:r w:rsidRPr="00C000CB">
              <w:t>Longitudinal competency development approaches to assessment, such as Profiling, require data to be reliably gathered in a form that can be consistently interpreted over time. This approach is best utilised in Apprenticeship programs and reduces assessmen</w:t>
            </w:r>
            <w:r w:rsidRPr="00C000CB">
              <w:t>t intervention. It is the Industry's preferred model for apprenticeships. However, where summative (or final) assessment is used it is to include the application of the competency in the normal work environment or, at a minimum, the application of the comp</w:t>
            </w:r>
            <w:r w:rsidRPr="00C000CB">
              <w:t>etency in a realistically simulated work environment. It is recognised that, in some circumstances, assessment in part or full can occur outside the workplace. However, it must be in accord with Industry and, Regulatory policy in this regard.</w:t>
            </w:r>
          </w:p>
          <w:p w:rsidR="00000000" w:rsidRPr="00C000CB" w:rsidP="00C000CB">
            <w:pPr>
              <w:pStyle w:val="BodyText"/>
            </w:pPr>
            <w:r w:rsidRPr="00C000CB">
              <w:t>Methods chose</w:t>
            </w:r>
            <w:r w:rsidRPr="00C000CB">
              <w:t xml:space="preserve">n for a particular assessment will be influenced by various factors. These include the extent of the assessment, the most effective locations for the assessment activities to take place, access to physical resources, additional safety measures that may be </w:t>
            </w:r>
            <w:r w:rsidRPr="00C000CB">
              <w:t>required and the critical nature of the competencies being assessed.</w:t>
            </w:r>
          </w:p>
          <w:p w:rsidR="00000000" w:rsidRPr="00C000CB" w:rsidP="00C000CB">
            <w:pPr>
              <w:pStyle w:val="BodyText"/>
            </w:pPr>
            <w:r w:rsidRPr="00C000CB">
              <w:t>The critical safety nature of working with electricity, electrical equipment, gas or any other hazardous substance/material carries risk in deeming a person competent. Hence, sources of evidence need to be 'rich' in nature so as to minimise error in judgme</w:t>
            </w:r>
            <w:r w:rsidRPr="00C000CB">
              <w:t>nt.</w:t>
            </w:r>
          </w:p>
          <w:p w:rsidR="00000000" w:rsidP="00C000CB">
            <w:pPr>
              <w:pStyle w:val="BodyText"/>
              <w:rPr>
                <w:lang w:val="en-NZ"/>
              </w:rPr>
            </w:pPr>
            <w:r w:rsidRPr="00C000CB">
              <w:t>Activities associated with normal every day work have a bearing on the decision as to how much and how detailed the data gathered will contribute to its 'richness'. Some skills are more critical to safety and operational requirements while the same ski</w:t>
            </w:r>
            <w:r w:rsidRPr="00C000CB">
              <w:t>lls may be more or less frequently practiced. These points are raised for the assessors to consider when choosing an assessment method and developing assessment instruments. Sample assessment instruments are included for Assessors in the Assessment Guideli</w:t>
            </w:r>
            <w:r w:rsidRPr="00C000CB">
              <w:t>nes of this Training Package.</w:t>
            </w:r>
          </w:p>
        </w:tc>
      </w:tr>
      <w:tr w:rsidTr="002E5A3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C000CB" w:rsidP="00C000CB">
            <w:pPr>
              <w:pStyle w:val="BodyText"/>
            </w:pPr>
            <w:r w:rsidRPr="00C000CB">
              <w:rPr>
                <w:rStyle w:val="SpecialBold"/>
              </w:rPr>
              <w:t>Critical aspects of evidence required to demonstrate competency in this unit</w:t>
            </w:r>
          </w:p>
        </w:tc>
        <w:tc>
          <w:tcPr>
            <w:tcW w:w="6300" w:type="dxa"/>
            <w:gridSpan w:val="5"/>
            <w:tcBorders>
              <w:top w:val="nil"/>
              <w:left w:val="nil"/>
              <w:bottom w:val="nil"/>
              <w:right w:val="nil"/>
            </w:tcBorders>
            <w:tcMar>
              <w:top w:w="0" w:type="dxa"/>
              <w:left w:w="62" w:type="dxa"/>
              <w:bottom w:w="0" w:type="dxa"/>
              <w:right w:w="62" w:type="dxa"/>
            </w:tcMar>
          </w:tcPr>
          <w:p w:rsidR="00000000" w:rsidRPr="00C000CB" w:rsidP="00C000CB">
            <w:pPr>
              <w:pStyle w:val="BodyText"/>
            </w:pPr>
            <w:r w:rsidRPr="00C000CB">
              <w:rPr>
                <w:rStyle w:val="SpecialBold"/>
              </w:rPr>
              <w:t>9</w:t>
            </w:r>
            <w:r w:rsidRPr="00C000CB">
              <w:t>.</w:t>
            </w:r>
            <w:r w:rsidRPr="00C000CB">
              <w:rPr>
                <w:rStyle w:val="SpecialBold"/>
              </w:rPr>
              <w:t>2</w:t>
            </w:r>
            <w:r w:rsidRPr="00C000CB">
              <w:t xml:space="preserve">) </w:t>
            </w:r>
          </w:p>
          <w:p w:rsidR="00000000" w:rsidP="00C000CB">
            <w:pPr>
              <w:pStyle w:val="BodyText"/>
              <w:rPr>
                <w:lang w:val="en-NZ"/>
              </w:rPr>
            </w:pPr>
            <w:r w:rsidRPr="00C000CB">
              <w:t>Before the critical aspects of evidence are considered all prerequisites shall be met.</w:t>
            </w:r>
          </w:p>
        </w:tc>
      </w:tr>
      <w:tr w:rsidTr="002E5A3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5"/>
            <w:tcBorders>
              <w:top w:val="nil"/>
              <w:left w:val="nil"/>
              <w:bottom w:val="nil"/>
              <w:right w:val="nil"/>
            </w:tcBorders>
            <w:tcMar>
              <w:top w:w="0" w:type="dxa"/>
              <w:left w:w="62" w:type="dxa"/>
              <w:bottom w:w="0" w:type="dxa"/>
              <w:right w:w="62" w:type="dxa"/>
            </w:tcMar>
          </w:tcPr>
          <w:p w:rsidR="00000000" w:rsidRPr="00C000CB" w:rsidP="00C000CB">
            <w:pPr>
              <w:pStyle w:val="BodyText"/>
            </w:pPr>
            <w:r w:rsidRPr="00C000CB">
              <w:t>Evidence for c</w:t>
            </w:r>
            <w:r w:rsidRPr="00C000CB">
              <w:t>ompetence in this unit shall be considered holistically. Each Element and associated Performance Criteria shall be demonstrated on at least two occasions in accordance with the "Assessment Guidelines - UET09". Evidence shall also comprise:</w:t>
            </w:r>
          </w:p>
          <w:p w:rsidR="00000000" w:rsidP="00C000CB">
            <w:pPr>
              <w:pStyle w:val="ListBullet"/>
              <w:rPr>
                <w:lang w:val="en-NZ"/>
              </w:rPr>
            </w:pPr>
            <w:r w:rsidRPr="00C000CB">
              <w:t>A representativ</w:t>
            </w:r>
            <w:r w:rsidRPr="00C000CB">
              <w:t>e body of Performance Criteria demonstrated within the timeframes typically expected of the discipline, work function and industrial environment. In particular this shall incorporate evidence that shows a candidate is able to:</w:t>
            </w:r>
          </w:p>
        </w:tc>
      </w:tr>
      <w:tr w:rsidTr="002E5A3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p>
        </w:tc>
        <w:tc>
          <w:tcPr>
            <w:tcW w:w="6300" w:type="dxa"/>
            <w:gridSpan w:val="5"/>
            <w:tcBorders>
              <w:top w:val="nil"/>
              <w:left w:val="nil"/>
              <w:bottom w:val="nil"/>
              <w:right w:val="nil"/>
            </w:tcBorders>
            <w:tcMar>
              <w:top w:w="0" w:type="dxa"/>
              <w:left w:w="62" w:type="dxa"/>
              <w:bottom w:w="0" w:type="dxa"/>
              <w:right w:w="62" w:type="dxa"/>
            </w:tcMar>
          </w:tcPr>
          <w:p w:rsidR="00000000" w:rsidRPr="00C000CB" w:rsidP="00C000CB">
            <w:pPr>
              <w:pStyle w:val="ListBullet2"/>
            </w:pPr>
            <w:r w:rsidRPr="00C000CB">
              <w:t>Implement Occupational Health and Safety workplace procedures and practices including the use of risk control measures as specified in the Performance Criteria and range; and</w:t>
            </w:r>
          </w:p>
          <w:p w:rsidR="00000000" w:rsidRPr="00C000CB" w:rsidP="00C000CB">
            <w:pPr>
              <w:pStyle w:val="ListBullet2"/>
            </w:pPr>
            <w:r w:rsidRPr="00C000CB">
              <w:t>Apply sustainable energy principles and practices as specified in the Performance</w:t>
            </w:r>
            <w:r w:rsidRPr="00C000CB">
              <w:t xml:space="preserve"> Criteria and range; and</w:t>
            </w:r>
          </w:p>
          <w:p w:rsidR="00000000" w:rsidRPr="00C000CB" w:rsidP="00C000CB">
            <w:pPr>
              <w:pStyle w:val="ListBullet2"/>
            </w:pPr>
            <w:r w:rsidRPr="00C000CB">
              <w:t>Demonstrate an understanding of the essential knowledge and associated skills described in this unit to such an extent that the learner's performance outcome is reported in accordance with the preferred approach; namely a percentil</w:t>
            </w:r>
            <w:r w:rsidRPr="00C000CB">
              <w:t>e graded result, where required by the regulated environment; and</w:t>
            </w:r>
          </w:p>
          <w:p w:rsidR="00000000" w:rsidRPr="00C000CB" w:rsidP="00C000CB">
            <w:pPr>
              <w:pStyle w:val="ListBullet2"/>
            </w:pPr>
            <w:r w:rsidRPr="00C000CB">
              <w:t>Demonstrate an appropriate level of employability skills; and</w:t>
            </w:r>
          </w:p>
          <w:p w:rsidR="00000000" w:rsidP="00C000CB">
            <w:pPr>
              <w:pStyle w:val="ListBullet2"/>
              <w:rPr>
                <w:lang w:val="en-NZ"/>
              </w:rPr>
            </w:pPr>
            <w:r w:rsidRPr="00C000CB">
              <w:t>Conduct work observing the relevant Anti Discrimination legislation, regulations, policies and workplace procedures; and</w:t>
            </w:r>
          </w:p>
        </w:tc>
      </w:tr>
      <w:tr w:rsidTr="002E5A3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p>
        </w:tc>
        <w:tc>
          <w:tcPr>
            <w:tcW w:w="6300" w:type="dxa"/>
            <w:gridSpan w:val="5"/>
            <w:tcBorders>
              <w:top w:val="nil"/>
              <w:left w:val="nil"/>
              <w:bottom w:val="nil"/>
              <w:right w:val="nil"/>
            </w:tcBorders>
            <w:tcMar>
              <w:top w:w="0" w:type="dxa"/>
              <w:left w:w="62" w:type="dxa"/>
              <w:bottom w:w="0" w:type="dxa"/>
              <w:right w:w="62" w:type="dxa"/>
            </w:tcMar>
          </w:tcPr>
          <w:p w:rsidR="00000000" w:rsidP="00C000CB">
            <w:pPr>
              <w:pStyle w:val="ListBullet"/>
              <w:rPr>
                <w:lang w:val="en-NZ"/>
              </w:rPr>
            </w:pPr>
            <w:r w:rsidRPr="00C000CB">
              <w:t>Demonstrated performance across a representative range of contexts from the prescribed items below:</w:t>
            </w:r>
          </w:p>
        </w:tc>
      </w:tr>
      <w:tr w:rsidTr="002E5A3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rsidRPr="00C000CB">
            <w:pPr>
              <w:pStyle w:val="BodyText"/>
              <w:keepNext w:val="0"/>
              <w:keepLines w:val="0"/>
              <w:contextualSpacing w:val="0"/>
            </w:pPr>
          </w:p>
        </w:tc>
        <w:tc>
          <w:tcPr>
            <w:tcW w:w="5580" w:type="dxa"/>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0CB">
            <w:pPr>
              <w:pStyle w:val="BodyText"/>
              <w:rPr>
                <w:lang w:val="en-NZ"/>
              </w:rPr>
            </w:pPr>
            <w:r w:rsidRPr="00C000CB">
              <w:rPr>
                <w:rStyle w:val="SpecialBold"/>
              </w:rPr>
              <w:t>Range of tools</w:t>
            </w:r>
            <w:r w:rsidRPr="00C000CB">
              <w:t>/</w:t>
            </w:r>
            <w:r w:rsidRPr="00C000CB">
              <w:rPr>
                <w:rStyle w:val="SpecialBold"/>
              </w:rPr>
              <w:t>equipment</w:t>
            </w:r>
            <w:r w:rsidRPr="00C000CB">
              <w:t>/</w:t>
            </w:r>
            <w:r w:rsidRPr="00C000CB">
              <w:rPr>
                <w:rStyle w:val="SpecialBold"/>
              </w:rPr>
              <w:t>materials</w:t>
            </w:r>
            <w:r w:rsidRPr="00C000CB">
              <w:t>/</w:t>
            </w:r>
            <w:r w:rsidRPr="00C000CB">
              <w:rPr>
                <w:rStyle w:val="SpecialBold"/>
              </w:rPr>
              <w:t>procedures</w:t>
            </w:r>
            <w:r w:rsidRPr="00C000CB">
              <w:t>/</w:t>
            </w:r>
            <w:r w:rsidRPr="00C000CB">
              <w:rPr>
                <w:rStyle w:val="SpecialBold"/>
              </w:rPr>
              <w:t>workplaces</w:t>
            </w:r>
            <w:r w:rsidRPr="00C000CB">
              <w:t>/</w:t>
            </w:r>
            <w:r w:rsidRPr="00C000CB">
              <w:rPr>
                <w:rStyle w:val="SpecialBold"/>
              </w:rPr>
              <w:t>other variables</w:t>
            </w:r>
          </w:p>
        </w:tc>
      </w:tr>
      <w:tr w:rsidTr="002E5A3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0CB">
            <w:pPr>
              <w:pStyle w:val="BodyText"/>
              <w:rPr>
                <w:lang w:val="en-NZ"/>
              </w:rPr>
            </w:pPr>
            <w:r w:rsidRPr="00C000CB">
              <w:t>Group No</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0CB">
            <w:pPr>
              <w:pStyle w:val="BodyText"/>
              <w:rPr>
                <w:lang w:val="en-NZ"/>
              </w:rPr>
            </w:pPr>
            <w:r w:rsidRPr="00C000CB">
              <w:t>The minimum number of items on which skill is to be demonstrated</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0CB">
            <w:pPr>
              <w:pStyle w:val="BodyText"/>
              <w:rPr>
                <w:lang w:val="en-NZ"/>
              </w:rPr>
            </w:pPr>
            <w:r w:rsidRPr="00C000CB">
              <w:t>Item List</w:t>
            </w:r>
          </w:p>
        </w:tc>
      </w:tr>
      <w:tr w:rsidTr="002E5A3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0CB">
            <w:pPr>
              <w:pStyle w:val="BodyText"/>
              <w:rPr>
                <w:lang w:val="en-NZ"/>
              </w:rPr>
            </w:pPr>
            <w:r w:rsidRPr="00C000CB">
              <w:t>A</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0CB">
            <w:pPr>
              <w:pStyle w:val="BodyText"/>
              <w:rPr>
                <w:lang w:val="en-NZ"/>
              </w:rPr>
            </w:pPr>
            <w:r w:rsidRPr="00C000CB">
              <w:t>Demonstrate at least three (3) switching programs that between them encompass at least 7 of the following:</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00CB" w:rsidP="00C000CB">
            <w:pPr>
              <w:pStyle w:val="BodyText"/>
            </w:pPr>
            <w:r w:rsidRPr="00C000CB">
              <w:t>A transformer with a LV winding and fixed tap</w:t>
            </w:r>
          </w:p>
          <w:p w:rsidR="00000000" w:rsidRPr="00C000CB" w:rsidP="00C000CB">
            <w:pPr>
              <w:pStyle w:val="BodyText"/>
            </w:pPr>
            <w:r w:rsidRPr="00C000CB">
              <w:t>LV busbars</w:t>
            </w:r>
          </w:p>
          <w:p w:rsidR="00000000" w:rsidRPr="00C000CB" w:rsidP="00C000CB">
            <w:pPr>
              <w:pStyle w:val="BodyText"/>
            </w:pPr>
            <w:r w:rsidRPr="00C000CB">
              <w:t>LV isolators</w:t>
            </w:r>
          </w:p>
          <w:p w:rsidR="00000000" w:rsidRPr="00C000CB" w:rsidP="00C000CB">
            <w:pPr>
              <w:pStyle w:val="BodyText"/>
            </w:pPr>
            <w:r w:rsidRPr="00C000CB">
              <w:t>LHV switchgear (applicable to enterprise equipment)</w:t>
            </w:r>
          </w:p>
          <w:p w:rsidR="00000000" w:rsidRPr="00C000CB" w:rsidP="00C000CB">
            <w:pPr>
              <w:pStyle w:val="BodyText"/>
            </w:pPr>
            <w:r w:rsidRPr="00C000CB">
              <w:t>Phasing and phase rotation</w:t>
            </w:r>
          </w:p>
          <w:p w:rsidR="00000000" w:rsidRPr="00C000CB" w:rsidP="00C000CB">
            <w:pPr>
              <w:pStyle w:val="BodyText"/>
            </w:pPr>
            <w:r w:rsidRPr="00C000CB">
              <w:t>Commissioning an item of LV plant</w:t>
            </w:r>
          </w:p>
          <w:p w:rsidR="00000000" w:rsidRPr="00C000CB" w:rsidP="00C000CB">
            <w:pPr>
              <w:pStyle w:val="BodyText"/>
            </w:pPr>
            <w:r w:rsidRPr="00C000CB">
              <w:t>A planned interruption to an LV customer/s</w:t>
            </w:r>
          </w:p>
          <w:p w:rsidR="00000000" w:rsidP="00C000CB">
            <w:pPr>
              <w:pStyle w:val="BodyText"/>
              <w:rPr>
                <w:lang w:val="en-NZ"/>
              </w:rPr>
            </w:pPr>
            <w:r w:rsidRPr="00C000CB">
              <w:t xml:space="preserve">Installation of a mobile generators </w:t>
            </w:r>
          </w:p>
        </w:tc>
      </w:tr>
      <w:tr w:rsidTr="002E5A3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0CB">
            <w:pPr>
              <w:pStyle w:val="BodyText"/>
              <w:rPr>
                <w:lang w:val="en-NZ"/>
              </w:rPr>
            </w:pPr>
            <w:r w:rsidRPr="00C000CB">
              <w:t>B</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0CB">
            <w:pPr>
              <w:pStyle w:val="BodyText"/>
              <w:rPr>
                <w:lang w:val="en-NZ"/>
              </w:rPr>
            </w:pPr>
            <w:r w:rsidRPr="00C000CB">
              <w:t>Prepare switching instructions to isolate, te</w:t>
            </w:r>
            <w:r w:rsidRPr="00C000CB">
              <w:t>st and earth all of the following</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00CB" w:rsidP="00C000CB">
            <w:pPr>
              <w:pStyle w:val="BodyText"/>
            </w:pPr>
            <w:r w:rsidRPr="00C000CB">
              <w:t>All enterprise transformer types with LV windings</w:t>
            </w:r>
          </w:p>
          <w:p w:rsidR="00000000" w:rsidRPr="00C000CB" w:rsidP="00C000CB">
            <w:pPr>
              <w:pStyle w:val="BodyText"/>
            </w:pPr>
            <w:r w:rsidRPr="00C000CB">
              <w:t>All enterprise LV busbar types</w:t>
            </w:r>
          </w:p>
          <w:p w:rsidR="00000000" w:rsidRPr="00C000CB" w:rsidP="00C000CB">
            <w:pPr>
              <w:pStyle w:val="BodyText"/>
            </w:pPr>
            <w:r w:rsidRPr="00C000CB">
              <w:t>All enterprise LV feeder types</w:t>
            </w:r>
          </w:p>
          <w:p w:rsidR="00000000" w:rsidP="00C000CB">
            <w:pPr>
              <w:pStyle w:val="BodyText"/>
              <w:rPr>
                <w:lang w:val="en-NZ"/>
              </w:rPr>
            </w:pPr>
            <w:r w:rsidRPr="00C000CB">
              <w:t>All enterprise LV circuit breakers, isolators or switches</w:t>
            </w:r>
          </w:p>
        </w:tc>
      </w:tr>
      <w:tr w:rsidTr="002E5A3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0CB">
            <w:pPr>
              <w:pStyle w:val="BodyText"/>
              <w:rPr>
                <w:lang w:val="en-NZ"/>
              </w:rPr>
            </w:pPr>
            <w:r w:rsidRPr="00C000CB">
              <w:t>C</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0CB">
            <w:pPr>
              <w:pStyle w:val="BodyText"/>
              <w:rPr>
                <w:lang w:val="en-NZ"/>
              </w:rPr>
            </w:pPr>
            <w:r w:rsidRPr="00C000CB">
              <w:t>Prepare, write and check switching sheets to do all of the following:</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00CB" w:rsidP="00C000CB">
            <w:pPr>
              <w:pStyle w:val="BodyText"/>
            </w:pPr>
            <w:r w:rsidRPr="00C000CB">
              <w:t>Manage load</w:t>
            </w:r>
          </w:p>
          <w:p w:rsidR="00000000" w:rsidRPr="00C000CB" w:rsidP="00C000CB">
            <w:pPr>
              <w:pStyle w:val="BodyText"/>
            </w:pPr>
            <w:r w:rsidRPr="00C000CB">
              <w:t xml:space="preserve">Manage voltage </w:t>
            </w:r>
          </w:p>
          <w:p w:rsidR="00000000" w:rsidRPr="00C000CB" w:rsidP="00C000CB">
            <w:pPr>
              <w:pStyle w:val="BodyText"/>
            </w:pPr>
            <w:r w:rsidRPr="00C000CB">
              <w:t>Minimise losses</w:t>
            </w:r>
          </w:p>
          <w:p w:rsidR="00000000" w:rsidP="00C000CB">
            <w:pPr>
              <w:pStyle w:val="BodyText"/>
              <w:rPr>
                <w:lang w:val="en-NZ"/>
              </w:rPr>
            </w:pPr>
            <w:r w:rsidRPr="00C000CB">
              <w:t>Maximise network reliability</w:t>
            </w:r>
          </w:p>
        </w:tc>
      </w:tr>
      <w:tr w:rsidTr="002E5A3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0CB">
            <w:pPr>
              <w:pStyle w:val="BodyText"/>
              <w:rPr>
                <w:lang w:val="en-NZ"/>
              </w:rPr>
            </w:pPr>
            <w:r w:rsidRPr="00C000CB">
              <w:t>D</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0CB">
            <w:pPr>
              <w:pStyle w:val="BodyText"/>
              <w:rPr>
                <w:lang w:val="en-NZ"/>
              </w:rPr>
            </w:pPr>
            <w:r w:rsidRPr="00C000CB">
              <w:t>Do all of the following:</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00CB" w:rsidP="00C000CB">
            <w:pPr>
              <w:pStyle w:val="BodyText"/>
            </w:pPr>
            <w:r w:rsidRPr="00C000CB">
              <w:t>Check all above types of switching instructions</w:t>
            </w:r>
          </w:p>
          <w:p w:rsidR="00000000" w:rsidRPr="00C000CB" w:rsidP="00C000CB">
            <w:pPr>
              <w:pStyle w:val="BodyText"/>
            </w:pPr>
            <w:r w:rsidRPr="00C000CB">
              <w:t>Coordinate all above types of switching instructions</w:t>
            </w:r>
          </w:p>
          <w:p w:rsidR="00000000" w:rsidRPr="00C000CB" w:rsidP="00C000CB">
            <w:pPr>
              <w:pStyle w:val="BodyText"/>
            </w:pPr>
            <w:r w:rsidRPr="00C000CB">
              <w:t>Calculation of plant loading</w:t>
            </w:r>
          </w:p>
          <w:p w:rsidR="00000000" w:rsidRPr="00C000CB" w:rsidP="00C000CB">
            <w:pPr>
              <w:pStyle w:val="BodyText"/>
            </w:pPr>
            <w:r w:rsidRPr="00C000CB">
              <w:t xml:space="preserve">Application and administration of SCADA or enterprise specific system. </w:t>
            </w:r>
          </w:p>
          <w:p w:rsidR="00000000" w:rsidP="00C000CB">
            <w:pPr>
              <w:pStyle w:val="BodyText"/>
              <w:rPr>
                <w:lang w:val="en-NZ"/>
              </w:rPr>
            </w:pPr>
            <w:r w:rsidRPr="00C000CB">
              <w:t>Analysis and diagnosis of system failure</w:t>
            </w:r>
          </w:p>
        </w:tc>
      </w:tr>
      <w:tr w:rsidTr="002E5A3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0CB">
            <w:pPr>
              <w:pStyle w:val="BodyText"/>
              <w:rPr>
                <w:lang w:val="en-NZ"/>
              </w:rPr>
            </w:pPr>
            <w:r w:rsidRPr="00C000CB">
              <w:t>E</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0CB">
            <w:pPr>
              <w:pStyle w:val="BodyText"/>
              <w:rPr>
                <w:lang w:val="en-NZ"/>
              </w:rPr>
            </w:pPr>
            <w:r w:rsidRPr="00C000CB">
              <w:t>At least one occasion</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0CB">
            <w:pPr>
              <w:pStyle w:val="BodyText"/>
              <w:rPr>
                <w:lang w:val="en-NZ"/>
              </w:rPr>
            </w:pPr>
            <w:r w:rsidRPr="00C000CB">
              <w:t>Dealing with an unplanned event b</w:t>
            </w:r>
            <w:r w:rsidRPr="00C000CB">
              <w:t>y drawing on essential knowledge and associated skills to provide appropriate solutions incorporated in the holistic assessment with the above listed items.</w:t>
            </w:r>
          </w:p>
        </w:tc>
      </w:tr>
      <w:tr w:rsidTr="002E5A3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000CB" w:rsidP="00C000CB">
            <w:pPr>
              <w:pStyle w:val="BodyText"/>
            </w:pPr>
            <w:r w:rsidRPr="00C000CB">
              <w:rPr>
                <w:rStyle w:val="SpecialBold"/>
              </w:rPr>
              <w:t>Context of and specific resources for assessment</w:t>
            </w:r>
          </w:p>
        </w:tc>
        <w:tc>
          <w:tcPr>
            <w:tcW w:w="6300" w:type="dxa"/>
            <w:gridSpan w:val="5"/>
            <w:tcBorders>
              <w:top w:val="nil"/>
              <w:left w:val="nil"/>
              <w:bottom w:val="nil"/>
              <w:right w:val="nil"/>
            </w:tcBorders>
            <w:tcMar>
              <w:top w:w="0" w:type="dxa"/>
              <w:left w:w="62" w:type="dxa"/>
              <w:bottom w:w="0" w:type="dxa"/>
              <w:right w:w="62" w:type="dxa"/>
            </w:tcMar>
          </w:tcPr>
          <w:p w:rsidR="00000000" w:rsidRPr="00C000CB" w:rsidP="00C000CB">
            <w:pPr>
              <w:pStyle w:val="BodyText"/>
            </w:pPr>
            <w:r w:rsidRPr="00C000CB">
              <w:rPr>
                <w:rStyle w:val="SpecialBold"/>
              </w:rPr>
              <w:t>9</w:t>
            </w:r>
            <w:r w:rsidRPr="00C000CB">
              <w:t>.</w:t>
            </w:r>
            <w:r w:rsidRPr="00C000CB">
              <w:rPr>
                <w:rStyle w:val="SpecialBold"/>
              </w:rPr>
              <w:t>3</w:t>
            </w:r>
            <w:r w:rsidRPr="00C000CB">
              <w:t xml:space="preserve">) </w:t>
            </w:r>
          </w:p>
          <w:p w:rsidR="00000000" w:rsidRPr="00C000CB" w:rsidP="00C000CB">
            <w:pPr>
              <w:pStyle w:val="BodyText"/>
            </w:pPr>
            <w:r w:rsidRPr="00C000CB">
              <w:t>This unit should be assessed as it relates to normal work practice using procedures, information and resources typical of a workplace. This should include:</w:t>
            </w:r>
          </w:p>
          <w:p w:rsidR="00000000" w:rsidRPr="00C000CB" w:rsidP="00C000CB">
            <w:pPr>
              <w:pStyle w:val="ListBullet"/>
            </w:pPr>
            <w:r w:rsidRPr="00C000CB">
              <w:t>OHS policy and work procedures and instructions.</w:t>
            </w:r>
          </w:p>
          <w:p w:rsidR="00000000" w:rsidRPr="00C000CB" w:rsidP="00C000CB">
            <w:pPr>
              <w:pStyle w:val="ListBullet"/>
            </w:pPr>
            <w:r w:rsidRPr="00C000CB">
              <w:t>Suitable work environment, facilities, equipment a</w:t>
            </w:r>
            <w:r w:rsidRPr="00C000CB">
              <w:t>nd materials to undertake actual preparation of LV Distribution Switching programs.</w:t>
            </w:r>
          </w:p>
          <w:p w:rsidR="00000000" w:rsidRPr="00C000CB" w:rsidP="00C000CB">
            <w:pPr>
              <w:pStyle w:val="BodyText"/>
            </w:pPr>
            <w:r w:rsidRPr="00C000CB">
              <w:t>Note:</w:t>
            </w:r>
          </w:p>
          <w:p w:rsidR="00000000" w:rsidP="00C000CB">
            <w:pPr>
              <w:pStyle w:val="BodyText"/>
              <w:rPr>
                <w:lang w:val="en-NZ"/>
              </w:rPr>
            </w:pPr>
            <w:r w:rsidRPr="00C000CB">
              <w:t>Access will be needed to: relevant protection, control, metering, and alarm equipment, network drawings, computerised electrical plant control and monitoring faciliti</w:t>
            </w:r>
            <w:r w:rsidRPr="00C000CB">
              <w:t>es, operational event data, enterprise operational policies, procedures and work practices and enterprise crisis management procedures</w:t>
            </w:r>
          </w:p>
        </w:tc>
      </w:tr>
      <w:tr w:rsidTr="002E5A3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5"/>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 xml:space="preserve">In addition to the resources listed above, in Context of and specific resources for assessment, evidence should show demonstrated competency working in realistic environment and a variety of conditions </w:t>
            </w:r>
          </w:p>
        </w:tc>
      </w:tr>
      <w:tr w:rsidTr="002E5A3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000CB" w:rsidP="00C000CB">
            <w:pPr>
              <w:pStyle w:val="BodyText"/>
            </w:pPr>
            <w:r w:rsidRPr="00C000CB">
              <w:rPr>
                <w:rStyle w:val="SpecialBold"/>
              </w:rPr>
              <w:t>Method of assessment</w:t>
            </w:r>
          </w:p>
        </w:tc>
        <w:tc>
          <w:tcPr>
            <w:tcW w:w="6300" w:type="dxa"/>
            <w:gridSpan w:val="5"/>
            <w:tcBorders>
              <w:top w:val="nil"/>
              <w:left w:val="nil"/>
              <w:bottom w:val="nil"/>
              <w:right w:val="nil"/>
            </w:tcBorders>
            <w:tcMar>
              <w:top w:w="0" w:type="dxa"/>
              <w:left w:w="62" w:type="dxa"/>
              <w:bottom w:w="0" w:type="dxa"/>
              <w:right w:w="62" w:type="dxa"/>
            </w:tcMar>
          </w:tcPr>
          <w:p w:rsidR="00000000" w:rsidRPr="00C000CB" w:rsidP="00C000CB">
            <w:pPr>
              <w:pStyle w:val="BodyText"/>
            </w:pPr>
            <w:r w:rsidRPr="00C000CB">
              <w:rPr>
                <w:rStyle w:val="SpecialBold"/>
              </w:rPr>
              <w:t>9</w:t>
            </w:r>
            <w:r w:rsidRPr="00C000CB">
              <w:t>.</w:t>
            </w:r>
            <w:r w:rsidRPr="00C000CB">
              <w:rPr>
                <w:rStyle w:val="SpecialBold"/>
              </w:rPr>
              <w:t>4</w:t>
            </w:r>
            <w:r w:rsidRPr="00C000CB">
              <w:t xml:space="preserve">) </w:t>
            </w:r>
          </w:p>
          <w:p w:rsidR="00000000" w:rsidRPr="00C000CB" w:rsidP="00C000CB">
            <w:pPr>
              <w:pStyle w:val="BodyText"/>
            </w:pPr>
            <w:r w:rsidRPr="00C000CB">
              <w:t>This Competency Stand</w:t>
            </w:r>
            <w:r w:rsidRPr="00C000CB">
              <w:t>ard Unit shall be assessed by methods given in Volume 1, Part 3 "Assessment Guidelines".</w:t>
            </w:r>
          </w:p>
          <w:p w:rsidR="00000000" w:rsidP="00C000CB">
            <w:pPr>
              <w:pStyle w:val="BodyText"/>
              <w:rPr>
                <w:lang w:val="en-NZ"/>
              </w:rPr>
            </w:pPr>
            <w:r w:rsidRPr="00C000CB">
              <w:t>Note:</w:t>
            </w:r>
            <w:r w:rsidRPr="00C000CB">
              <w:br/>
              <w:t>Competent performance with inherent safe working practices is expected in the Transmission, Distribution and Rail Traction Industry. This requires that the speci</w:t>
            </w:r>
            <w:r w:rsidRPr="00C000CB">
              <w:t>fied essential knowledge and associated skills are assessed in a structured environment which is primarily intended for learning/assessment and incorporates all necessary equipment and facilities for learners to develop and demonstrate the essential knowle</w:t>
            </w:r>
            <w:r w:rsidRPr="00C000CB">
              <w:t>dge and associated skills described in this unit.</w:t>
            </w:r>
          </w:p>
        </w:tc>
      </w:tr>
      <w:tr w:rsidTr="002E5A3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C000CB" w:rsidP="00C000CB">
            <w:pPr>
              <w:pStyle w:val="BodyText"/>
            </w:pPr>
            <w:r w:rsidRPr="00C000CB">
              <w:rPr>
                <w:rStyle w:val="SpecialBold"/>
              </w:rPr>
              <w:t>Concurrent assessment and relationship with other units</w:t>
            </w:r>
          </w:p>
        </w:tc>
        <w:tc>
          <w:tcPr>
            <w:tcW w:w="6300" w:type="dxa"/>
            <w:gridSpan w:val="5"/>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rPr>
                <w:rStyle w:val="SpecialBold"/>
              </w:rPr>
              <w:t>9</w:t>
            </w:r>
            <w:r w:rsidRPr="00C000CB">
              <w:t>.</w:t>
            </w:r>
            <w:r w:rsidRPr="00C000CB">
              <w:rPr>
                <w:rStyle w:val="SpecialBold"/>
              </w:rPr>
              <w:t>5</w:t>
            </w:r>
            <w:r w:rsidRPr="00C000CB">
              <w:t>)</w:t>
            </w:r>
          </w:p>
        </w:tc>
      </w:tr>
      <w:tr w:rsidTr="002E5A3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5"/>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 xml:space="preserve">For optimisation of training and assessment effort, competence in this unit may be assessed concurrently with units: </w:t>
            </w:r>
          </w:p>
        </w:tc>
      </w:tr>
      <w:tr w:rsidTr="002E5A3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UETTDRSO07B</w:t>
            </w:r>
          </w:p>
        </w:tc>
        <w:tc>
          <w:tcPr>
            <w:tcW w:w="4500" w:type="dxa"/>
            <w:gridSpan w:val="2"/>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Develop HV Distribution and sub transmission switching programs</w:t>
            </w:r>
          </w:p>
        </w:tc>
      </w:tr>
      <w:tr w:rsidTr="002E5A3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UETTDRSO08B</w:t>
            </w:r>
          </w:p>
        </w:tc>
        <w:tc>
          <w:tcPr>
            <w:tcW w:w="4500" w:type="dxa"/>
            <w:gridSpan w:val="2"/>
            <w:tcBorders>
              <w:top w:val="nil"/>
              <w:left w:val="nil"/>
              <w:bottom w:val="nil"/>
              <w:right w:val="nil"/>
            </w:tcBorders>
            <w:tcMar>
              <w:top w:w="0" w:type="dxa"/>
              <w:left w:w="62" w:type="dxa"/>
              <w:bottom w:w="0" w:type="dxa"/>
              <w:right w:w="62" w:type="dxa"/>
            </w:tcMar>
          </w:tcPr>
          <w:p w:rsidR="00000000" w:rsidRPr="00C000CB" w:rsidP="00C000CB">
            <w:pPr>
              <w:pStyle w:val="BodyText"/>
            </w:pPr>
            <w:r w:rsidRPr="00C000CB">
              <w:t>Develop and evaluate Transmission switching programs</w:t>
            </w:r>
          </w:p>
        </w:tc>
      </w:tr>
    </w:tbl>
    <w:p w:rsidR="002E5A3F" w:rsidP="00C000CB">
      <w:pPr>
        <w:pStyle w:val="BodyText"/>
      </w:pPr>
    </w:p>
    <w:p w:rsidR="002E5A3F" w:rsidP="00C000CB">
      <w:pPr>
        <w:pStyle w:val="BodyText"/>
      </w:pPr>
    </w:p>
    <w:p w:rsidR="00000000" w:rsidRPr="00C000CB" w:rsidP="00C000CB">
      <w:pPr>
        <w:pStyle w:val="Heading1"/>
      </w:pPr>
      <w:bookmarkStart w:id="11" w:name="O_256222"/>
      <w:bookmarkEnd w:id="11"/>
      <w:r w:rsidRPr="00C000CB">
        <w:t>Range Statement</w:t>
      </w:r>
    </w:p>
    <w:tbl>
      <w:tblPr>
        <w:tblW w:w="0" w:type="auto"/>
        <w:tblLayout w:type="fixed"/>
        <w:tblCellMar>
          <w:left w:w="62" w:type="dxa"/>
          <w:right w:w="62" w:type="dxa"/>
        </w:tblCellMar>
        <w:tblLook w:val="0000"/>
      </w:tblPr>
      <w:tblGrid>
        <w:gridCol w:w="2160"/>
        <w:gridCol w:w="6300"/>
      </w:tblGrid>
      <w:tr w:rsidTr="002E5A3F">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rPr>
                <w:rStyle w:val="SpecialBold"/>
              </w:rPr>
              <w:t>RANGE STATEMENT</w:t>
            </w:r>
          </w:p>
        </w:tc>
      </w:tr>
      <w:tr w:rsidTr="002E5A3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rPr>
                <w:rStyle w:val="SpecialBold"/>
              </w:rPr>
              <w:t>8</w:t>
            </w:r>
            <w:r w:rsidRPr="00C000CB">
              <w:t>) This relates to the competency standard unit as a whole providing the range of contexts and conditions to which the Performance Criteria apply. It allows for different work environments and situations that will affect performance.</w:t>
            </w:r>
          </w:p>
        </w:tc>
      </w:tr>
      <w:tr w:rsidTr="002E5A3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C000CB" w:rsidP="00C000CB">
            <w:pPr>
              <w:pStyle w:val="BodyText"/>
            </w:pPr>
            <w:r w:rsidRPr="00C000CB">
              <w:t>This Competency Stand</w:t>
            </w:r>
            <w:r w:rsidRPr="00C000CB">
              <w:t xml:space="preserve">ard Unit shall/may be demonstrated in relation to the preparation and/or checking of activities required to place the LV distribution network in a state in which work can safely be performed whilst minimising customer outages and shall/may be demonstrated </w:t>
            </w:r>
            <w:r w:rsidRPr="00C000CB">
              <w:t>using the following:</w:t>
            </w:r>
          </w:p>
          <w:p w:rsidR="00000000" w:rsidRPr="00C000CB" w:rsidP="00C000CB">
            <w:pPr>
              <w:pStyle w:val="BodyText"/>
            </w:pPr>
            <w:r w:rsidRPr="00C000CB">
              <w:t>LV Distribution feeders/distribution network; Transformers with LV windings; LV busbars; LV isolators; LV switchgear (applicable to enterprise equipment); switching instructions (applicable to enterprise equipment); computers (applicab</w:t>
            </w:r>
            <w:r w:rsidRPr="00C000CB">
              <w:t>le to enterprise equipment); network diagrams (applicable to enterprise equipment); access authorities; regulatory requirements.</w:t>
            </w:r>
          </w:p>
          <w:p w:rsidR="00000000" w:rsidP="00C000CB">
            <w:pPr>
              <w:pStyle w:val="BodyText"/>
              <w:rPr>
                <w:lang w:val="en-NZ"/>
              </w:rPr>
            </w:pPr>
            <w:r w:rsidRPr="00C000CB">
              <w:t>The following constants and variables included in the Element/Performance Criteria in this unit are fully described in the Defi</w:t>
            </w:r>
            <w:r w:rsidRPr="00C000CB">
              <w:t>nitions Section 1 of this volume and form an integral part of the Range Statement of this unit:</w:t>
            </w:r>
          </w:p>
        </w:tc>
      </w:tr>
      <w:tr w:rsidTr="002E5A3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C000CB" w:rsidP="00C000CB">
            <w:pPr>
              <w:pStyle w:val="ListBullet"/>
            </w:pPr>
            <w:r w:rsidRPr="00C000CB">
              <w:t>Appropriate and relevant persons (see Personnel)</w:t>
            </w:r>
          </w:p>
          <w:p w:rsidR="00000000" w:rsidRPr="00C000CB" w:rsidP="00C000CB">
            <w:pPr>
              <w:pStyle w:val="ListBullet"/>
            </w:pPr>
            <w:r w:rsidRPr="00C000CB">
              <w:t>Appropriate authorities</w:t>
            </w:r>
          </w:p>
          <w:p w:rsidR="00000000" w:rsidRPr="00C000CB" w:rsidP="00C000CB">
            <w:pPr>
              <w:pStyle w:val="ListBullet"/>
            </w:pPr>
            <w:r w:rsidRPr="00C000CB">
              <w:t>Appropriate work platform</w:t>
            </w:r>
          </w:p>
          <w:p w:rsidR="00000000" w:rsidRPr="00C000CB" w:rsidP="00C000CB">
            <w:pPr>
              <w:pStyle w:val="ListBullet"/>
            </w:pPr>
            <w:r w:rsidRPr="00C000CB">
              <w:t>Assessing risk</w:t>
            </w:r>
          </w:p>
          <w:p w:rsidR="00000000" w:rsidRPr="00C000CB" w:rsidP="00C000CB">
            <w:pPr>
              <w:pStyle w:val="ListBullet"/>
            </w:pPr>
            <w:r w:rsidRPr="00C000CB">
              <w:t>Assessment</w:t>
            </w:r>
          </w:p>
          <w:p w:rsidR="00000000" w:rsidRPr="00C000CB" w:rsidP="00C000CB">
            <w:pPr>
              <w:pStyle w:val="ListBullet"/>
            </w:pPr>
            <w:r w:rsidRPr="00C000CB">
              <w:t xml:space="preserve">Authorisation </w:t>
            </w:r>
          </w:p>
          <w:p w:rsidR="00000000" w:rsidRPr="00C000CB" w:rsidP="00C000CB">
            <w:pPr>
              <w:pStyle w:val="ListBullet"/>
            </w:pPr>
            <w:r w:rsidRPr="00C000CB">
              <w:t>Confined space</w:t>
            </w:r>
          </w:p>
          <w:p w:rsidR="00000000" w:rsidRPr="00C000CB" w:rsidP="00C000CB">
            <w:pPr>
              <w:pStyle w:val="ListBullet"/>
            </w:pPr>
            <w:r w:rsidRPr="00C000CB">
              <w:t>Diagnostic, testing and restoration</w:t>
            </w:r>
          </w:p>
          <w:p w:rsidR="00000000" w:rsidRPr="00C000CB" w:rsidP="00C000CB">
            <w:pPr>
              <w:pStyle w:val="ListBullet"/>
            </w:pPr>
            <w:r w:rsidRPr="00C000CB">
              <w:t>Documenting detail work events, record keeping and or storage of information</w:t>
            </w:r>
          </w:p>
          <w:p w:rsidR="00000000" w:rsidRPr="00C000CB" w:rsidP="00C000CB">
            <w:pPr>
              <w:pStyle w:val="ListBullet"/>
            </w:pPr>
            <w:r w:rsidRPr="00C000CB">
              <w:t xml:space="preserve">Drawings and specifications </w:t>
            </w:r>
          </w:p>
          <w:p w:rsidR="00000000" w:rsidRPr="00C000CB" w:rsidP="00C000CB">
            <w:pPr>
              <w:pStyle w:val="ListBullet"/>
            </w:pPr>
            <w:r w:rsidRPr="00C000CB">
              <w:t>Emergency</w:t>
            </w:r>
          </w:p>
          <w:p w:rsidR="00000000" w:rsidRPr="00C000CB" w:rsidP="00C000CB">
            <w:pPr>
              <w:pStyle w:val="ListBullet"/>
            </w:pPr>
            <w:r w:rsidRPr="00C000CB">
              <w:t>Environmental and sustainable energy procedures</w:t>
            </w:r>
          </w:p>
          <w:p w:rsidR="00000000" w:rsidRPr="00C000CB" w:rsidP="00C000CB">
            <w:pPr>
              <w:pStyle w:val="ListBullet"/>
            </w:pPr>
            <w:r w:rsidRPr="00C000CB">
              <w:t>Environmental legislation</w:t>
            </w:r>
          </w:p>
          <w:p w:rsidR="00000000" w:rsidRPr="00C000CB" w:rsidP="00C000CB">
            <w:pPr>
              <w:pStyle w:val="ListBullet"/>
            </w:pPr>
            <w:r w:rsidRPr="00C000CB">
              <w:t>Environmental management documentation</w:t>
            </w:r>
          </w:p>
          <w:p w:rsidR="00000000" w:rsidRPr="00C000CB" w:rsidP="00C000CB">
            <w:pPr>
              <w:pStyle w:val="ListBullet"/>
            </w:pPr>
            <w:r w:rsidRPr="00C000CB">
              <w:t>Established procedures</w:t>
            </w:r>
          </w:p>
          <w:p w:rsidR="00000000" w:rsidRPr="00C000CB" w:rsidP="00C000CB">
            <w:pPr>
              <w:pStyle w:val="ListBullet"/>
            </w:pPr>
            <w:r w:rsidRPr="00C000CB">
              <w:t>Fall prevention</w:t>
            </w:r>
          </w:p>
          <w:p w:rsidR="00000000" w:rsidRPr="00C000CB" w:rsidP="00C000CB">
            <w:pPr>
              <w:pStyle w:val="ListBullet"/>
            </w:pPr>
            <w:r w:rsidRPr="00C000CB">
              <w:t>Hazards</w:t>
            </w:r>
          </w:p>
          <w:p w:rsidR="00000000" w:rsidRPr="00C000CB" w:rsidP="00C000CB">
            <w:pPr>
              <w:pStyle w:val="ListBullet"/>
            </w:pPr>
            <w:r w:rsidRPr="00C000CB">
              <w:t>Identifying hazards</w:t>
            </w:r>
          </w:p>
          <w:p w:rsidR="00000000" w:rsidRPr="00C000CB" w:rsidP="00C000CB">
            <w:pPr>
              <w:pStyle w:val="ListBullet"/>
            </w:pPr>
            <w:r w:rsidRPr="00C000CB">
              <w:t>Inspect</w:t>
            </w:r>
          </w:p>
          <w:p w:rsidR="00000000" w:rsidRPr="00C000CB" w:rsidP="00C000CB">
            <w:pPr>
              <w:pStyle w:val="ListBullet"/>
            </w:pPr>
            <w:r w:rsidRPr="00C000CB">
              <w:t>Legislation</w:t>
            </w:r>
          </w:p>
          <w:p w:rsidR="00000000" w:rsidRPr="00C000CB" w:rsidP="00C000CB">
            <w:pPr>
              <w:pStyle w:val="ListBullet"/>
            </w:pPr>
            <w:r w:rsidRPr="00C000CB">
              <w:t>MSDS</w:t>
            </w:r>
          </w:p>
          <w:p w:rsidR="00000000" w:rsidRPr="00C000CB" w:rsidP="00C000CB">
            <w:pPr>
              <w:pStyle w:val="ListBullet"/>
            </w:pPr>
            <w:r w:rsidRPr="00C000CB">
              <w:t>Notification</w:t>
            </w:r>
          </w:p>
          <w:p w:rsidR="00000000" w:rsidRPr="00C000CB" w:rsidP="00C000CB">
            <w:pPr>
              <w:pStyle w:val="ListBullet"/>
            </w:pPr>
            <w:r w:rsidRPr="00C000CB">
              <w:t>OHS practices</w:t>
            </w:r>
          </w:p>
          <w:p w:rsidR="00000000" w:rsidRPr="00C000CB" w:rsidP="00C000CB">
            <w:pPr>
              <w:pStyle w:val="ListBullet"/>
            </w:pPr>
            <w:r w:rsidRPr="00C000CB">
              <w:t>OHS issues</w:t>
            </w:r>
          </w:p>
          <w:p w:rsidR="00000000" w:rsidRPr="00C000CB" w:rsidP="00C000CB">
            <w:pPr>
              <w:pStyle w:val="ListBullet"/>
            </w:pPr>
            <w:r w:rsidRPr="00C000CB">
              <w:t>Permits and/or permits to work</w:t>
            </w:r>
          </w:p>
          <w:p w:rsidR="00000000" w:rsidRPr="00C000CB" w:rsidP="00C000CB">
            <w:pPr>
              <w:pStyle w:val="ListBullet"/>
            </w:pPr>
            <w:r w:rsidRPr="00C000CB">
              <w:t>Personnel</w:t>
            </w:r>
          </w:p>
          <w:p w:rsidR="00000000" w:rsidRPr="00C000CB" w:rsidP="00C000CB">
            <w:pPr>
              <w:pStyle w:val="ListBullet"/>
            </w:pPr>
            <w:r w:rsidRPr="00C000CB">
              <w:t>Quality assurance systems</w:t>
            </w:r>
          </w:p>
          <w:p w:rsidR="00000000" w:rsidRPr="00C000CB" w:rsidP="00C000CB">
            <w:pPr>
              <w:pStyle w:val="ListBullet"/>
            </w:pPr>
            <w:r w:rsidRPr="00C000CB">
              <w:t>Requirements</w:t>
            </w:r>
          </w:p>
          <w:p w:rsidR="00000000" w:rsidRPr="00C000CB" w:rsidP="00C000CB">
            <w:pPr>
              <w:pStyle w:val="ListBullet"/>
            </w:pPr>
            <w:r w:rsidRPr="00C000CB">
              <w:t>Testing</w:t>
            </w:r>
            <w:r w:rsidRPr="00C000CB">
              <w:t xml:space="preserve"> procedures</w:t>
            </w:r>
          </w:p>
          <w:p w:rsidR="00000000" w:rsidRPr="00C000CB" w:rsidP="00C000CB">
            <w:pPr>
              <w:pStyle w:val="ListBullet"/>
            </w:pPr>
            <w:r w:rsidRPr="00C000CB">
              <w:t>Work clearance systems</w:t>
            </w:r>
          </w:p>
        </w:tc>
      </w:tr>
    </w:tbl>
    <w:p w:rsidR="002E5A3F" w:rsidP="00C000CB">
      <w:pPr>
        <w:pStyle w:val="BodyText"/>
      </w:pPr>
    </w:p>
    <w:p w:rsidR="002E5A3F" w:rsidP="00C000CB">
      <w:pPr>
        <w:pStyle w:val="BodyText"/>
      </w:pPr>
    </w:p>
    <w:p w:rsidR="00000000" w:rsidRPr="00C000CB" w:rsidP="00C000CB">
      <w:pPr>
        <w:pStyle w:val="Heading1"/>
      </w:pPr>
      <w:bookmarkStart w:id="12" w:name="O_297235"/>
      <w:bookmarkEnd w:id="12"/>
      <w:r w:rsidRPr="00C000CB">
        <w:t>Unit Sector(s)</w:t>
      </w:r>
    </w:p>
    <w:p w:rsidR="00000000" w:rsidRPr="00C000CB" w:rsidP="00C000CB">
      <w:pPr>
        <w:pStyle w:val="BodyText"/>
      </w:pPr>
      <w:r w:rsidRPr="00C000CB">
        <w:t>Not Applicable</w:t>
      </w:r>
    </w:p>
    <w:p w:rsidR="00000000" w:rsidRPr="00C000CB" w:rsidP="00C000CB">
      <w:pPr>
        <w:pStyle w:val="AllowPageBreak"/>
      </w:pPr>
    </w:p>
    <w:p w:rsidR="00000000" w:rsidRPr="00C000CB" w:rsidP="00C000CB">
      <w:pPr>
        <w:pStyle w:val="Heading1"/>
      </w:pPr>
      <w:bookmarkStart w:id="13" w:name="O_231938"/>
      <w:bookmarkEnd w:id="13"/>
      <w:r w:rsidRPr="00C000CB">
        <w:t>2.2) Literacy and numeracy skills</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2E5A3F">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C000CB" w:rsidP="00C000CB">
            <w:pPr>
              <w:pStyle w:val="BodyText"/>
            </w:pPr>
            <w:r w:rsidRPr="00C000CB">
              <w:rPr>
                <w:rStyle w:val="SpecialBold"/>
              </w:rPr>
              <w:t>2</w:t>
            </w:r>
            <w:r w:rsidRPr="00C000CB">
              <w:t>.</w:t>
            </w:r>
            <w:r w:rsidRPr="00C000CB">
              <w:rPr>
                <w:rStyle w:val="SpecialBold"/>
              </w:rPr>
              <w:t>2</w:t>
            </w:r>
            <w:r w:rsidRPr="00C000CB">
              <w:t xml:space="preserve">) </w:t>
            </w:r>
            <w:r w:rsidRPr="00C000CB">
              <w:rPr>
                <w:rStyle w:val="SpecialBold"/>
              </w:rPr>
              <w:t>Literacy and numeracy skills</w:t>
            </w:r>
          </w:p>
          <w:p w:rsidR="00000000" w:rsidP="00C000CB">
            <w:pPr>
              <w:pStyle w:val="BodyText"/>
              <w:rPr>
                <w:lang w:val="en-NZ"/>
              </w:rPr>
            </w:pPr>
            <w:r w:rsidRPr="00C000CB">
              <w:t>Participants are best equipped to achieve this unit if they have reading, writing and numeracy skills indicated by the following scales. Description of each scale is given in Volume 2, Part 3 "Literacy and Numeracy"</w:t>
            </w:r>
          </w:p>
        </w:tc>
      </w:tr>
      <w:tr w:rsidTr="002E5A3F">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Reading</w:t>
            </w:r>
          </w:p>
        </w:tc>
        <w:tc>
          <w:tcPr>
            <w:tcW w:w="1182"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5</w:t>
            </w:r>
          </w:p>
        </w:tc>
        <w:tc>
          <w:tcPr>
            <w:tcW w:w="1739"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Writing</w:t>
            </w:r>
          </w:p>
        </w:tc>
        <w:tc>
          <w:tcPr>
            <w:tcW w:w="1182"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5</w:t>
            </w:r>
          </w:p>
        </w:tc>
        <w:tc>
          <w:tcPr>
            <w:tcW w:w="1721"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t>Numeracy</w:t>
            </w:r>
          </w:p>
        </w:tc>
        <w:tc>
          <w:tcPr>
            <w:tcW w:w="1182" w:type="dxa"/>
            <w:tcBorders>
              <w:top w:val="nil"/>
              <w:left w:val="nil"/>
              <w:bottom w:val="nil"/>
              <w:right w:val="nil"/>
            </w:tcBorders>
            <w:tcMar>
              <w:top w:w="0" w:type="dxa"/>
              <w:left w:w="62" w:type="dxa"/>
              <w:bottom w:w="0" w:type="dxa"/>
              <w:right w:w="62" w:type="dxa"/>
            </w:tcMar>
          </w:tcPr>
          <w:p w:rsidR="00000000" w:rsidRPr="00C000CB" w:rsidP="00C000CB">
            <w:pPr>
              <w:pStyle w:val="BodyText"/>
            </w:pPr>
            <w:r w:rsidRPr="00C000CB">
              <w:t>5</w:t>
            </w:r>
          </w:p>
        </w:tc>
      </w:tr>
    </w:tbl>
    <w:p w:rsidR="002E5A3F" w:rsidP="00C000CB">
      <w:pPr>
        <w:pStyle w:val="BodyText"/>
      </w:pPr>
    </w:p>
    <w:p w:rsidR="002E5A3F" w:rsidP="00C000CB">
      <w:pPr>
        <w:pStyle w:val="BodyText"/>
      </w:pPr>
    </w:p>
    <w:p w:rsidR="00000000" w:rsidRPr="00C000CB" w:rsidP="00C000CB">
      <w:pPr>
        <w:pStyle w:val="Heading1"/>
      </w:pPr>
      <w:bookmarkStart w:id="14" w:name="O_231941"/>
      <w:bookmarkEnd w:id="14"/>
      <w:r w:rsidRPr="00C000CB">
        <w:t>Competency Field</w:t>
      </w:r>
    </w:p>
    <w:tbl>
      <w:tblPr>
        <w:tblW w:w="0" w:type="auto"/>
        <w:tblLayout w:type="fixed"/>
        <w:tblCellMar>
          <w:left w:w="62" w:type="dxa"/>
          <w:right w:w="62" w:type="dxa"/>
        </w:tblCellMar>
        <w:tblLook w:val="0000"/>
      </w:tblPr>
      <w:tblGrid>
        <w:gridCol w:w="2700"/>
        <w:gridCol w:w="5760"/>
      </w:tblGrid>
      <w:tr w:rsidTr="002E5A3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000CB" w:rsidP="00C000CB">
            <w:pPr>
              <w:pStyle w:val="BodyText"/>
            </w:pPr>
            <w:r w:rsidRPr="00C000C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000CB">
            <w:pPr>
              <w:pStyle w:val="BodyText"/>
              <w:rPr>
                <w:lang w:val="en-NZ"/>
              </w:rPr>
            </w:pPr>
            <w:r w:rsidRPr="00C000CB">
              <w:rPr>
                <w:rStyle w:val="SpecialBold"/>
              </w:rPr>
              <w:t>5</w:t>
            </w:r>
            <w:r w:rsidRPr="00C000CB">
              <w:t>)</w:t>
            </w:r>
          </w:p>
        </w:tc>
      </w:tr>
      <w:tr w:rsidTr="002E5A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000CB" w:rsidP="00C000CB">
            <w:pPr>
              <w:pStyle w:val="BodyText"/>
            </w:pPr>
            <w:r w:rsidRPr="00C000CB">
              <w:t>System Operation Units</w:t>
            </w:r>
          </w:p>
        </w:tc>
      </w:tr>
    </w:tbl>
    <w:p w:rsidR="002E5A3F" w:rsidP="00C000CB">
      <w:pPr>
        <w:pStyle w:val="BodyText"/>
      </w:pPr>
    </w:p>
    <w:p w:rsidR="002E5A3F" w:rsidP="00C000CB">
      <w:pPr>
        <w:pStyle w:val="BodyText"/>
      </w:pPr>
    </w:p>
    <w:p w:rsidR="00000000" w:rsidRPr="00C000CB" w:rsidP="00C000CB"/>
    <w:sectPr w:rsidSect="00C000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0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E5A3F" w:rsidP="002E5A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0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A3F" w:rsidP="00C000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2E5A3F" w:rsidP="00C000C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E5A3F" w:rsidP="00C000C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0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E5A3F" w:rsidP="002E5A3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0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A3F" w:rsidP="00C000CB">
    <w:pPr>
      <w:pStyle w:val="Header"/>
      <w:framePr w:wrap="around"/>
    </w:pPr>
    <w:r>
      <w:fldChar w:fldCharType="begin"/>
    </w:r>
    <w:r>
      <w:instrText xml:space="preserve"> TITLE   \* MERGEFORMAT </w:instrText>
    </w:r>
    <w:r>
      <w:fldChar w:fldCharType="separate"/>
    </w:r>
    <w:r>
      <w:t>UETTDRSO06B Develop LV distribution switching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E5A3F" w:rsidP="00C000C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0C50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6627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2A7E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00C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000CB"/>
    <w:pPr>
      <w:spacing w:before="360" w:after="60"/>
      <w:outlineLvl w:val="0"/>
    </w:pPr>
    <w:rPr>
      <w:sz w:val="32"/>
    </w:rPr>
  </w:style>
  <w:style w:type="paragraph" w:styleId="Heading2">
    <w:name w:val="heading 2"/>
    <w:basedOn w:val="HeadingBase"/>
    <w:next w:val="BodyText"/>
    <w:link w:val="Heading2Char"/>
    <w:qFormat/>
    <w:rsid w:val="00C000CB"/>
    <w:pPr>
      <w:keepLines/>
      <w:spacing w:before="240" w:after="120"/>
      <w:outlineLvl w:val="1"/>
    </w:pPr>
    <w:rPr>
      <w:sz w:val="28"/>
      <w:szCs w:val="40"/>
    </w:rPr>
  </w:style>
  <w:style w:type="paragraph" w:styleId="Heading3">
    <w:name w:val="heading 3"/>
    <w:basedOn w:val="HeadingBase"/>
    <w:next w:val="BodyText"/>
    <w:link w:val="Heading3Char"/>
    <w:qFormat/>
    <w:rsid w:val="00C000CB"/>
    <w:pPr>
      <w:spacing w:before="180" w:after="120"/>
      <w:outlineLvl w:val="2"/>
    </w:pPr>
    <w:rPr>
      <w:spacing w:val="-10"/>
      <w:kern w:val="32"/>
    </w:rPr>
  </w:style>
  <w:style w:type="paragraph" w:styleId="Heading4">
    <w:name w:val="heading 4"/>
    <w:basedOn w:val="HeadingBase"/>
    <w:next w:val="BodyText"/>
    <w:link w:val="Heading4Char"/>
    <w:qFormat/>
    <w:rsid w:val="00C000CB"/>
    <w:pPr>
      <w:spacing w:before="160" w:after="120"/>
      <w:outlineLvl w:val="3"/>
    </w:pPr>
    <w:rPr>
      <w:sz w:val="22"/>
    </w:rPr>
  </w:style>
  <w:style w:type="paragraph" w:styleId="Heading5">
    <w:name w:val="heading 5"/>
    <w:basedOn w:val="HeadingBase"/>
    <w:next w:val="Normal"/>
    <w:link w:val="Heading5Char"/>
    <w:qFormat/>
    <w:rsid w:val="00C000CB"/>
    <w:pPr>
      <w:spacing w:before="80"/>
      <w:outlineLvl w:val="4"/>
    </w:pPr>
    <w:rPr>
      <w:color w:val="918585"/>
      <w:sz w:val="20"/>
    </w:rPr>
  </w:style>
  <w:style w:type="paragraph" w:styleId="Heading6">
    <w:name w:val="heading 6"/>
    <w:basedOn w:val="HeadingBase"/>
    <w:next w:val="Normal"/>
    <w:link w:val="Heading6Char"/>
    <w:qFormat/>
    <w:rsid w:val="00C000CB"/>
    <w:pPr>
      <w:spacing w:before="60"/>
      <w:outlineLvl w:val="5"/>
    </w:pPr>
    <w:rPr>
      <w:color w:val="918585"/>
      <w:sz w:val="20"/>
    </w:rPr>
  </w:style>
  <w:style w:type="paragraph" w:styleId="Heading7">
    <w:name w:val="heading 7"/>
    <w:basedOn w:val="Normal"/>
    <w:next w:val="Normal"/>
    <w:link w:val="Heading7Char"/>
    <w:qFormat/>
    <w:rsid w:val="00C000CB"/>
    <w:pPr>
      <w:ind w:left="720"/>
      <w:outlineLvl w:val="6"/>
    </w:pPr>
    <w:rPr>
      <w:i/>
    </w:rPr>
  </w:style>
  <w:style w:type="paragraph" w:styleId="Heading8">
    <w:name w:val="heading 8"/>
    <w:basedOn w:val="Normal"/>
    <w:next w:val="Normal"/>
    <w:link w:val="Heading8Char"/>
    <w:qFormat/>
    <w:rsid w:val="00C000CB"/>
    <w:pPr>
      <w:ind w:left="720"/>
      <w:outlineLvl w:val="7"/>
    </w:pPr>
    <w:rPr>
      <w:i/>
    </w:rPr>
  </w:style>
  <w:style w:type="paragraph" w:styleId="Heading9">
    <w:name w:val="heading 9"/>
    <w:basedOn w:val="Normal"/>
    <w:next w:val="Normal"/>
    <w:link w:val="Heading9Char"/>
    <w:qFormat/>
    <w:rsid w:val="00C000CB"/>
    <w:pPr>
      <w:ind w:left="720"/>
      <w:outlineLvl w:val="8"/>
    </w:pPr>
    <w:rPr>
      <w:i/>
    </w:rPr>
  </w:style>
  <w:style w:type="character" w:default="1" w:styleId="DefaultParagraphFont">
    <w:name w:val="Default Paragraph Font"/>
    <w:uiPriority w:val="1"/>
    <w:unhideWhenUsed/>
    <w:rsid w:val="00C000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00CB"/>
  </w:style>
  <w:style w:type="character" w:customStyle="1" w:styleId="Heading1Char">
    <w:name w:val="Heading 1 Char"/>
    <w:basedOn w:val="DefaultParagraphFont"/>
    <w:link w:val="Heading1"/>
    <w:rsid w:val="00C000CB"/>
    <w:rPr>
      <w:rFonts w:ascii="Times New Roman" w:eastAsia="Times New Roman" w:hAnsi="Times New Roman" w:cs="Times New Roman"/>
      <w:b/>
      <w:sz w:val="32"/>
      <w:szCs w:val="20"/>
      <w:lang w:eastAsia="en-US"/>
    </w:rPr>
  </w:style>
  <w:style w:type="paragraph" w:styleId="BodyText">
    <w:name w:val="Body Text"/>
    <w:basedOn w:val="Normal"/>
    <w:link w:val="BodyTextChar"/>
    <w:rsid w:val="00C000C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000CB"/>
    <w:rPr>
      <w:rFonts w:ascii="Times New Roman" w:eastAsia="Times New Roman" w:hAnsi="Times New Roman" w:cs="Times New Roman"/>
      <w:sz w:val="24"/>
      <w:lang w:val="en-US" w:eastAsia="en-US"/>
    </w:rPr>
  </w:style>
  <w:style w:type="paragraph" w:styleId="Footer">
    <w:name w:val="footer"/>
    <w:basedOn w:val="Normal"/>
    <w:link w:val="FooterChar"/>
    <w:rsid w:val="00C000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00CB"/>
    <w:rPr>
      <w:rFonts w:ascii="Times New Roman" w:eastAsia="Times New Roman" w:hAnsi="Times New Roman" w:cs="Times New Roman"/>
      <w:sz w:val="16"/>
      <w:lang w:val="en-US" w:eastAsia="en-US"/>
    </w:rPr>
  </w:style>
  <w:style w:type="paragraph" w:styleId="ListBullet">
    <w:name w:val="List Bullet"/>
    <w:basedOn w:val="List"/>
    <w:rsid w:val="00C000CB"/>
    <w:pPr>
      <w:numPr>
        <w:numId w:val="13"/>
      </w:numPr>
      <w:tabs>
        <w:tab w:val="clear" w:pos="340"/>
      </w:tabs>
      <w:spacing w:before="40" w:after="40"/>
    </w:pPr>
  </w:style>
  <w:style w:type="character" w:customStyle="1" w:styleId="SpecialBold">
    <w:name w:val="Special Bold"/>
    <w:basedOn w:val="DefaultParagraphFont"/>
    <w:rsid w:val="00C000CB"/>
    <w:rPr>
      <w:b/>
      <w:spacing w:val="0"/>
    </w:rPr>
  </w:style>
  <w:style w:type="paragraph" w:styleId="ListBullet2">
    <w:name w:val="List Bullet 2"/>
    <w:basedOn w:val="List2"/>
    <w:rsid w:val="00C000CB"/>
    <w:pPr>
      <w:numPr>
        <w:numId w:val="14"/>
      </w:numPr>
      <w:tabs>
        <w:tab w:val="clear" w:pos="680"/>
      </w:tabs>
    </w:pPr>
  </w:style>
  <w:style w:type="paragraph" w:styleId="Header">
    <w:name w:val="header"/>
    <w:basedOn w:val="Normal"/>
    <w:link w:val="HeaderChar"/>
    <w:rsid w:val="00C000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00C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000CB"/>
    <w:pPr>
      <w:spacing w:before="240" w:after="120"/>
      <w:outlineLvl w:val="0"/>
    </w:pPr>
    <w:rPr>
      <w:rFonts w:ascii="Times New Roman" w:hAnsi="Times New Roman"/>
      <w:b/>
      <w:sz w:val="28"/>
    </w:rPr>
  </w:style>
  <w:style w:type="paragraph" w:customStyle="1" w:styleId="AllowPageBreak">
    <w:name w:val="AllowPageBreak"/>
    <w:rsid w:val="00C000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000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00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00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00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00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00C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000C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000CB"/>
    <w:rPr>
      <w:rFonts w:ascii="Courier New" w:eastAsia="Times New Roman" w:hAnsi="Courier New" w:cs="Times New Roman"/>
      <w:i/>
      <w:szCs w:val="20"/>
      <w:lang w:val="en-US" w:eastAsia="en-US"/>
    </w:rPr>
  </w:style>
  <w:style w:type="paragraph" w:customStyle="1" w:styleId="HeadingBase">
    <w:name w:val="Heading Base"/>
    <w:rsid w:val="00C000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00CB"/>
    <w:pPr>
      <w:tabs>
        <w:tab w:val="right" w:leader="dot" w:pos="9072"/>
      </w:tabs>
      <w:ind w:left="567"/>
    </w:pPr>
    <w:rPr>
      <w:szCs w:val="22"/>
    </w:rPr>
  </w:style>
  <w:style w:type="paragraph" w:customStyle="1" w:styleId="TOCBase">
    <w:name w:val="TOC Base"/>
    <w:rsid w:val="00C000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00CB"/>
    <w:pPr>
      <w:tabs>
        <w:tab w:val="right" w:leader="dot" w:pos="9072"/>
      </w:tabs>
      <w:spacing w:before="40" w:after="40"/>
      <w:ind w:left="284"/>
    </w:pPr>
    <w:rPr>
      <w:rFonts w:ascii="Times New Roman" w:hAnsi="Times New Roman"/>
    </w:rPr>
  </w:style>
  <w:style w:type="paragraph" w:styleId="TOC1">
    <w:name w:val="toc 1"/>
    <w:basedOn w:val="TOCBase"/>
    <w:next w:val="Normal"/>
    <w:rsid w:val="00C000C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000CB"/>
    <w:pPr>
      <w:spacing w:before="5040"/>
      <w:jc w:val="center"/>
    </w:pPr>
    <w:rPr>
      <w:sz w:val="48"/>
      <w:szCs w:val="72"/>
      <w:lang w:val="en-US"/>
    </w:rPr>
  </w:style>
  <w:style w:type="character" w:customStyle="1" w:styleId="TitleChar">
    <w:name w:val="Title Char"/>
    <w:basedOn w:val="DefaultParagraphFont"/>
    <w:link w:val="Title"/>
    <w:rsid w:val="00C000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00CB"/>
    <w:pPr>
      <w:tabs>
        <w:tab w:val="left" w:pos="3600"/>
        <w:tab w:val="left" w:pos="3958"/>
      </w:tabs>
    </w:pPr>
  </w:style>
  <w:style w:type="paragraph" w:styleId="List">
    <w:name w:val="List"/>
    <w:basedOn w:val="BodyText"/>
    <w:next w:val="BodyText"/>
    <w:rsid w:val="00C000CB"/>
    <w:pPr>
      <w:tabs>
        <w:tab w:val="left" w:pos="340"/>
      </w:tabs>
      <w:spacing w:before="60" w:after="60"/>
      <w:ind w:left="340" w:hanging="340"/>
    </w:pPr>
  </w:style>
  <w:style w:type="paragraph" w:customStyle="1" w:styleId="Note">
    <w:name w:val="Note"/>
    <w:basedOn w:val="BodyText"/>
    <w:rsid w:val="00C000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00CB"/>
    <w:pPr>
      <w:framePr w:wrap="auto" w:hAnchor="text" w:y="6049"/>
    </w:pPr>
    <w:rPr>
      <w:color w:val="000000"/>
      <w:sz w:val="40"/>
    </w:rPr>
  </w:style>
  <w:style w:type="paragraph" w:customStyle="1" w:styleId="TOCTitle">
    <w:name w:val="TOCTitle"/>
    <w:basedOn w:val="Heading1"/>
    <w:rsid w:val="00C000CB"/>
    <w:pPr>
      <w:spacing w:after="240"/>
      <w:jc w:val="center"/>
      <w:outlineLvl w:val="9"/>
    </w:pPr>
    <w:rPr>
      <w:caps/>
    </w:rPr>
  </w:style>
  <w:style w:type="paragraph" w:customStyle="1" w:styleId="Version">
    <w:name w:val="Version"/>
    <w:rsid w:val="00C000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00CB"/>
    <w:pPr>
      <w:keepNext w:val="0"/>
      <w:tabs>
        <w:tab w:val="right" w:pos="4176"/>
      </w:tabs>
      <w:ind w:left="198" w:hanging="198"/>
    </w:pPr>
    <w:rPr>
      <w:rFonts w:ascii="Garamond" w:hAnsi="Garamond"/>
    </w:rPr>
  </w:style>
  <w:style w:type="paragraph" w:styleId="IndexHeading">
    <w:name w:val="index heading"/>
    <w:basedOn w:val="Normal"/>
    <w:next w:val="Index1"/>
    <w:semiHidden/>
    <w:rsid w:val="00C000CB"/>
    <w:pPr>
      <w:spacing w:before="120" w:after="120"/>
    </w:pPr>
    <w:rPr>
      <w:rFonts w:ascii="Arial" w:hAnsi="Arial"/>
      <w:b/>
      <w:color w:val="918585"/>
      <w:sz w:val="24"/>
    </w:rPr>
  </w:style>
  <w:style w:type="paragraph" w:customStyle="1" w:styleId="Chapter">
    <w:name w:val="Chapter"/>
    <w:basedOn w:val="Normal"/>
    <w:rsid w:val="00C000CB"/>
    <w:pPr>
      <w:spacing w:before="240"/>
    </w:pPr>
    <w:rPr>
      <w:rFonts w:ascii="Times New Roman" w:hAnsi="Times New Roman"/>
      <w:smallCaps/>
      <w:spacing w:val="80"/>
      <w:sz w:val="28"/>
    </w:rPr>
  </w:style>
  <w:style w:type="paragraph" w:customStyle="1" w:styleId="InChapter">
    <w:name w:val="InChapter"/>
    <w:basedOn w:val="Heading3"/>
    <w:rsid w:val="00C000CB"/>
    <w:pPr>
      <w:spacing w:after="240"/>
      <w:outlineLvl w:val="9"/>
    </w:pPr>
    <w:rPr>
      <w:noProof/>
    </w:rPr>
  </w:style>
  <w:style w:type="paragraph" w:styleId="Index2">
    <w:name w:val="index 2"/>
    <w:basedOn w:val="Normal"/>
    <w:next w:val="Normal"/>
    <w:semiHidden/>
    <w:rsid w:val="00C000CB"/>
    <w:pPr>
      <w:tabs>
        <w:tab w:val="right" w:pos="4176"/>
      </w:tabs>
      <w:ind w:left="568" w:hanging="284"/>
    </w:pPr>
    <w:rPr>
      <w:rFonts w:ascii="Garamond" w:hAnsi="Garamond"/>
    </w:rPr>
  </w:style>
  <w:style w:type="paragraph" w:customStyle="1" w:styleId="Byline">
    <w:name w:val="Byline"/>
    <w:rsid w:val="00C000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00CB"/>
    <w:pPr>
      <w:tabs>
        <w:tab w:val="clear" w:pos="3600"/>
        <w:tab w:val="clear" w:pos="3958"/>
      </w:tabs>
      <w:jc w:val="right"/>
    </w:pPr>
  </w:style>
  <w:style w:type="character" w:styleId="Emphasis">
    <w:name w:val="Emphasis"/>
    <w:basedOn w:val="DefaultParagraphFont"/>
    <w:qFormat/>
    <w:rsid w:val="00C000CB"/>
    <w:rPr>
      <w:i/>
    </w:rPr>
  </w:style>
  <w:style w:type="paragraph" w:styleId="Caption">
    <w:name w:val="caption"/>
    <w:basedOn w:val="BodyText"/>
    <w:next w:val="Normal"/>
    <w:qFormat/>
    <w:rsid w:val="00C000CB"/>
    <w:pPr>
      <w:framePr w:w="2268" w:hSpace="181" w:vSpace="181" w:wrap="around" w:vAnchor="text" w:hAnchor="page" w:x="1135" w:y="285" w:anchorLock="1"/>
    </w:pPr>
    <w:rPr>
      <w:i/>
    </w:rPr>
  </w:style>
  <w:style w:type="paragraph" w:customStyle="1" w:styleId="MiniTOCTitle">
    <w:name w:val="MiniTOCTitle"/>
    <w:basedOn w:val="Heading4"/>
    <w:rsid w:val="00C000CB"/>
    <w:pPr>
      <w:spacing w:before="240"/>
      <w:outlineLvl w:val="9"/>
    </w:pPr>
    <w:rPr>
      <w:noProof/>
      <w:sz w:val="24"/>
    </w:rPr>
  </w:style>
  <w:style w:type="paragraph" w:customStyle="1" w:styleId="MiniTOCItem">
    <w:name w:val="MiniTOCItem"/>
    <w:basedOn w:val="ListBullet"/>
    <w:rsid w:val="00C000CB"/>
    <w:pPr>
      <w:numPr>
        <w:numId w:val="0"/>
      </w:numPr>
      <w:tabs>
        <w:tab w:val="right" w:leader="dot" w:pos="6521"/>
      </w:tabs>
      <w:spacing w:before="0" w:after="0"/>
    </w:pPr>
  </w:style>
  <w:style w:type="paragraph" w:customStyle="1" w:styleId="TOFTitle">
    <w:name w:val="TOFTitle"/>
    <w:basedOn w:val="TOCTitle"/>
    <w:rsid w:val="00C000CB"/>
  </w:style>
  <w:style w:type="paragraph" w:styleId="TableofFigures">
    <w:name w:val="table of figures"/>
    <w:basedOn w:val="Normal"/>
    <w:next w:val="Normal"/>
    <w:semiHidden/>
    <w:rsid w:val="00C000CB"/>
    <w:pPr>
      <w:tabs>
        <w:tab w:val="right" w:leader="dot" w:pos="9072"/>
      </w:tabs>
      <w:ind w:left="970" w:hanging="403"/>
    </w:pPr>
    <w:rPr>
      <w:rFonts w:ascii="Times New Roman" w:hAnsi="Times New Roman"/>
      <w:b/>
    </w:rPr>
  </w:style>
  <w:style w:type="paragraph" w:styleId="ListNumber">
    <w:name w:val="List Number"/>
    <w:basedOn w:val="List"/>
    <w:rsid w:val="00C000CB"/>
    <w:pPr>
      <w:numPr>
        <w:numId w:val="11"/>
      </w:numPr>
    </w:pPr>
  </w:style>
  <w:style w:type="character" w:customStyle="1" w:styleId="WingdingSymbols">
    <w:name w:val="Wingding Symbols"/>
    <w:rsid w:val="00C000CB"/>
    <w:rPr>
      <w:rFonts w:ascii="Wingdings" w:hAnsi="Wingdings"/>
    </w:rPr>
  </w:style>
  <w:style w:type="paragraph" w:customStyle="1" w:styleId="TableHeading">
    <w:name w:val="Table Heading"/>
    <w:basedOn w:val="HeadingBase"/>
    <w:rsid w:val="00C000CB"/>
    <w:pPr>
      <w:keepLines/>
      <w:pBdr>
        <w:bottom w:val="single" w:sz="6" w:space="1" w:color="918585"/>
      </w:pBdr>
      <w:spacing w:before="240"/>
    </w:pPr>
  </w:style>
  <w:style w:type="character" w:customStyle="1" w:styleId="HotSpot">
    <w:name w:val="HotSpot"/>
    <w:rsid w:val="00C000CB"/>
    <w:rPr>
      <w:color w:val="0033CC"/>
      <w:u w:val="none"/>
    </w:rPr>
  </w:style>
  <w:style w:type="paragraph" w:customStyle="1" w:styleId="BodyTextRight">
    <w:name w:val="Body Text Right"/>
    <w:basedOn w:val="BodyText"/>
    <w:rsid w:val="00C000CB"/>
    <w:pPr>
      <w:spacing w:before="0" w:after="0"/>
      <w:jc w:val="right"/>
    </w:pPr>
  </w:style>
  <w:style w:type="paragraph" w:styleId="Index3">
    <w:name w:val="index 3"/>
    <w:basedOn w:val="ListNumber2"/>
    <w:next w:val="Normal"/>
    <w:semiHidden/>
    <w:rsid w:val="00C000CB"/>
    <w:pPr>
      <w:numPr>
        <w:numId w:val="0"/>
      </w:numPr>
      <w:tabs>
        <w:tab w:val="right" w:leader="dot" w:pos="4176"/>
      </w:tabs>
    </w:pPr>
  </w:style>
  <w:style w:type="paragraph" w:styleId="ListNumber2">
    <w:name w:val="List Number 2"/>
    <w:basedOn w:val="List2"/>
    <w:rsid w:val="00C000CB"/>
    <w:pPr>
      <w:numPr>
        <w:numId w:val="10"/>
      </w:numPr>
      <w:tabs>
        <w:tab w:val="clear" w:pos="1060"/>
      </w:tabs>
    </w:pPr>
  </w:style>
  <w:style w:type="paragraph" w:customStyle="1" w:styleId="MarginNote">
    <w:name w:val="Margin Note"/>
    <w:basedOn w:val="BodyText"/>
    <w:rsid w:val="00C000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00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00C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000CB"/>
    <w:rPr>
      <w:sz w:val="32"/>
    </w:rPr>
  </w:style>
  <w:style w:type="paragraph" w:customStyle="1" w:styleId="HeadingProcedure">
    <w:name w:val="Heading Procedure"/>
    <w:basedOn w:val="HeadingBase"/>
    <w:next w:val="Normal"/>
    <w:rsid w:val="00C000CB"/>
    <w:pPr>
      <w:tabs>
        <w:tab w:val="left" w:pos="0"/>
      </w:tabs>
      <w:spacing w:before="120" w:after="60"/>
    </w:pPr>
    <w:rPr>
      <w:i/>
      <w:color w:val="918585"/>
      <w:sz w:val="22"/>
    </w:rPr>
  </w:style>
  <w:style w:type="paragraph" w:customStyle="1" w:styleId="TableBodyText">
    <w:name w:val="Table Body Text"/>
    <w:basedOn w:val="BodyText"/>
    <w:rsid w:val="00C000CB"/>
    <w:pPr>
      <w:spacing w:before="60" w:after="60"/>
    </w:pPr>
  </w:style>
  <w:style w:type="paragraph" w:styleId="ListContinue">
    <w:name w:val="List Continue"/>
    <w:basedOn w:val="List"/>
    <w:rsid w:val="00C000CB"/>
    <w:pPr>
      <w:ind w:firstLine="0"/>
    </w:pPr>
  </w:style>
  <w:style w:type="paragraph" w:customStyle="1" w:styleId="ListNote">
    <w:name w:val="List Note"/>
    <w:basedOn w:val="List"/>
    <w:rsid w:val="00C000CB"/>
    <w:pPr>
      <w:pBdr>
        <w:top w:val="single" w:sz="6" w:space="2" w:color="918585"/>
        <w:bottom w:val="single" w:sz="6" w:space="2" w:color="918585"/>
      </w:pBdr>
      <w:tabs>
        <w:tab w:val="left" w:pos="1021"/>
      </w:tabs>
      <w:ind w:firstLine="0"/>
    </w:pPr>
  </w:style>
  <w:style w:type="paragraph" w:customStyle="1" w:styleId="Warning">
    <w:name w:val="Warning"/>
    <w:basedOn w:val="BodyText"/>
    <w:rsid w:val="00C000CB"/>
    <w:pPr>
      <w:shd w:val="clear" w:color="auto" w:fill="D9D9D9"/>
      <w:tabs>
        <w:tab w:val="left" w:pos="992"/>
      </w:tabs>
      <w:ind w:left="119" w:right="119"/>
    </w:pPr>
    <w:rPr>
      <w:sz w:val="20"/>
    </w:rPr>
  </w:style>
  <w:style w:type="paragraph" w:customStyle="1" w:styleId="MarginIcons">
    <w:name w:val="Margin Icons"/>
    <w:basedOn w:val="BodyText"/>
    <w:rsid w:val="00C000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00CB"/>
    <w:rPr>
      <w:rFonts w:ascii="Courier New" w:hAnsi="Courier New"/>
    </w:rPr>
  </w:style>
  <w:style w:type="paragraph" w:customStyle="1" w:styleId="NoteBullet">
    <w:name w:val="Note Bullet"/>
    <w:basedOn w:val="Note"/>
    <w:rsid w:val="00C000CB"/>
    <w:pPr>
      <w:tabs>
        <w:tab w:val="clear" w:pos="680"/>
      </w:tabs>
      <w:spacing w:before="60" w:after="60"/>
    </w:pPr>
  </w:style>
  <w:style w:type="paragraph" w:customStyle="1" w:styleId="SubHeading2">
    <w:name w:val="SubHeading2"/>
    <w:basedOn w:val="HeadingBase"/>
    <w:rsid w:val="00C000CB"/>
    <w:pPr>
      <w:spacing w:before="240" w:after="60"/>
    </w:pPr>
    <w:rPr>
      <w:sz w:val="20"/>
    </w:rPr>
  </w:style>
  <w:style w:type="paragraph" w:customStyle="1" w:styleId="SubHeading1">
    <w:name w:val="SubHeading1"/>
    <w:basedOn w:val="HeadingBase"/>
    <w:rsid w:val="00C000CB"/>
    <w:pPr>
      <w:spacing w:before="240" w:after="60"/>
    </w:pPr>
    <w:rPr>
      <w:color w:val="918585"/>
      <w:sz w:val="22"/>
    </w:rPr>
  </w:style>
  <w:style w:type="paragraph" w:customStyle="1" w:styleId="SideHeading">
    <w:name w:val="Side Heading"/>
    <w:basedOn w:val="HeadingBase"/>
    <w:rsid w:val="00C000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00CB"/>
    <w:pPr>
      <w:numPr>
        <w:numId w:val="12"/>
      </w:numPr>
    </w:pPr>
  </w:style>
  <w:style w:type="paragraph" w:styleId="PlainText">
    <w:name w:val="Plain Text"/>
    <w:basedOn w:val="Normal"/>
    <w:link w:val="PlainTextChar"/>
    <w:rsid w:val="00C000CB"/>
    <w:rPr>
      <w:sz w:val="20"/>
    </w:rPr>
  </w:style>
  <w:style w:type="character" w:customStyle="1" w:styleId="PlainTextChar">
    <w:name w:val="Plain Text Char"/>
    <w:basedOn w:val="DefaultParagraphFont"/>
    <w:link w:val="PlainText"/>
    <w:rsid w:val="00C000C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000CB"/>
    <w:rPr>
      <w:b/>
      <w:smallCaps/>
    </w:rPr>
  </w:style>
  <w:style w:type="paragraph" w:customStyle="1" w:styleId="TableListNumber">
    <w:name w:val="Table List Number"/>
    <w:basedOn w:val="ListNumber"/>
    <w:rsid w:val="00C000CB"/>
    <w:pPr>
      <w:numPr>
        <w:numId w:val="0"/>
      </w:numPr>
    </w:pPr>
  </w:style>
  <w:style w:type="paragraph" w:styleId="TOC4">
    <w:name w:val="toc 4"/>
    <w:basedOn w:val="TOCBase"/>
    <w:next w:val="Normal"/>
    <w:semiHidden/>
    <w:rsid w:val="00C000CB"/>
    <w:pPr>
      <w:tabs>
        <w:tab w:val="right" w:leader="dot" w:pos="9071"/>
      </w:tabs>
      <w:ind w:left="1701"/>
    </w:pPr>
  </w:style>
  <w:style w:type="paragraph" w:customStyle="1" w:styleId="ListAlpha">
    <w:name w:val="List Alpha"/>
    <w:basedOn w:val="List"/>
    <w:rsid w:val="00C000CB"/>
    <w:pPr>
      <w:numPr>
        <w:numId w:val="9"/>
      </w:numPr>
    </w:pPr>
  </w:style>
  <w:style w:type="paragraph" w:customStyle="1" w:styleId="ListAlpha2">
    <w:name w:val="List Alpha 2"/>
    <w:basedOn w:val="List2"/>
    <w:rsid w:val="00C000CB"/>
    <w:pPr>
      <w:numPr>
        <w:numId w:val="8"/>
      </w:numPr>
    </w:pPr>
  </w:style>
  <w:style w:type="paragraph" w:styleId="List2">
    <w:name w:val="List 2"/>
    <w:basedOn w:val="BodyText"/>
    <w:rsid w:val="00C000CB"/>
    <w:pPr>
      <w:tabs>
        <w:tab w:val="left" w:pos="680"/>
      </w:tabs>
      <w:spacing w:before="60" w:after="60"/>
      <w:ind w:left="680" w:hanging="340"/>
    </w:pPr>
  </w:style>
  <w:style w:type="paragraph" w:styleId="List3">
    <w:name w:val="List 3"/>
    <w:basedOn w:val="BodyText"/>
    <w:rsid w:val="00C000CB"/>
    <w:pPr>
      <w:tabs>
        <w:tab w:val="left" w:pos="1021"/>
      </w:tabs>
      <w:spacing w:before="60" w:after="60"/>
      <w:ind w:left="1020" w:hanging="340"/>
    </w:pPr>
  </w:style>
  <w:style w:type="paragraph" w:styleId="List4">
    <w:name w:val="List 4"/>
    <w:basedOn w:val="BodyText"/>
    <w:rsid w:val="00C000CB"/>
    <w:pPr>
      <w:tabs>
        <w:tab w:val="left" w:pos="1361"/>
      </w:tabs>
      <w:spacing w:before="60" w:after="60"/>
      <w:ind w:left="1361" w:hanging="340"/>
    </w:pPr>
  </w:style>
  <w:style w:type="paragraph" w:styleId="List5">
    <w:name w:val="List 5"/>
    <w:basedOn w:val="BodyText"/>
    <w:rsid w:val="00C000CB"/>
    <w:pPr>
      <w:tabs>
        <w:tab w:val="left" w:pos="1701"/>
      </w:tabs>
      <w:spacing w:before="60" w:after="60"/>
      <w:ind w:left="1701" w:hanging="340"/>
    </w:pPr>
  </w:style>
  <w:style w:type="paragraph" w:styleId="ListBullet3">
    <w:name w:val="List Bullet 3"/>
    <w:basedOn w:val="List3"/>
    <w:rsid w:val="00C000CB"/>
    <w:pPr>
      <w:numPr>
        <w:numId w:val="15"/>
      </w:numPr>
      <w:tabs>
        <w:tab w:val="clear" w:pos="1021"/>
      </w:tabs>
      <w:ind w:left="1037" w:hanging="357"/>
    </w:pPr>
  </w:style>
  <w:style w:type="paragraph" w:styleId="ListBullet4">
    <w:name w:val="List Bullet 4"/>
    <w:basedOn w:val="List4"/>
    <w:rsid w:val="00C000CB"/>
    <w:pPr>
      <w:numPr>
        <w:numId w:val="3"/>
      </w:numPr>
    </w:pPr>
  </w:style>
  <w:style w:type="paragraph" w:styleId="ListBullet5">
    <w:name w:val="List Bullet 5"/>
    <w:basedOn w:val="List5"/>
    <w:rsid w:val="00C000CB"/>
    <w:pPr>
      <w:numPr>
        <w:numId w:val="4"/>
      </w:numPr>
    </w:pPr>
  </w:style>
  <w:style w:type="paragraph" w:styleId="ListContinue2">
    <w:name w:val="List Continue 2"/>
    <w:basedOn w:val="List2"/>
    <w:rsid w:val="00C000CB"/>
    <w:pPr>
      <w:ind w:firstLine="0"/>
    </w:pPr>
  </w:style>
  <w:style w:type="paragraph" w:styleId="ListContinue3">
    <w:name w:val="List Continue 3"/>
    <w:basedOn w:val="List3"/>
    <w:rsid w:val="00C000CB"/>
    <w:pPr>
      <w:ind w:left="1021" w:firstLine="0"/>
    </w:pPr>
  </w:style>
  <w:style w:type="paragraph" w:styleId="ListContinue4">
    <w:name w:val="List Continue 4"/>
    <w:basedOn w:val="List4"/>
    <w:rsid w:val="00C000CB"/>
    <w:pPr>
      <w:ind w:firstLine="0"/>
    </w:pPr>
  </w:style>
  <w:style w:type="paragraph" w:styleId="ListContinue5">
    <w:name w:val="List Continue 5"/>
    <w:basedOn w:val="List5"/>
    <w:rsid w:val="00C000CB"/>
    <w:pPr>
      <w:ind w:firstLine="0"/>
    </w:pPr>
  </w:style>
  <w:style w:type="paragraph" w:styleId="ListNumber3">
    <w:name w:val="List Number 3"/>
    <w:basedOn w:val="List3"/>
    <w:rsid w:val="00C000CB"/>
    <w:pPr>
      <w:numPr>
        <w:numId w:val="5"/>
      </w:numPr>
    </w:pPr>
  </w:style>
  <w:style w:type="paragraph" w:styleId="ListNumber4">
    <w:name w:val="List Number 4"/>
    <w:basedOn w:val="List4"/>
    <w:rsid w:val="00C000CB"/>
    <w:pPr>
      <w:numPr>
        <w:numId w:val="6"/>
      </w:numPr>
    </w:pPr>
  </w:style>
  <w:style w:type="paragraph" w:styleId="ListNumber5">
    <w:name w:val="List Number 5"/>
    <w:basedOn w:val="List5"/>
    <w:rsid w:val="00C000CB"/>
    <w:pPr>
      <w:numPr>
        <w:numId w:val="7"/>
      </w:numPr>
    </w:pPr>
  </w:style>
  <w:style w:type="paragraph" w:styleId="BlockText">
    <w:name w:val="Block Text"/>
    <w:basedOn w:val="Normal"/>
    <w:rsid w:val="00C000CB"/>
    <w:pPr>
      <w:spacing w:after="120"/>
      <w:ind w:left="1440" w:right="1440"/>
    </w:pPr>
  </w:style>
  <w:style w:type="character" w:customStyle="1" w:styleId="Subscript">
    <w:name w:val="Subscript"/>
    <w:basedOn w:val="DefaultParagraphFont"/>
    <w:rsid w:val="00C000CB"/>
    <w:rPr>
      <w:sz w:val="16"/>
      <w:vertAlign w:val="subscript"/>
    </w:rPr>
  </w:style>
  <w:style w:type="character" w:customStyle="1" w:styleId="Superscript">
    <w:name w:val="Superscript"/>
    <w:basedOn w:val="DefaultParagraphFont"/>
    <w:rsid w:val="00C000CB"/>
    <w:rPr>
      <w:sz w:val="16"/>
      <w:vertAlign w:val="superscript"/>
    </w:rPr>
  </w:style>
  <w:style w:type="character" w:customStyle="1" w:styleId="Symbols">
    <w:name w:val="Symbols"/>
    <w:basedOn w:val="DefaultParagraphFont"/>
    <w:rsid w:val="00C000CB"/>
    <w:rPr>
      <w:rFonts w:ascii="Symbol" w:hAnsi="Symbol"/>
    </w:rPr>
  </w:style>
  <w:style w:type="character" w:customStyle="1" w:styleId="MenuOptions">
    <w:name w:val="Menu Options"/>
    <w:basedOn w:val="DefaultParagraphFont"/>
    <w:rsid w:val="00C000CB"/>
    <w:rPr>
      <w:rFonts w:ascii="Arial Narrow" w:hAnsi="Arial Narrow"/>
      <w:smallCaps/>
    </w:rPr>
  </w:style>
  <w:style w:type="character" w:customStyle="1" w:styleId="Buttons">
    <w:name w:val="Buttons"/>
    <w:basedOn w:val="DefaultParagraphFont"/>
    <w:rsid w:val="00C000CB"/>
    <w:rPr>
      <w:b/>
    </w:rPr>
  </w:style>
  <w:style w:type="character" w:customStyle="1" w:styleId="Underlined">
    <w:name w:val="Underlined"/>
    <w:basedOn w:val="DefaultParagraphFont"/>
    <w:rsid w:val="00C000CB"/>
    <w:rPr>
      <w:u w:val="single"/>
    </w:rPr>
  </w:style>
  <w:style w:type="paragraph" w:customStyle="1" w:styleId="TableBodyTextRight">
    <w:name w:val="Table Body Text Right"/>
    <w:basedOn w:val="TableBodyText"/>
    <w:rsid w:val="00C000CB"/>
    <w:pPr>
      <w:widowControl w:val="0"/>
      <w:autoSpaceDE w:val="0"/>
      <w:autoSpaceDN w:val="0"/>
      <w:adjustRightInd w:val="0"/>
      <w:jc w:val="right"/>
    </w:pPr>
    <w:rPr>
      <w:rFonts w:cs="Arial"/>
      <w:szCs w:val="18"/>
    </w:rPr>
  </w:style>
  <w:style w:type="paragraph" w:customStyle="1" w:styleId="CopyrightText">
    <w:name w:val="Copyright Text"/>
    <w:basedOn w:val="BodyText"/>
    <w:rsid w:val="00C000CB"/>
    <w:rPr>
      <w:sz w:val="18"/>
    </w:rPr>
  </w:style>
  <w:style w:type="paragraph" w:customStyle="1" w:styleId="BodySmallRight">
    <w:name w:val="Body Small Right"/>
    <w:basedOn w:val="BodyTextRight"/>
    <w:rsid w:val="00C000CB"/>
    <w:rPr>
      <w:sz w:val="18"/>
      <w:szCs w:val="18"/>
    </w:rPr>
  </w:style>
  <w:style w:type="paragraph" w:customStyle="1" w:styleId="MarginEdition">
    <w:name w:val="Margin Edition"/>
    <w:basedOn w:val="MarginNote"/>
    <w:rsid w:val="00C000CB"/>
    <w:pPr>
      <w:spacing w:before="0" w:after="0"/>
    </w:pPr>
    <w:rPr>
      <w:rFonts w:ascii="Times New Roman" w:hAnsi="Times New Roman"/>
      <w:color w:val="999999"/>
    </w:rPr>
  </w:style>
  <w:style w:type="paragraph" w:customStyle="1" w:styleId="Spacer">
    <w:name w:val="Spacer"/>
    <w:basedOn w:val="Normal"/>
    <w:rsid w:val="00C000CB"/>
    <w:rPr>
      <w:sz w:val="2"/>
      <w:szCs w:val="2"/>
    </w:rPr>
  </w:style>
  <w:style w:type="character" w:customStyle="1" w:styleId="Small">
    <w:name w:val="Small"/>
    <w:basedOn w:val="DefaultParagraphFont"/>
    <w:rsid w:val="00C000CB"/>
    <w:rPr>
      <w:sz w:val="16"/>
    </w:rPr>
  </w:style>
  <w:style w:type="paragraph" w:customStyle="1" w:styleId="WideTable">
    <w:name w:val="Wide Table"/>
    <w:basedOn w:val="Normal"/>
    <w:rsid w:val="00C000CB"/>
    <w:pPr>
      <w:ind w:left="-1418"/>
    </w:pPr>
    <w:rPr>
      <w:sz w:val="2"/>
      <w:szCs w:val="2"/>
    </w:rPr>
  </w:style>
  <w:style w:type="character" w:styleId="PageNumber">
    <w:name w:val="page number"/>
    <w:basedOn w:val="DefaultParagraphFont"/>
    <w:rsid w:val="00C000CB"/>
  </w:style>
  <w:style w:type="paragraph" w:styleId="Quote">
    <w:name w:val="Quote"/>
    <w:basedOn w:val="Heading1"/>
    <w:link w:val="QuoteChar"/>
    <w:qFormat/>
    <w:rsid w:val="00C000CB"/>
    <w:rPr>
      <w:b w:val="0"/>
      <w:sz w:val="72"/>
      <w:szCs w:val="72"/>
      <w:lang w:val="en-NZ"/>
    </w:rPr>
  </w:style>
  <w:style w:type="character" w:customStyle="1" w:styleId="QuoteChar">
    <w:name w:val="Quote Char"/>
    <w:basedOn w:val="DefaultParagraphFont"/>
    <w:link w:val="Quote"/>
    <w:rsid w:val="00C000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00CB"/>
    <w:pPr>
      <w:pageBreakBefore/>
    </w:pPr>
  </w:style>
  <w:style w:type="paragraph" w:customStyle="1" w:styleId="Border">
    <w:name w:val="Border"/>
    <w:basedOn w:val="Normal"/>
    <w:qFormat/>
    <w:rsid w:val="00C000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00CB"/>
    <w:rPr>
      <w:b/>
      <w:bCs/>
      <w:i/>
      <w:iCs/>
      <w:color w:val="auto"/>
    </w:rPr>
  </w:style>
  <w:style w:type="paragraph" w:styleId="IntenseQuote">
    <w:name w:val="Intense Quote"/>
    <w:basedOn w:val="Normal"/>
    <w:next w:val="Normal"/>
    <w:link w:val="IntenseQuoteChar"/>
    <w:uiPriority w:val="30"/>
    <w:qFormat/>
    <w:rsid w:val="00C000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00C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000CB"/>
    <w:rPr>
      <w:smallCaps/>
      <w:color w:val="auto"/>
      <w:u w:val="single"/>
    </w:rPr>
  </w:style>
  <w:style w:type="character" w:styleId="IntenseReference">
    <w:name w:val="Intense Reference"/>
    <w:basedOn w:val="DefaultParagraphFont"/>
    <w:uiPriority w:val="32"/>
    <w:qFormat/>
    <w:rsid w:val="00C000CB"/>
    <w:rPr>
      <w:b/>
      <w:bCs/>
      <w:smallCaps/>
      <w:color w:val="auto"/>
      <w:spacing w:val="5"/>
      <w:u w:val="single"/>
    </w:rPr>
  </w:style>
  <w:style w:type="paragraph" w:customStyle="1" w:styleId="2ColumnHeading">
    <w:name w:val="2Column Heading"/>
    <w:basedOn w:val="BodyText"/>
    <w:qFormat/>
    <w:rsid w:val="00C000CB"/>
    <w:pPr>
      <w:spacing w:after="60"/>
      <w:ind w:left="-2268"/>
    </w:pPr>
    <w:rPr>
      <w:b/>
    </w:rPr>
  </w:style>
  <w:style w:type="paragraph" w:customStyle="1" w:styleId="Heading1TOC">
    <w:name w:val="Heading1 TOC"/>
    <w:basedOn w:val="Normal"/>
    <w:qFormat/>
    <w:rsid w:val="00C000CB"/>
    <w:pPr>
      <w:spacing w:before="240" w:after="120"/>
    </w:pPr>
    <w:rPr>
      <w:rFonts w:ascii="Times New Roman" w:hAnsi="Times New Roman"/>
      <w:b/>
      <w:sz w:val="32"/>
    </w:rPr>
  </w:style>
  <w:style w:type="paragraph" w:customStyle="1" w:styleId="Heading2TOC">
    <w:name w:val="Heading2 TOC"/>
    <w:basedOn w:val="Normal"/>
    <w:qFormat/>
    <w:rsid w:val="00C000CB"/>
    <w:pPr>
      <w:spacing w:before="240" w:after="60"/>
    </w:pPr>
    <w:rPr>
      <w:rFonts w:ascii="Times New Roman" w:hAnsi="Times New Roman"/>
      <w:b/>
      <w:sz w:val="28"/>
    </w:rPr>
  </w:style>
  <w:style w:type="character" w:customStyle="1" w:styleId="Underline">
    <w:name w:val="Underline"/>
    <w:basedOn w:val="DefaultParagraphFont"/>
    <w:qFormat/>
    <w:rsid w:val="00C000CB"/>
    <w:rPr>
      <w:u w:val="single"/>
    </w:rPr>
  </w:style>
  <w:style w:type="character" w:customStyle="1" w:styleId="BoldandItalics">
    <w:name w:val="Bold and Italics"/>
    <w:qFormat/>
    <w:rsid w:val="00C000CB"/>
    <w:rPr>
      <w:b/>
      <w:i/>
      <w:u w:val="none"/>
    </w:rPr>
  </w:style>
  <w:style w:type="paragraph" w:styleId="BalloonText">
    <w:name w:val="Balloon Text"/>
    <w:basedOn w:val="Normal"/>
    <w:link w:val="BalloonTextChar"/>
    <w:rsid w:val="00C000CB"/>
    <w:rPr>
      <w:rFonts w:ascii="Tahoma" w:hAnsi="Tahoma" w:cs="Tahoma"/>
      <w:sz w:val="16"/>
      <w:szCs w:val="16"/>
    </w:rPr>
  </w:style>
  <w:style w:type="character" w:customStyle="1" w:styleId="BalloonTextChar">
    <w:name w:val="Balloon Text Char"/>
    <w:basedOn w:val="DefaultParagraphFont"/>
    <w:link w:val="BalloonText"/>
    <w:rsid w:val="00C000C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000C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000C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2606</Words>
  <Characters>16491</Characters>
  <Application>Microsoft Office Word</Application>
  <DocSecurity>0</DocSecurity>
  <Lines>744</Lines>
  <Paragraphs>315</Paragraphs>
  <ScaleCrop>false</ScaleCrop>
  <Company>Author-it Software Corporation Ltd.</Company>
  <LinksUpToDate>false</LinksUpToDate>
  <CharactersWithSpaces>18851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UETTDRSO06B Develop LV distribution switching programs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2012-05-26T12:20:00Z</dcterms:created>
  <dcterms:modified xsi:type="dcterms:W3CDTF">2012-05-26T12:21:00Z</dcterms:modified>
</cp:coreProperties>
</file>