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4214" w:rsidP="00614214">
      <w:pPr>
        <w:pStyle w:val="Title"/>
      </w:pPr>
      <w:r>
        <w:fldChar w:fldCharType="begin"/>
      </w:r>
      <w:r>
        <w:instrText xml:space="preserve"> TITLE   \* MERGEFORMAT </w:instrText>
      </w:r>
      <w:r>
        <w:fldChar w:fldCharType="separate"/>
      </w:r>
      <w:r>
        <w:t>UETTDRSO05B Manage HV distribution and subtransmission network demand</w:t>
      </w:r>
      <w:r>
        <w:fldChar w:fldCharType="end"/>
      </w:r>
    </w:p>
    <w:p w:rsidR="00614214" w:rsidP="00614214">
      <w:pPr>
        <w:pStyle w:val="Version"/>
        <w:sectPr w:rsidSect="001D08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080F" w:rsidP="001D080F">
      <w:pPr>
        <w:pStyle w:val="SuperHeading"/>
      </w:pPr>
      <w:r w:rsidRPr="001D080F">
        <w:t>UETTDRSO05B Manage HV distribution and subtransmission network demand</w:t>
      </w:r>
    </w:p>
    <w:p w:rsidR="00000000" w:rsidRPr="001D080F" w:rsidP="001D080F">
      <w:pPr>
        <w:pStyle w:val="Heading1"/>
      </w:pPr>
      <w:bookmarkStart w:id="1" w:name="O_275540"/>
      <w:bookmarkEnd w:id="1"/>
      <w:r w:rsidRPr="001D080F">
        <w:t>Modification History</w:t>
      </w:r>
    </w:p>
    <w:p w:rsidR="00000000" w:rsidRPr="001D080F" w:rsidP="001D080F">
      <w:pPr>
        <w:pStyle w:val="BodyText"/>
      </w:pPr>
      <w:r w:rsidRPr="001D080F">
        <w:t>Not Applicable</w:t>
      </w:r>
    </w:p>
    <w:p w:rsidR="00000000" w:rsidRPr="001D080F" w:rsidP="001D080F">
      <w:pPr>
        <w:pStyle w:val="AllowPageBreak"/>
      </w:pPr>
    </w:p>
    <w:p w:rsidR="00000000" w:rsidRPr="001D080F" w:rsidP="001D080F">
      <w:pPr>
        <w:pStyle w:val="Heading1"/>
      </w:pPr>
      <w:bookmarkStart w:id="2" w:name="O_231928"/>
      <w:bookmarkEnd w:id="2"/>
      <w:r w:rsidRPr="001D080F">
        <w:t>Unit Descriptor</w:t>
      </w:r>
    </w:p>
    <w:tbl>
      <w:tblPr>
        <w:tblW w:w="0" w:type="auto"/>
        <w:tblLayout w:type="fixed"/>
        <w:tblCellMar>
          <w:left w:w="62" w:type="dxa"/>
          <w:right w:w="62" w:type="dxa"/>
        </w:tblCellMar>
        <w:tblLook w:val="0000"/>
      </w:tblPr>
      <w:tblGrid>
        <w:gridCol w:w="2700"/>
        <w:gridCol w:w="5940"/>
      </w:tblGrid>
      <w:tr w:rsidTr="006142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rPr>
                <w:rStyle w:val="SpecialBold"/>
              </w:rPr>
              <w:t>Unit Descriptor</w:t>
            </w:r>
          </w:p>
        </w:tc>
        <w:tc>
          <w:tcPr>
            <w:tcW w:w="5940" w:type="dxa"/>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rPr>
                <w:rStyle w:val="SpecialBold"/>
              </w:rPr>
              <w:t>1</w:t>
            </w:r>
            <w:r w:rsidRPr="001D080F">
              <w:t xml:space="preserve">) </w:t>
            </w:r>
          </w:p>
          <w:p w:rsidR="00000000" w:rsidP="001D080F">
            <w:pPr>
              <w:pStyle w:val="BodyText"/>
              <w:rPr>
                <w:lang w:val="en-NZ"/>
              </w:rPr>
            </w:pPr>
            <w:r w:rsidRPr="001D080F">
              <w:rPr>
                <w:rStyle w:val="SpecialBold"/>
              </w:rPr>
              <w:t>1</w:t>
            </w:r>
            <w:r w:rsidRPr="001D080F">
              <w:t>.</w:t>
            </w:r>
            <w:r w:rsidRPr="001D080F">
              <w:rPr>
                <w:rStyle w:val="SpecialBold"/>
              </w:rPr>
              <w:t>1</w:t>
            </w:r>
            <w:r w:rsidRPr="001D080F">
              <w:t xml:space="preserve">) </w:t>
            </w:r>
            <w:r w:rsidRPr="001D080F">
              <w:rPr>
                <w:rStyle w:val="SpecialBold"/>
              </w:rPr>
              <w:t>Descriptor</w:t>
            </w:r>
          </w:p>
        </w:tc>
      </w:tr>
      <w:tr w:rsidTr="006142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t>This Competency Standard Unit covers the management of the switching of HV network components with due regard to the loadings and prevailing network constraints and may include scheduling of generators, VAR compensators, load shedding and non-essential loa</w:t>
            </w:r>
            <w:r w:rsidRPr="001D080F">
              <w:t>ds in response to NEMMCO or network requirements. It also includes voltage control equipment.</w:t>
            </w:r>
          </w:p>
        </w:tc>
      </w:tr>
    </w:tbl>
    <w:p w:rsidR="00614214" w:rsidP="001D080F">
      <w:pPr>
        <w:pStyle w:val="BodyText"/>
      </w:pPr>
    </w:p>
    <w:p w:rsidR="00614214" w:rsidP="001D080F">
      <w:pPr>
        <w:pStyle w:val="BodyText"/>
      </w:pPr>
    </w:p>
    <w:p w:rsidR="00000000" w:rsidRPr="001D080F" w:rsidP="001D080F">
      <w:pPr>
        <w:pStyle w:val="Heading1"/>
      </w:pPr>
      <w:bookmarkStart w:id="3" w:name="O_231933"/>
      <w:bookmarkEnd w:id="3"/>
      <w:r w:rsidRPr="001D080F">
        <w:t>Application of the Unit</w:t>
      </w:r>
    </w:p>
    <w:tbl>
      <w:tblPr>
        <w:tblW w:w="0" w:type="auto"/>
        <w:tblLayout w:type="fixed"/>
        <w:tblCellMar>
          <w:left w:w="62" w:type="dxa"/>
          <w:right w:w="62" w:type="dxa"/>
        </w:tblCellMar>
        <w:tblLook w:val="0000"/>
      </w:tblPr>
      <w:tblGrid>
        <w:gridCol w:w="2700"/>
        <w:gridCol w:w="5940"/>
      </w:tblGrid>
      <w:tr w:rsidTr="006142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rPr>
                <w:rStyle w:val="SpecialBold"/>
              </w:rPr>
              <w:t>Application of the Unit</w:t>
            </w:r>
          </w:p>
        </w:tc>
        <w:tc>
          <w:tcPr>
            <w:tcW w:w="59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rPr>
                <w:rStyle w:val="SpecialBold"/>
              </w:rPr>
              <w:t>4</w:t>
            </w:r>
            <w:r w:rsidRPr="001D080F">
              <w:t>)</w:t>
            </w:r>
          </w:p>
        </w:tc>
      </w:tr>
      <w:tr w:rsidTr="006142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t>This Competency Standard Unit is intended to augment formally acquired competencies. It is suitable for employment-based programs under an approved contract of training.</w:t>
            </w:r>
          </w:p>
        </w:tc>
      </w:tr>
    </w:tbl>
    <w:p w:rsidR="00614214" w:rsidP="001D080F">
      <w:pPr>
        <w:pStyle w:val="BodyText"/>
      </w:pPr>
    </w:p>
    <w:p w:rsidR="00614214" w:rsidP="001D080F">
      <w:pPr>
        <w:pStyle w:val="BodyText"/>
      </w:pPr>
    </w:p>
    <w:p w:rsidR="00000000" w:rsidRPr="001D080F" w:rsidP="001D080F">
      <w:pPr>
        <w:pStyle w:val="Heading1"/>
      </w:pPr>
      <w:bookmarkStart w:id="4" w:name="O_231929"/>
      <w:bookmarkEnd w:id="4"/>
      <w:r w:rsidRPr="001D080F">
        <w:t>Licensing/Regulatory Information</w:t>
      </w:r>
    </w:p>
    <w:tbl>
      <w:tblPr>
        <w:tblW w:w="0" w:type="auto"/>
        <w:tblLayout w:type="fixed"/>
        <w:tblCellMar>
          <w:left w:w="62" w:type="dxa"/>
          <w:right w:w="62" w:type="dxa"/>
        </w:tblCellMar>
        <w:tblLook w:val="0000"/>
      </w:tblPr>
      <w:tblGrid>
        <w:gridCol w:w="8640"/>
      </w:tblGrid>
      <w:tr w:rsidTr="00614214">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rPr>
                <w:rStyle w:val="SpecialBold"/>
              </w:rPr>
              <w:t>1</w:t>
            </w:r>
            <w:r w:rsidRPr="001D080F">
              <w:t>.</w:t>
            </w:r>
            <w:r w:rsidRPr="001D080F">
              <w:rPr>
                <w:rStyle w:val="SpecialBold"/>
              </w:rPr>
              <w:t>2</w:t>
            </w:r>
            <w:r w:rsidRPr="001D080F">
              <w:t xml:space="preserve">) </w:t>
            </w:r>
            <w:r w:rsidRPr="001D080F">
              <w:rPr>
                <w:rStyle w:val="SpecialBold"/>
              </w:rPr>
              <w:t>License to practice</w:t>
            </w:r>
          </w:p>
        </w:tc>
      </w:tr>
      <w:tr w:rsidTr="0061421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t>The skills and knowledge described in this unit may require a licence/registration to practice in the work place subject to regulations for undertaking of electrical work. Practice in workplace and during training is also subject to regulations directly re</w:t>
            </w:r>
            <w:r w:rsidRPr="001D080F">
              <w:t>lated to Occupational Health and Safety, electricity/telecommunications/gas/water industry safety and compliance, industrial relations, environmental protection, anti discrimination and training. Commonwealth, State/Territory or Local Government legislatio</w:t>
            </w:r>
            <w:r w:rsidRPr="001D080F">
              <w:t>n and regulations may exist that limits the age of operating certain equipment.</w:t>
            </w:r>
          </w:p>
        </w:tc>
      </w:tr>
    </w:tbl>
    <w:p w:rsidR="00614214" w:rsidP="001D080F">
      <w:pPr>
        <w:pStyle w:val="BodyText"/>
      </w:pPr>
    </w:p>
    <w:p w:rsidR="00614214" w:rsidP="001D080F">
      <w:pPr>
        <w:pStyle w:val="BodyText"/>
      </w:pPr>
    </w:p>
    <w:p w:rsidR="00000000" w:rsidRPr="001D080F" w:rsidP="001D080F">
      <w:pPr>
        <w:pStyle w:val="Heading1"/>
      </w:pPr>
      <w:bookmarkStart w:id="5" w:name="O_231930"/>
      <w:bookmarkEnd w:id="5"/>
      <w:r w:rsidRPr="001D080F">
        <w:t>Pre-Requisites</w:t>
      </w:r>
    </w:p>
    <w:tbl>
      <w:tblPr>
        <w:tblW w:w="0" w:type="auto"/>
        <w:tblLayout w:type="fixed"/>
        <w:tblCellMar>
          <w:left w:w="62" w:type="dxa"/>
          <w:right w:w="62" w:type="dxa"/>
        </w:tblCellMar>
        <w:tblLook w:val="0000"/>
      </w:tblPr>
      <w:tblGrid>
        <w:gridCol w:w="2700"/>
        <w:gridCol w:w="720"/>
        <w:gridCol w:w="1980"/>
        <w:gridCol w:w="3240"/>
      </w:tblGrid>
      <w:tr w:rsidTr="006142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rPr>
                <w:rStyle w:val="SpecialBold"/>
              </w:rPr>
              <w:t>Prerequisite Unit</w:t>
            </w:r>
            <w:r w:rsidRPr="001D080F">
              <w:t>(</w:t>
            </w:r>
            <w:r w:rsidRPr="001D080F">
              <w:rPr>
                <w:rStyle w:val="SpecialBold"/>
              </w:rPr>
              <w:t>s</w:t>
            </w:r>
            <w:r w:rsidRPr="001D080F">
              <w:t>)</w:t>
            </w:r>
          </w:p>
        </w:tc>
        <w:tc>
          <w:tcPr>
            <w:tcW w:w="5940" w:type="dxa"/>
            <w:gridSpan w:val="3"/>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rPr>
                <w:rStyle w:val="SpecialBold"/>
              </w:rPr>
              <w:t>2</w:t>
            </w:r>
            <w:r w:rsidRPr="001D080F">
              <w:t xml:space="preserve">) </w:t>
            </w:r>
          </w:p>
        </w:tc>
      </w:tr>
      <w:tr w:rsidTr="006142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D080F">
            <w:pPr>
              <w:pStyle w:val="BodyText"/>
              <w:keepNext w:val="0"/>
              <w:keepLines w:val="0"/>
              <w:contextualSpacing w:val="0"/>
            </w:pPr>
          </w:p>
        </w:tc>
        <w:tc>
          <w:tcPr>
            <w:tcW w:w="5940" w:type="dxa"/>
            <w:gridSpan w:val="3"/>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rPr>
                <w:rStyle w:val="SpecialBold"/>
              </w:rPr>
              <w:t>2</w:t>
            </w:r>
            <w:r w:rsidRPr="001D080F">
              <w:t>.</w:t>
            </w:r>
            <w:r w:rsidRPr="001D080F">
              <w:rPr>
                <w:rStyle w:val="SpecialBold"/>
              </w:rPr>
              <w:t>1</w:t>
            </w:r>
            <w:r w:rsidRPr="001D080F">
              <w:t xml:space="preserve">) </w:t>
            </w:r>
            <w:r w:rsidRPr="001D080F">
              <w:rPr>
                <w:rStyle w:val="SpecialBold"/>
              </w:rPr>
              <w:t>Competencies</w:t>
            </w:r>
          </w:p>
        </w:tc>
      </w:tr>
      <w:tr w:rsidTr="006142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3"/>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Granting of competency in this unit shall be made only after competency in the following unit(s) has/have been confirmed:.</w:t>
            </w:r>
          </w:p>
        </w:tc>
      </w:tr>
      <w:tr w:rsidTr="006142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UETTDRSO18A</w:t>
            </w:r>
          </w:p>
        </w:tc>
        <w:tc>
          <w:tcPr>
            <w:tcW w:w="32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Respond to discrete / interdependent protection operations</w:t>
            </w:r>
          </w:p>
        </w:tc>
      </w:tr>
      <w:tr w:rsidTr="006142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UETTDRSO19A</w:t>
            </w:r>
          </w:p>
        </w:tc>
        <w:tc>
          <w:tcPr>
            <w:tcW w:w="32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Coordinate system operati</w:t>
            </w:r>
            <w:r w:rsidRPr="001D080F">
              <w:t>ons in a regulated energy market</w:t>
            </w:r>
          </w:p>
        </w:tc>
      </w:tr>
      <w:tr w:rsidTr="006142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3"/>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t>For the full prerequisite chain details for this unit please refer to Table 3 in Volume 1, Part 2</w:t>
            </w:r>
          </w:p>
        </w:tc>
      </w:tr>
    </w:tbl>
    <w:p w:rsidR="00614214" w:rsidP="001D080F">
      <w:pPr>
        <w:pStyle w:val="BodyText"/>
      </w:pPr>
    </w:p>
    <w:p w:rsidR="00614214" w:rsidP="001D080F">
      <w:pPr>
        <w:pStyle w:val="BodyText"/>
      </w:pPr>
    </w:p>
    <w:p w:rsidR="00000000" w:rsidRPr="001D080F" w:rsidP="001D080F">
      <w:pPr>
        <w:pStyle w:val="Heading1"/>
      </w:pPr>
      <w:bookmarkStart w:id="6" w:name="O_231932"/>
      <w:bookmarkEnd w:id="6"/>
      <w:r w:rsidRPr="001D080F">
        <w:t>Employability Skills Information</w:t>
      </w:r>
    </w:p>
    <w:tbl>
      <w:tblPr>
        <w:tblW w:w="0" w:type="auto"/>
        <w:tblLayout w:type="fixed"/>
        <w:tblCellMar>
          <w:left w:w="62" w:type="dxa"/>
          <w:right w:w="62" w:type="dxa"/>
        </w:tblCellMar>
        <w:tblLook w:val="0000"/>
      </w:tblPr>
      <w:tblGrid>
        <w:gridCol w:w="2700"/>
        <w:gridCol w:w="5940"/>
      </w:tblGrid>
      <w:tr w:rsidTr="006142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rPr>
                <w:rStyle w:val="SpecialBold"/>
              </w:rPr>
              <w:t>Employability Skills</w:t>
            </w:r>
          </w:p>
        </w:tc>
        <w:tc>
          <w:tcPr>
            <w:tcW w:w="5940" w:type="dxa"/>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rPr>
                <w:rStyle w:val="SpecialBold"/>
              </w:rPr>
              <w:t>3</w:t>
            </w:r>
            <w:r w:rsidRPr="001D080F">
              <w:t>)</w:t>
            </w:r>
          </w:p>
          <w:p w:rsidR="00000000" w:rsidRPr="001D080F" w:rsidP="001D080F">
            <w:pPr>
              <w:pStyle w:val="BodyText"/>
            </w:pPr>
            <w:r w:rsidRPr="001D080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D080F">
              <w:t>requirements.</w:t>
            </w:r>
          </w:p>
        </w:tc>
      </w:tr>
    </w:tbl>
    <w:p w:rsidR="00614214" w:rsidP="001D080F">
      <w:pPr>
        <w:pStyle w:val="BodyText"/>
      </w:pPr>
    </w:p>
    <w:p w:rsidR="00614214" w:rsidP="001D080F">
      <w:pPr>
        <w:pStyle w:val="BodyText"/>
      </w:pPr>
    </w:p>
    <w:p w:rsidR="00000000" w:rsidRPr="001D080F" w:rsidP="001D080F">
      <w:pPr>
        <w:pStyle w:val="Heading1"/>
      </w:pPr>
      <w:bookmarkStart w:id="7" w:name="O_293586"/>
      <w:bookmarkEnd w:id="7"/>
      <w:r w:rsidRPr="001D080F">
        <w:t>Elements and Performance Criteria Pre-Content</w:t>
      </w:r>
    </w:p>
    <w:tbl>
      <w:tblPr>
        <w:tblW w:w="0" w:type="auto"/>
        <w:tblLayout w:type="fixed"/>
        <w:tblCellMar>
          <w:left w:w="62" w:type="dxa"/>
          <w:right w:w="62" w:type="dxa"/>
        </w:tblCellMar>
        <w:tblLook w:val="0000"/>
      </w:tblPr>
      <w:tblGrid>
        <w:gridCol w:w="2700"/>
        <w:gridCol w:w="5940"/>
      </w:tblGrid>
      <w:tr w:rsidTr="006142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rPr>
                <w:rStyle w:val="SpecialBold"/>
              </w:rPr>
              <w:t>6</w:t>
            </w:r>
            <w:r w:rsidRPr="001D080F">
              <w:t xml:space="preserve">) </w:t>
            </w:r>
            <w:r w:rsidRPr="001D080F">
              <w:rPr>
                <w:rStyle w:val="SpecialBold"/>
              </w:rPr>
              <w:t>Elements</w:t>
            </w:r>
            <w:r w:rsidRPr="001D080F">
              <w:t>: Elements describe the essential outcomes of a competency standard unit</w:t>
            </w:r>
          </w:p>
        </w:tc>
        <w:tc>
          <w:tcPr>
            <w:tcW w:w="5940" w:type="dxa"/>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t xml:space="preserve">Performance Criteria describe the required performance needed to demonstrate achievement of </w:t>
            </w:r>
            <w:r w:rsidRPr="001D080F">
              <w:t>the Element. Assessment of performance is to be consistent with the Evidence Guide.</w:t>
            </w:r>
          </w:p>
        </w:tc>
      </w:tr>
    </w:tbl>
    <w:p w:rsidR="00000000" w:rsidRPr="001D080F" w:rsidP="001D080F">
      <w:pPr>
        <w:pStyle w:val="BodyText"/>
      </w:pPr>
    </w:p>
    <w:p w:rsidR="00000000" w:rsidRPr="001D080F" w:rsidP="001D080F">
      <w:pPr>
        <w:pStyle w:val="AllowPageBreak"/>
      </w:pPr>
    </w:p>
    <w:p w:rsidR="00000000" w:rsidRPr="001D080F" w:rsidP="001D080F">
      <w:pPr>
        <w:pStyle w:val="Heading1"/>
      </w:pPr>
      <w:bookmarkStart w:id="8" w:name="O_240254"/>
      <w:bookmarkEnd w:id="8"/>
      <w:r w:rsidRPr="001D080F">
        <w:t>Elements and Performance Criteria</w:t>
      </w:r>
    </w:p>
    <w:tbl>
      <w:tblPr>
        <w:tblW w:w="0" w:type="auto"/>
        <w:tblLayout w:type="fixed"/>
        <w:tblCellMar>
          <w:left w:w="62" w:type="dxa"/>
          <w:right w:w="62" w:type="dxa"/>
        </w:tblCellMar>
        <w:tblLook w:val="0000"/>
      </w:tblPr>
      <w:tblGrid>
        <w:gridCol w:w="404"/>
        <w:gridCol w:w="2296"/>
        <w:gridCol w:w="900"/>
        <w:gridCol w:w="5040"/>
      </w:tblGrid>
      <w:tr w:rsidTr="0061421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rPr>
                <w:rStyle w:val="SpecialBold"/>
              </w:rPr>
              <w:t>PERFORMANCE CRITERIA</w:t>
            </w:r>
          </w:p>
        </w:tc>
      </w:tr>
      <w:tr w:rsidTr="006142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1</w:t>
            </w:r>
          </w:p>
        </w:tc>
        <w:tc>
          <w:tcPr>
            <w:tcW w:w="2296"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Plan for the management of HV Distribution and Sub transmission network demand</w:t>
            </w:r>
          </w:p>
        </w:tc>
        <w:tc>
          <w:tcPr>
            <w:tcW w:w="90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1.1</w:t>
            </w:r>
          </w:p>
        </w:tc>
        <w:tc>
          <w:tcPr>
            <w:tcW w:w="50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OHS practices/procedures and environmental and sustainable energy procedures, which may influence the management of HV Distribution and Sub transmission network systems, are reviewed and determined.</w:t>
            </w:r>
          </w:p>
        </w:tc>
      </w:tr>
      <w:tr w:rsidTr="006142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1.2</w:t>
            </w:r>
          </w:p>
        </w:tc>
        <w:tc>
          <w:tcPr>
            <w:tcW w:w="50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Purpose of the management is established after dat</w:t>
            </w:r>
            <w:r w:rsidRPr="001D080F">
              <w:t>a is analysed and expected outcomes of the work are confirmed with the appropriate personnel.</w:t>
            </w:r>
          </w:p>
        </w:tc>
      </w:tr>
      <w:tr w:rsidTr="006142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1.3</w:t>
            </w:r>
          </w:p>
        </w:tc>
        <w:tc>
          <w:tcPr>
            <w:tcW w:w="50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 xml:space="preserve">Organisational established procedures on policies and specifications for the management of the network demand are obtained or established with </w:t>
            </w:r>
            <w:r w:rsidRPr="001D080F">
              <w:t>the appropriate personnel.</w:t>
            </w:r>
          </w:p>
        </w:tc>
      </w:tr>
      <w:tr w:rsidTr="006142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1.4</w:t>
            </w:r>
          </w:p>
        </w:tc>
        <w:tc>
          <w:tcPr>
            <w:tcW w:w="50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Testing procedures are discussed with/directed to the appropriate personnel in order to ascertain the project brief.</w:t>
            </w:r>
          </w:p>
        </w:tc>
      </w:tr>
      <w:tr w:rsidTr="006142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1.5</w:t>
            </w:r>
          </w:p>
        </w:tc>
        <w:tc>
          <w:tcPr>
            <w:tcW w:w="50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Testing parameters are established from organisational established procedures on policies and spec</w:t>
            </w:r>
            <w:r w:rsidRPr="001D080F">
              <w:t>ifications.</w:t>
            </w:r>
          </w:p>
        </w:tc>
      </w:tr>
      <w:tr w:rsidTr="006142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1.6</w:t>
            </w:r>
          </w:p>
        </w:tc>
        <w:tc>
          <w:tcPr>
            <w:tcW w:w="50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Equipment/tools and personal protective equipment are selected based on specified Performance Criteria and established procedures.</w:t>
            </w:r>
          </w:p>
        </w:tc>
      </w:tr>
      <w:tr w:rsidTr="006142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1.7</w:t>
            </w:r>
          </w:p>
        </w:tc>
        <w:tc>
          <w:tcPr>
            <w:tcW w:w="50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Work roles and tasks are allocated according to requirements and individuals' competencies.</w:t>
            </w:r>
          </w:p>
        </w:tc>
      </w:tr>
      <w:tr w:rsidTr="006142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1.8</w:t>
            </w:r>
          </w:p>
        </w:tc>
        <w:tc>
          <w:tcPr>
            <w:tcW w:w="50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Work is prioritised and sequenced for the most efficient/effective outcome, completed within an acceptable timeframe to a quality standard and in accordance with established procedures.</w:t>
            </w:r>
          </w:p>
        </w:tc>
      </w:tr>
      <w:tr w:rsidTr="006142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1.9</w:t>
            </w:r>
          </w:p>
        </w:tc>
        <w:tc>
          <w:tcPr>
            <w:tcW w:w="50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Liaison and communication issues with other/authorised personne</w:t>
            </w:r>
            <w:r w:rsidRPr="001D080F">
              <w:t>l, authorities, clients and land owners are resolved and activities coordinated to carry out work.</w:t>
            </w:r>
          </w:p>
        </w:tc>
      </w:tr>
      <w:tr w:rsidTr="006142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1.10</w:t>
            </w:r>
          </w:p>
        </w:tc>
        <w:tc>
          <w:tcPr>
            <w:tcW w:w="50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Risk control measures are identified, prioritised and evaluated against the work schedule.</w:t>
            </w:r>
          </w:p>
        </w:tc>
      </w:tr>
      <w:tr w:rsidTr="006142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1.11</w:t>
            </w:r>
          </w:p>
        </w:tc>
        <w:tc>
          <w:tcPr>
            <w:tcW w:w="50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Relevant work permits are secured to coordinate th</w:t>
            </w:r>
            <w:r w:rsidRPr="001D080F">
              <w:t>e performance of work according to requirements and/or established procedures.</w:t>
            </w:r>
          </w:p>
        </w:tc>
      </w:tr>
      <w:tr w:rsidTr="006142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2</w:t>
            </w:r>
          </w:p>
        </w:tc>
        <w:tc>
          <w:tcPr>
            <w:tcW w:w="2296" w:type="dxa"/>
            <w:vMerge w:val="restart"/>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Carry out the management of HV Distribution and Sub transmission network demand</w:t>
            </w:r>
          </w:p>
        </w:tc>
        <w:tc>
          <w:tcPr>
            <w:tcW w:w="90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2.1</w:t>
            </w:r>
          </w:p>
        </w:tc>
        <w:tc>
          <w:tcPr>
            <w:tcW w:w="50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Circui</w:t>
            </w:r>
            <w:r w:rsidRPr="001D080F">
              <w:t>t/systems modelling is used to evaluate alternative proposals as per established procedures.</w:t>
            </w:r>
          </w:p>
        </w:tc>
      </w:tr>
      <w:tr w:rsidTr="006142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2.2</w:t>
            </w:r>
          </w:p>
        </w:tc>
        <w:tc>
          <w:tcPr>
            <w:tcW w:w="50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OHS and sustainable energy principles, functionality and practices to reduce the incidents of accidents and minimise waste are incorporated into the project</w:t>
            </w:r>
            <w:r w:rsidRPr="001D080F">
              <w:t xml:space="preserve"> in accordance with requirements and/or established procedures.</w:t>
            </w:r>
          </w:p>
        </w:tc>
      </w:tr>
      <w:tr w:rsidTr="006142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2.3</w:t>
            </w:r>
          </w:p>
        </w:tc>
        <w:tc>
          <w:tcPr>
            <w:tcW w:w="50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 xml:space="preserve">Management of HV Distribution and Sub transmission network demand decisions are made on the basis of safety and effective outcomes according </w:t>
            </w:r>
            <w:r w:rsidRPr="001D080F">
              <w:t>to requirements and/or established procedures.</w:t>
            </w:r>
          </w:p>
        </w:tc>
      </w:tr>
      <w:tr w:rsidTr="006142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2.4</w:t>
            </w:r>
          </w:p>
        </w:tc>
        <w:tc>
          <w:tcPr>
            <w:tcW w:w="50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Mathematical models of the HV Distribution and Sub transmission network demand are used to analyse the effectiveness of the finished project as per requirements and established procedures.</w:t>
            </w:r>
          </w:p>
        </w:tc>
      </w:tr>
      <w:tr w:rsidTr="006142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2.5</w:t>
            </w:r>
          </w:p>
        </w:tc>
        <w:tc>
          <w:tcPr>
            <w:tcW w:w="50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Techni</w:t>
            </w:r>
            <w:r w:rsidRPr="001D080F">
              <w:t>cal advice is given regarding potential hazards, safety risks and control measures so that monitoring and preventative action can be undertaken and/or appropriate authorities consulted, where necessary, in accordance with requirements and established proce</w:t>
            </w:r>
            <w:r w:rsidRPr="001D080F">
              <w:t>dures.</w:t>
            </w:r>
          </w:p>
        </w:tc>
      </w:tr>
      <w:tr w:rsidTr="006142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2.6</w:t>
            </w:r>
          </w:p>
        </w:tc>
        <w:tc>
          <w:tcPr>
            <w:tcW w:w="50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Essential knowledge and associated skills are applied to analyse specific data and compare it with compliance specifications to ensure completion of the project within an agreed timeframe according to requirements.</w:t>
            </w:r>
          </w:p>
        </w:tc>
      </w:tr>
      <w:tr w:rsidTr="006142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2.7</w:t>
            </w:r>
          </w:p>
        </w:tc>
        <w:tc>
          <w:tcPr>
            <w:tcW w:w="50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Testing of HV Distribution and Sub transmission network demand is undertaken according to requirements and established procedures.</w:t>
            </w:r>
          </w:p>
        </w:tc>
      </w:tr>
      <w:tr w:rsidTr="006142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2.8</w:t>
            </w:r>
          </w:p>
        </w:tc>
        <w:tc>
          <w:tcPr>
            <w:tcW w:w="50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Work teams/groups are arranged/coordinated/evaluated to ensure planned goals are met according to established procedur</w:t>
            </w:r>
            <w:r w:rsidRPr="001D080F">
              <w:t>es.</w:t>
            </w:r>
          </w:p>
        </w:tc>
      </w:tr>
      <w:tr w:rsidTr="006142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2.9</w:t>
            </w:r>
          </w:p>
        </w:tc>
        <w:tc>
          <w:tcPr>
            <w:tcW w:w="50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Solutions to non-routine problems are identified and actioned, using acquired essential knowledge and associated skills, according to requirements.</w:t>
            </w:r>
          </w:p>
        </w:tc>
      </w:tr>
      <w:tr w:rsidTr="006142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2.10</w:t>
            </w:r>
          </w:p>
        </w:tc>
        <w:tc>
          <w:tcPr>
            <w:tcW w:w="50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Quality of work is monitored against personal performance agreement and/or established organisational and professional standards.</w:t>
            </w:r>
          </w:p>
        </w:tc>
      </w:tr>
      <w:tr w:rsidTr="006142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2.11</w:t>
            </w:r>
          </w:p>
        </w:tc>
        <w:tc>
          <w:tcPr>
            <w:tcW w:w="50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Strategic plans are developed incorporating organisation initiatives as per established procedures.</w:t>
            </w:r>
          </w:p>
        </w:tc>
      </w:tr>
      <w:tr w:rsidTr="006142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3</w:t>
            </w:r>
          </w:p>
        </w:tc>
        <w:tc>
          <w:tcPr>
            <w:tcW w:w="2296" w:type="dxa"/>
            <w:vMerge w:val="restart"/>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Complete the ma</w:t>
            </w:r>
            <w:r w:rsidRPr="001D080F">
              <w:t>nagement of HV Distribution and Sub transmission network demand</w:t>
            </w:r>
          </w:p>
        </w:tc>
        <w:tc>
          <w:tcPr>
            <w:tcW w:w="90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3.1</w:t>
            </w:r>
          </w:p>
        </w:tc>
        <w:tc>
          <w:tcPr>
            <w:tcW w:w="50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Final inspections of the network demand are undertaken to ensure they comply with all requirements and include all specifications and documentations needed to complete the project.</w:t>
            </w:r>
          </w:p>
        </w:tc>
      </w:tr>
      <w:tr w:rsidTr="006142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3.2</w:t>
            </w:r>
          </w:p>
        </w:tc>
        <w:tc>
          <w:tcPr>
            <w:tcW w:w="50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Appropriate personnel are notified of completion and reports and/or completion documents are finalised/commissioned.</w:t>
            </w:r>
          </w:p>
        </w:tc>
      </w:tr>
      <w:tr w:rsidTr="006142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3.3</w:t>
            </w:r>
          </w:p>
        </w:tc>
        <w:tc>
          <w:tcPr>
            <w:tcW w:w="50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 xml:space="preserve">Reports and/or completion documents are submitted to relevant personnel/organisations for approval and, where applicable, statutory </w:t>
            </w:r>
            <w:r w:rsidRPr="001D080F">
              <w:t>or regulatory approval.</w:t>
            </w:r>
          </w:p>
        </w:tc>
      </w:tr>
      <w:tr w:rsidTr="0061421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3.4</w:t>
            </w:r>
          </w:p>
        </w:tc>
        <w:tc>
          <w:tcPr>
            <w:tcW w:w="5040" w:type="dxa"/>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t>Approved copies of the managed HV distribution and Sub transmission network demand documents are issued and records are updated in accordance with established procedures.</w:t>
            </w:r>
          </w:p>
        </w:tc>
      </w:tr>
    </w:tbl>
    <w:p w:rsidR="00614214" w:rsidP="001D080F">
      <w:pPr>
        <w:pStyle w:val="BodyText"/>
      </w:pPr>
    </w:p>
    <w:p w:rsidR="00614214" w:rsidP="001D080F">
      <w:pPr>
        <w:pStyle w:val="BodyText"/>
      </w:pPr>
    </w:p>
    <w:p w:rsidR="00000000" w:rsidRPr="001D080F" w:rsidP="001D080F">
      <w:pPr>
        <w:pStyle w:val="Heading1"/>
      </w:pPr>
      <w:bookmarkStart w:id="9" w:name="O_264045"/>
      <w:bookmarkEnd w:id="9"/>
      <w:r w:rsidRPr="001D080F">
        <w:t>Required Skills and Knowledge</w:t>
      </w:r>
    </w:p>
    <w:tbl>
      <w:tblPr>
        <w:tblW w:w="0" w:type="auto"/>
        <w:tblLayout w:type="fixed"/>
        <w:tblCellMar>
          <w:left w:w="62" w:type="dxa"/>
          <w:right w:w="62" w:type="dxa"/>
        </w:tblCellMar>
        <w:tblLook w:val="0000"/>
      </w:tblPr>
      <w:tblGrid>
        <w:gridCol w:w="2700"/>
        <w:gridCol w:w="1080"/>
        <w:gridCol w:w="4860"/>
      </w:tblGrid>
      <w:tr w:rsidTr="00614214">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rPr>
                <w:rStyle w:val="SpecialBold"/>
              </w:rPr>
              <w:t>REQUIRED SKILLS AND KNOWLEDGE</w:t>
            </w:r>
          </w:p>
        </w:tc>
      </w:tr>
      <w:tr w:rsidTr="0061421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rPr>
                <w:rStyle w:val="SpecialBold"/>
              </w:rPr>
              <w:t>7</w:t>
            </w:r>
            <w:r w:rsidRPr="001D080F">
              <w:t xml:space="preserve">) </w:t>
            </w:r>
            <w:r w:rsidRPr="001D080F">
              <w:rPr>
                <w:rStyle w:val="SpecialBold"/>
              </w:rPr>
              <w:t>Essential Knowledge and Associated Skills</w:t>
            </w:r>
            <w:r w:rsidRPr="001D080F">
              <w:t xml:space="preserve"> (</w:t>
            </w:r>
            <w:r w:rsidRPr="001D080F">
              <w:rPr>
                <w:rStyle w:val="SpecialBold"/>
              </w:rPr>
              <w:t>EKAS</w:t>
            </w:r>
            <w:r w:rsidRPr="001D080F">
              <w:t>): This describes the essential skills and knowledge and their level, required for this unit.</w:t>
            </w:r>
          </w:p>
        </w:tc>
      </w:tr>
      <w:tr w:rsidTr="0061421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t>Evidence shall show that knowledge has been acquired of managing HV distribu</w:t>
            </w:r>
            <w:r w:rsidRPr="001D080F">
              <w:t>tion and sub transmission network demand.</w:t>
            </w:r>
          </w:p>
          <w:p w:rsidR="00000000" w:rsidRPr="001D080F" w:rsidP="001D080F">
            <w:pPr>
              <w:pStyle w:val="BodyText"/>
            </w:pPr>
            <w:r w:rsidRPr="001D080F">
              <w:t>All knowledge and skills detailed in this unit should be contextualised to current industry practices and technologies.</w:t>
            </w:r>
          </w:p>
          <w:p w:rsidR="00000000" w:rsidP="001D080F">
            <w:pPr>
              <w:pStyle w:val="BodyText"/>
              <w:rPr>
                <w:lang w:val="en-NZ"/>
              </w:rPr>
            </w:pPr>
            <w:r w:rsidRPr="001D080F">
              <w:t>The extent of the essential knowledge and associated skills (EKAS) required is given in Volume</w:t>
            </w:r>
            <w:r w:rsidRPr="001D080F">
              <w:t xml:space="preserve"> 2 - Part 2.2 EKAS. It forms an integral part of this unit.</w:t>
            </w:r>
          </w:p>
        </w:tc>
      </w:tr>
      <w:tr w:rsidTr="006142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 xml:space="preserve">E2.18.1 </w:t>
            </w:r>
          </w:p>
        </w:tc>
        <w:tc>
          <w:tcPr>
            <w:tcW w:w="486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Occupational Health and Safety principles</w:t>
            </w:r>
          </w:p>
        </w:tc>
      </w:tr>
      <w:tr w:rsidTr="006142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E2.18.2</w:t>
            </w:r>
          </w:p>
        </w:tc>
        <w:tc>
          <w:tcPr>
            <w:tcW w:w="486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Electrical safe working practice</w:t>
            </w:r>
          </w:p>
        </w:tc>
      </w:tr>
      <w:tr w:rsidTr="006142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T2.8.16</w:t>
            </w:r>
          </w:p>
        </w:tc>
        <w:tc>
          <w:tcPr>
            <w:tcW w:w="486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Enterprise specific  procedures and work practices relating to managing network demand</w:t>
            </w:r>
          </w:p>
        </w:tc>
      </w:tr>
      <w:tr w:rsidTr="006142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T2.8.17</w:t>
            </w:r>
          </w:p>
        </w:tc>
        <w:tc>
          <w:tcPr>
            <w:tcW w:w="486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Enterprise specific - effective management and communication</w:t>
            </w:r>
          </w:p>
        </w:tc>
      </w:tr>
      <w:tr w:rsidTr="006142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T2.8.18</w:t>
            </w:r>
          </w:p>
        </w:tc>
        <w:tc>
          <w:tcPr>
            <w:tcW w:w="4860" w:type="dxa"/>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t>Enterprise specific - write management reports</w:t>
            </w:r>
          </w:p>
        </w:tc>
      </w:tr>
    </w:tbl>
    <w:p w:rsidR="00614214" w:rsidP="001D080F">
      <w:pPr>
        <w:pStyle w:val="BodyText"/>
      </w:pPr>
    </w:p>
    <w:p w:rsidR="00614214" w:rsidP="001D080F">
      <w:pPr>
        <w:pStyle w:val="BodyText"/>
      </w:pPr>
    </w:p>
    <w:p w:rsidR="00000000" w:rsidRPr="001D080F" w:rsidP="001D080F">
      <w:pPr>
        <w:pStyle w:val="Heading1"/>
      </w:pPr>
      <w:bookmarkStart w:id="10" w:name="O_248237"/>
      <w:bookmarkEnd w:id="10"/>
      <w:r w:rsidRPr="001D080F">
        <w:t>Evidence Guide</w:t>
      </w:r>
    </w:p>
    <w:tbl>
      <w:tblPr>
        <w:tblW w:w="0" w:type="auto"/>
        <w:tblLayout w:type="fixed"/>
        <w:tblCellMar>
          <w:left w:w="62" w:type="dxa"/>
          <w:right w:w="62" w:type="dxa"/>
        </w:tblCellMar>
        <w:tblLook w:val="0000"/>
      </w:tblPr>
      <w:tblGrid>
        <w:gridCol w:w="2160"/>
        <w:gridCol w:w="720"/>
        <w:gridCol w:w="900"/>
        <w:gridCol w:w="1620"/>
        <w:gridCol w:w="3240"/>
      </w:tblGrid>
      <w:tr w:rsidTr="00614214">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rPr>
                <w:rStyle w:val="SpecialBold"/>
              </w:rPr>
              <w:t>EVIDENCE GUIDE</w:t>
            </w:r>
          </w:p>
        </w:tc>
      </w:tr>
      <w:tr w:rsidTr="00614214">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rPr>
                <w:rStyle w:val="SpecialBold"/>
              </w:rPr>
              <w:t>9</w:t>
            </w:r>
            <w:r w:rsidRPr="001D080F">
              <w:t>) This provides essen</w:t>
            </w:r>
            <w:r w:rsidRPr="001D080F">
              <w:t>tial advice for assessment of the competency standard unit and must be read in conjunction with the Performance Criteria and the Range Statement of the competency standard unit and the Training Package Assessment Guidelines.</w:t>
            </w:r>
          </w:p>
          <w:p w:rsidR="00000000" w:rsidP="001D080F">
            <w:pPr>
              <w:pStyle w:val="BodyText"/>
              <w:rPr>
                <w:lang w:val="en-NZ"/>
              </w:rPr>
            </w:pPr>
            <w:r w:rsidRPr="001D080F">
              <w:t>The Evidence Guide forms an int</w:t>
            </w:r>
            <w:r w:rsidRPr="001D080F">
              <w:t>egral part of this Competency Standard Unit and shall be used in conjunction with all component parts of this unit and, performed in accordance with the Assessment Guidelines of this Training Package.</w:t>
            </w:r>
          </w:p>
        </w:tc>
      </w:tr>
      <w:tr w:rsidTr="006142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rPr>
                <w:rStyle w:val="SpecialBold"/>
              </w:rPr>
              <w:t>Overview of Assessment</w:t>
            </w:r>
          </w:p>
        </w:tc>
        <w:tc>
          <w:tcPr>
            <w:tcW w:w="6480" w:type="dxa"/>
            <w:gridSpan w:val="4"/>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rPr>
                <w:rStyle w:val="SpecialBold"/>
              </w:rPr>
              <w:t>9</w:t>
            </w:r>
            <w:r w:rsidRPr="001D080F">
              <w:t>.</w:t>
            </w:r>
            <w:r w:rsidRPr="001D080F">
              <w:rPr>
                <w:rStyle w:val="SpecialBold"/>
              </w:rPr>
              <w:t>1</w:t>
            </w:r>
            <w:r w:rsidRPr="001D080F">
              <w:t xml:space="preserve">) </w:t>
            </w:r>
          </w:p>
          <w:p w:rsidR="00000000" w:rsidRPr="001D080F" w:rsidP="001D080F">
            <w:pPr>
              <w:pStyle w:val="BodyText"/>
            </w:pPr>
            <w:r w:rsidRPr="001D080F">
              <w:t>Longitudinal competen</w:t>
            </w:r>
            <w:r w:rsidRPr="001D080F">
              <w:t xml:space="preserve">cy development approaches to assessment, such as Profiling, require data to be reliably gathered in a form that can be consistently interpreted over time. This approach is best utilised in Apprenticeship programs and reduces assessment intervention. It is </w:t>
            </w:r>
            <w:r w:rsidRPr="001D080F">
              <w:t>the Industry's preferred model for apprenticeships. However, where summative (or final) assessment is used it is to include the application of the competency in the normal work environment or, at a minimum, the application of the competency in a realistica</w:t>
            </w:r>
            <w:r w:rsidRPr="001D080F">
              <w:t>lly simulated work environment. It is recognised that, in some circumstances, assessment in part or full can occur outside the workplace. However, it must be in accord with Industry and, Regulatory policy in this regard.</w:t>
            </w:r>
          </w:p>
          <w:p w:rsidR="00000000" w:rsidRPr="001D080F" w:rsidP="001D080F">
            <w:pPr>
              <w:pStyle w:val="BodyText"/>
            </w:pPr>
            <w:r w:rsidRPr="001D080F">
              <w:t>Methods chosen for a particular ass</w:t>
            </w:r>
            <w:r w:rsidRPr="001D080F">
              <w:t>essment will be influenced by various factors. These include the extent of the assessment, the most effective locations for the assessment activities to take place, access to physical resources, additional safety measures that may be required and the criti</w:t>
            </w:r>
            <w:r w:rsidRPr="001D080F">
              <w:t>cal nature of the competencies being assessed.</w:t>
            </w:r>
          </w:p>
          <w:p w:rsidR="00000000" w:rsidRPr="001D080F" w:rsidP="001D080F">
            <w:pPr>
              <w:pStyle w:val="BodyText"/>
            </w:pPr>
            <w:r w:rsidRPr="001D080F">
              <w:t>The critical safety nature of working with electricity, electrical equipment, gas or any other hazardous substance/material carries risk in deeming a person competent. Hence, sources of evidence need to be 'ri</w:t>
            </w:r>
            <w:r w:rsidRPr="001D080F">
              <w:t>ch' in nature so as to minimise error in judgment.</w:t>
            </w:r>
          </w:p>
          <w:p w:rsidR="00000000" w:rsidP="001D080F">
            <w:pPr>
              <w:pStyle w:val="BodyText"/>
              <w:rPr>
                <w:lang w:val="en-NZ"/>
              </w:rPr>
            </w:pPr>
            <w:r w:rsidRPr="001D080F">
              <w:t xml:space="preserve">Activities associated with normal every day work have a bearing on the decision as to how much and how detailed the data gathered will contribute to its 'richness'. Some skills are more critical to safety </w:t>
            </w:r>
            <w:r w:rsidRPr="001D080F">
              <w:t>and operational requirements while the same skills may be more or less frequently practiced. These points are raised for the assessors to consider when choosing an assessment method and developing assessment instruments. Sample assessment instruments are i</w:t>
            </w:r>
            <w:r w:rsidRPr="001D080F">
              <w:t>ncluded for Assessors in the Assessment Guidelines of this Training Package.</w:t>
            </w:r>
          </w:p>
        </w:tc>
      </w:tr>
      <w:tr w:rsidTr="0061421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rPr>
                <w:rStyle w:val="SpecialBold"/>
              </w:rPr>
              <w:t>Critical aspects of evidence required to demonstrate competency in this unit</w:t>
            </w:r>
          </w:p>
        </w:tc>
        <w:tc>
          <w:tcPr>
            <w:tcW w:w="6480" w:type="dxa"/>
            <w:gridSpan w:val="4"/>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rPr>
                <w:rStyle w:val="SpecialBold"/>
              </w:rPr>
              <w:t>9</w:t>
            </w:r>
            <w:r w:rsidRPr="001D080F">
              <w:t>.</w:t>
            </w:r>
            <w:r w:rsidRPr="001D080F">
              <w:rPr>
                <w:rStyle w:val="SpecialBold"/>
              </w:rPr>
              <w:t>2</w:t>
            </w:r>
            <w:r w:rsidRPr="001D080F">
              <w:t xml:space="preserve">) </w:t>
            </w:r>
          </w:p>
          <w:p w:rsidR="00000000" w:rsidP="001D080F">
            <w:pPr>
              <w:pStyle w:val="BodyText"/>
              <w:rPr>
                <w:lang w:val="en-NZ"/>
              </w:rPr>
            </w:pPr>
            <w:r w:rsidRPr="001D080F">
              <w:t>Before the critical aspects of evidence are considered all prerequisites shall be met.</w:t>
            </w:r>
          </w:p>
        </w:tc>
      </w:tr>
      <w:tr w:rsidTr="0061421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1D080F">
            <w:pPr>
              <w:pStyle w:val="ListBullet"/>
              <w:rPr>
                <w:lang w:val="en-NZ"/>
              </w:rPr>
            </w:pPr>
            <w:r w:rsidRPr="001D080F">
              <w:t>A</w:t>
            </w:r>
            <w:r w:rsidRPr="001D080F">
              <w:t xml:space="preserve"> representative body of Performance Criteria demonstrated within the timeframes typically expected of the discipline, work function and industrial environment. In particular this shall incorporate evidence that shows a candidate is able to:</w:t>
            </w:r>
          </w:p>
        </w:tc>
      </w:tr>
      <w:tr w:rsidTr="006142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1D080F" w:rsidP="001D080F">
            <w:pPr>
              <w:pStyle w:val="ListBullet2"/>
            </w:pPr>
            <w:r w:rsidRPr="001D080F">
              <w:t>Implement Occupational Health and Safety workplace procedures and practices including the use of risk control measures as specified in the Performance Criteria and range; and</w:t>
            </w:r>
          </w:p>
          <w:p w:rsidR="00000000" w:rsidRPr="001D080F" w:rsidP="001D080F">
            <w:pPr>
              <w:pStyle w:val="ListBullet2"/>
            </w:pPr>
            <w:r w:rsidRPr="001D080F">
              <w:t>Apply sustainable energy principles and practices as specified in the Performance Criteria and range; and</w:t>
            </w:r>
          </w:p>
          <w:p w:rsidR="00000000" w:rsidRPr="001D080F" w:rsidP="001D080F">
            <w:pPr>
              <w:pStyle w:val="ListBullet2"/>
            </w:pPr>
            <w:r w:rsidRPr="001D080F">
              <w:t xml:space="preserve">Demonstrate an understanding of the essential knowledge and associated skills described in this unit to such an extent that the learner's performance </w:t>
            </w:r>
            <w:r w:rsidRPr="001D080F">
              <w:t>outcome is reported in accordance with the preferred approach; namely a percentile graded result, where required by the regulated environment; and</w:t>
            </w:r>
          </w:p>
          <w:p w:rsidR="00000000" w:rsidRPr="001D080F" w:rsidP="001D080F">
            <w:pPr>
              <w:pStyle w:val="ListBullet2"/>
            </w:pPr>
            <w:r w:rsidRPr="001D080F">
              <w:t>Demonstrate an appropriate level of employability skills; and</w:t>
            </w:r>
          </w:p>
          <w:p w:rsidR="00000000" w:rsidP="001D080F">
            <w:pPr>
              <w:pStyle w:val="ListBullet2"/>
              <w:rPr>
                <w:lang w:val="en-NZ"/>
              </w:rPr>
            </w:pPr>
            <w:r w:rsidRPr="001D080F">
              <w:t>Conduct work observing the relevant Anti Discri</w:t>
            </w:r>
            <w:r w:rsidRPr="001D080F">
              <w:t>mination legislation, regulations, policies and workplace procedures; and</w:t>
            </w:r>
          </w:p>
        </w:tc>
      </w:tr>
      <w:tr w:rsidTr="006142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1D080F">
            <w:pPr>
              <w:pStyle w:val="ListBullet"/>
              <w:rPr>
                <w:lang w:val="en-NZ"/>
              </w:rPr>
            </w:pPr>
            <w:r w:rsidRPr="001D080F">
              <w:t>Demonstrated performance across a representative range of contexts from the prescribed items below:</w:t>
            </w:r>
          </w:p>
        </w:tc>
      </w:tr>
      <w:tr w:rsidTr="006142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1D080F">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80F">
            <w:pPr>
              <w:pStyle w:val="BodyText"/>
              <w:rPr>
                <w:lang w:val="en-NZ"/>
              </w:rPr>
            </w:pPr>
            <w:r w:rsidRPr="001D080F">
              <w:rPr>
                <w:rStyle w:val="SpecialBold"/>
              </w:rPr>
              <w:t>Range of tools</w:t>
            </w:r>
            <w:r w:rsidRPr="001D080F">
              <w:t>/</w:t>
            </w:r>
            <w:r w:rsidRPr="001D080F">
              <w:rPr>
                <w:rStyle w:val="SpecialBold"/>
              </w:rPr>
              <w:t>equipment</w:t>
            </w:r>
            <w:r w:rsidRPr="001D080F">
              <w:t>/</w:t>
            </w:r>
            <w:r w:rsidRPr="001D080F">
              <w:rPr>
                <w:rStyle w:val="SpecialBold"/>
              </w:rPr>
              <w:t>materials</w:t>
            </w:r>
            <w:r w:rsidRPr="001D080F">
              <w:t>/</w:t>
            </w:r>
            <w:r w:rsidRPr="001D080F">
              <w:rPr>
                <w:rStyle w:val="SpecialBold"/>
              </w:rPr>
              <w:t>procedures</w:t>
            </w:r>
            <w:r w:rsidRPr="001D080F">
              <w:t>/</w:t>
            </w:r>
            <w:r w:rsidRPr="001D080F">
              <w:rPr>
                <w:rStyle w:val="SpecialBold"/>
              </w:rPr>
              <w:t>workplaces</w:t>
            </w:r>
            <w:r w:rsidRPr="001D080F">
              <w:t>/</w:t>
            </w:r>
            <w:r w:rsidRPr="001D080F">
              <w:rPr>
                <w:rStyle w:val="SpecialBold"/>
              </w:rPr>
              <w:t>other variables</w:t>
            </w:r>
          </w:p>
        </w:tc>
      </w:tr>
      <w:tr w:rsidTr="006142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80F">
            <w:pPr>
              <w:pStyle w:val="BodyText"/>
              <w:rPr>
                <w:lang w:val="en-NZ"/>
              </w:rPr>
            </w:pPr>
            <w:r w:rsidRPr="001D080F">
              <w:t>Group No</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80F">
            <w:pPr>
              <w:pStyle w:val="BodyText"/>
              <w:rPr>
                <w:lang w:val="en-NZ"/>
              </w:rPr>
            </w:pPr>
            <w:r w:rsidRPr="001D080F">
              <w:t>The minimum number of items on which skill is to be demonstrated</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80F">
            <w:pPr>
              <w:pStyle w:val="BodyText"/>
              <w:rPr>
                <w:lang w:val="en-NZ"/>
              </w:rPr>
            </w:pPr>
            <w:r w:rsidRPr="001D080F">
              <w:t>Item List</w:t>
            </w:r>
          </w:p>
        </w:tc>
      </w:tr>
      <w:tr w:rsidTr="006142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80F">
            <w:pPr>
              <w:pStyle w:val="BodyText"/>
              <w:rPr>
                <w:lang w:val="en-NZ"/>
              </w:rPr>
            </w:pPr>
            <w:r w:rsidRPr="001D080F">
              <w:t>A</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80F">
            <w:pPr>
              <w:pStyle w:val="BodyText"/>
              <w:rPr>
                <w:lang w:val="en-NZ"/>
              </w:rPr>
            </w:pPr>
            <w:r w:rsidRPr="001D080F">
              <w:t>Demonstrate at least three (3) system manipulations that encompass the following:</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80F" w:rsidP="001D080F">
            <w:pPr>
              <w:pStyle w:val="BodyText"/>
            </w:pPr>
            <w:r w:rsidRPr="001D080F">
              <w:t>HV Sub transmission distribution network</w:t>
            </w:r>
          </w:p>
          <w:p w:rsidR="00000000" w:rsidRPr="001D080F" w:rsidP="001D080F">
            <w:pPr>
              <w:pStyle w:val="BodyText"/>
            </w:pPr>
            <w:r w:rsidRPr="001D080F">
              <w:t>Transmission network manipulation to control loading on equipment</w:t>
            </w:r>
          </w:p>
          <w:p w:rsidR="00000000" w:rsidRPr="001D080F" w:rsidP="001D080F">
            <w:pPr>
              <w:pStyle w:val="BodyText"/>
            </w:pPr>
            <w:r w:rsidRPr="001D080F">
              <w:t>Transformers with HV windings</w:t>
            </w:r>
          </w:p>
          <w:p w:rsidR="00000000" w:rsidRPr="001D080F" w:rsidP="001D080F">
            <w:pPr>
              <w:pStyle w:val="BodyText"/>
            </w:pPr>
            <w:r w:rsidRPr="001D080F">
              <w:t>HV Busbars</w:t>
            </w:r>
          </w:p>
          <w:p w:rsidR="00000000" w:rsidRPr="001D080F" w:rsidP="001D080F">
            <w:pPr>
              <w:pStyle w:val="BodyText"/>
            </w:pPr>
            <w:r w:rsidRPr="001D080F">
              <w:t>HV Isolators</w:t>
            </w:r>
          </w:p>
          <w:p w:rsidR="00000000" w:rsidP="001D080F">
            <w:pPr>
              <w:pStyle w:val="BodyText"/>
              <w:rPr>
                <w:lang w:val="en-NZ"/>
              </w:rPr>
            </w:pPr>
            <w:r w:rsidRPr="001D080F">
              <w:t>HV Switchgear (applicable to enterprise equipment)</w:t>
            </w:r>
          </w:p>
        </w:tc>
      </w:tr>
      <w:tr w:rsidTr="006142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80F">
            <w:pPr>
              <w:pStyle w:val="BodyText"/>
              <w:rPr>
                <w:lang w:val="en-NZ"/>
              </w:rPr>
            </w:pPr>
            <w:r w:rsidRPr="001D080F">
              <w:t>B</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80F">
            <w:pPr>
              <w:pStyle w:val="BodyText"/>
              <w:rPr>
                <w:lang w:val="en-NZ"/>
              </w:rPr>
            </w:pPr>
            <w:r w:rsidRPr="001D080F">
              <w:t>Do all of the following:</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80F" w:rsidP="001D080F">
            <w:pPr>
              <w:pStyle w:val="BodyText"/>
            </w:pPr>
            <w:r w:rsidRPr="001D080F">
              <w:t>Writing switching instructions</w:t>
            </w:r>
          </w:p>
          <w:p w:rsidR="00000000" w:rsidRPr="001D080F" w:rsidP="001D080F">
            <w:pPr>
              <w:pStyle w:val="BodyText"/>
            </w:pPr>
            <w:r w:rsidRPr="001D080F">
              <w:t>Analysis and review swit</w:t>
            </w:r>
            <w:r w:rsidRPr="001D080F">
              <w:t>ching instructions</w:t>
            </w:r>
          </w:p>
          <w:p w:rsidR="00000000" w:rsidRPr="001D080F" w:rsidP="001D080F">
            <w:pPr>
              <w:pStyle w:val="BodyText"/>
            </w:pPr>
            <w:r w:rsidRPr="001D080F">
              <w:t>Manage multiple switching instructions</w:t>
            </w:r>
          </w:p>
          <w:p w:rsidR="00000000" w:rsidRPr="001D080F" w:rsidP="001D080F">
            <w:pPr>
              <w:pStyle w:val="BodyText"/>
            </w:pPr>
            <w:r w:rsidRPr="001D080F">
              <w:t>Coordinate the status of all access permits/authorities on HV network equipment relevant to the scope</w:t>
            </w:r>
          </w:p>
          <w:p w:rsidR="00000000" w:rsidRPr="001D080F" w:rsidP="001D080F">
            <w:pPr>
              <w:pStyle w:val="BodyText"/>
            </w:pPr>
            <w:r w:rsidRPr="001D080F">
              <w:t>Ensure network plant operates within design and regulatory requirements on a real time basis</w:t>
            </w:r>
          </w:p>
          <w:p w:rsidR="00000000" w:rsidRPr="001D080F" w:rsidP="001D080F">
            <w:pPr>
              <w:pStyle w:val="BodyText"/>
            </w:pPr>
            <w:r w:rsidRPr="001D080F">
              <w:t>Cal</w:t>
            </w:r>
            <w:r w:rsidRPr="001D080F">
              <w:t>culation of line loading</w:t>
            </w:r>
          </w:p>
          <w:p w:rsidR="00000000" w:rsidRPr="001D080F" w:rsidP="001D080F">
            <w:pPr>
              <w:pStyle w:val="BodyText"/>
            </w:pPr>
            <w:r w:rsidRPr="001D080F">
              <w:t>Preparation and authorisation of HV distribution switching programs</w:t>
            </w:r>
          </w:p>
          <w:p w:rsidR="00000000" w:rsidRPr="001D080F" w:rsidP="001D080F">
            <w:pPr>
              <w:pStyle w:val="BodyText"/>
            </w:pPr>
            <w:r w:rsidRPr="001D080F">
              <w:t>Demonstrate application and administration of SCADA or equivalent.</w:t>
            </w:r>
          </w:p>
          <w:p w:rsidR="00000000" w:rsidRPr="001D080F" w:rsidP="001D080F">
            <w:pPr>
              <w:pStyle w:val="BodyText"/>
            </w:pPr>
            <w:r w:rsidRPr="001D080F">
              <w:t>Analysis, diagnosis and reporting of system failure</w:t>
            </w:r>
          </w:p>
          <w:p w:rsidR="00000000" w:rsidP="001D080F">
            <w:pPr>
              <w:pStyle w:val="BodyText"/>
              <w:rPr>
                <w:lang w:val="en-NZ"/>
              </w:rPr>
            </w:pPr>
            <w:r w:rsidRPr="001D080F">
              <w:t>Calculation and analysis of paralleling conditions on the interconnected HV system</w:t>
            </w:r>
          </w:p>
        </w:tc>
      </w:tr>
      <w:tr w:rsidTr="006142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80F">
            <w:pPr>
              <w:pStyle w:val="BodyText"/>
              <w:rPr>
                <w:lang w:val="en-NZ"/>
              </w:rPr>
            </w:pPr>
            <w:r w:rsidRPr="001D080F">
              <w:t>C</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80F">
            <w:pPr>
              <w:pStyle w:val="BodyText"/>
              <w:rPr>
                <w:lang w:val="en-NZ"/>
              </w:rPr>
            </w:pPr>
            <w:r w:rsidRPr="001D080F">
              <w:t>Prepare, write and check switching sheets to undertake all of the following:</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080F" w:rsidP="001D080F">
            <w:pPr>
              <w:pStyle w:val="BodyText"/>
            </w:pPr>
            <w:r w:rsidRPr="001D080F">
              <w:t>Manage load</w:t>
            </w:r>
          </w:p>
          <w:p w:rsidR="00000000" w:rsidRPr="001D080F" w:rsidP="001D080F">
            <w:pPr>
              <w:pStyle w:val="BodyText"/>
            </w:pPr>
            <w:r w:rsidRPr="001D080F">
              <w:t>Manage Voltage</w:t>
            </w:r>
          </w:p>
          <w:p w:rsidR="00000000" w:rsidRPr="001D080F" w:rsidP="001D080F">
            <w:pPr>
              <w:pStyle w:val="BodyText"/>
            </w:pPr>
            <w:r w:rsidRPr="001D080F">
              <w:t>Minimise loss</w:t>
            </w:r>
          </w:p>
          <w:p w:rsidR="00000000" w:rsidRPr="001D080F" w:rsidP="001D080F">
            <w:pPr>
              <w:pStyle w:val="BodyText"/>
            </w:pPr>
            <w:r w:rsidRPr="001D080F">
              <w:t>Maximise system reliability</w:t>
            </w:r>
          </w:p>
          <w:p w:rsidR="00000000" w:rsidRPr="001D080F" w:rsidP="001D080F">
            <w:pPr>
              <w:pStyle w:val="BodyText"/>
            </w:pPr>
            <w:r w:rsidRPr="001D080F">
              <w:t>Allow safe network acc</w:t>
            </w:r>
            <w:r w:rsidRPr="001D080F">
              <w:t>ess for maintenance activities</w:t>
            </w:r>
          </w:p>
          <w:p w:rsidR="00000000" w:rsidRPr="001D080F" w:rsidP="001D080F">
            <w:pPr>
              <w:pStyle w:val="BodyText"/>
            </w:pPr>
            <w:r w:rsidRPr="001D080F">
              <w:t>Allow safe network access for construction activities</w:t>
            </w:r>
          </w:p>
          <w:p w:rsidR="00000000" w:rsidP="001D080F">
            <w:pPr>
              <w:pStyle w:val="BodyText"/>
              <w:rPr>
                <w:lang w:val="en-NZ"/>
              </w:rPr>
            </w:pPr>
            <w:r w:rsidRPr="001D080F">
              <w:t>Validating fault reports arising from system disturbances</w:t>
            </w:r>
          </w:p>
        </w:tc>
      </w:tr>
      <w:tr w:rsidTr="006142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80F">
            <w:pPr>
              <w:pStyle w:val="BodyText"/>
              <w:rPr>
                <w:lang w:val="en-NZ"/>
              </w:rPr>
            </w:pPr>
            <w:r w:rsidRPr="001D080F">
              <w:t>D</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80F">
            <w:pPr>
              <w:pStyle w:val="BodyText"/>
              <w:rPr>
                <w:lang w:val="en-NZ"/>
              </w:rPr>
            </w:pPr>
            <w:r w:rsidRPr="001D080F">
              <w:t>At least one occasion</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080F">
            <w:pPr>
              <w:pStyle w:val="BodyText"/>
              <w:rPr>
                <w:lang w:val="en-NZ"/>
              </w:rPr>
            </w:pPr>
            <w:r w:rsidRPr="001D080F">
              <w:t>Dealing with an unplanned event by drawing on essential knowledge and associated skills to provide appropriate solutions incorporated in the holistic assessment with the above listed items.</w:t>
            </w:r>
          </w:p>
        </w:tc>
      </w:tr>
      <w:tr w:rsidTr="006142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rPr>
                <w:rStyle w:val="SpecialBold"/>
              </w:rPr>
              <w:t>Context of and specific resources for assessment</w:t>
            </w:r>
          </w:p>
        </w:tc>
        <w:tc>
          <w:tcPr>
            <w:tcW w:w="6480" w:type="dxa"/>
            <w:gridSpan w:val="4"/>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rPr>
                <w:rStyle w:val="SpecialBold"/>
              </w:rPr>
              <w:t>9</w:t>
            </w:r>
            <w:r w:rsidRPr="001D080F">
              <w:t>.</w:t>
            </w:r>
            <w:r w:rsidRPr="001D080F">
              <w:rPr>
                <w:rStyle w:val="SpecialBold"/>
              </w:rPr>
              <w:t>3</w:t>
            </w:r>
            <w:r w:rsidRPr="001D080F">
              <w:t xml:space="preserve">) </w:t>
            </w:r>
          </w:p>
          <w:p w:rsidR="00000000" w:rsidRPr="001D080F" w:rsidP="001D080F">
            <w:pPr>
              <w:pStyle w:val="BodyText"/>
            </w:pPr>
            <w:r w:rsidRPr="001D080F">
              <w:t xml:space="preserve">This unit </w:t>
            </w:r>
            <w:r w:rsidRPr="001D080F">
              <w:t>should be assessed as it relates to normal work practice using procedures, information and resources typical of a workplace. This should include:</w:t>
            </w:r>
          </w:p>
          <w:p w:rsidR="00000000" w:rsidRPr="001D080F" w:rsidP="001D080F">
            <w:pPr>
              <w:pStyle w:val="ListBullet"/>
            </w:pPr>
            <w:r w:rsidRPr="001D080F">
              <w:t>OHS policy and work procedures and instructions.</w:t>
            </w:r>
          </w:p>
          <w:p w:rsidR="00000000" w:rsidRPr="001D080F" w:rsidP="001D080F">
            <w:pPr>
              <w:pStyle w:val="ListBullet"/>
            </w:pPr>
            <w:r w:rsidRPr="001D080F">
              <w:t>Suitable work environment, facilities, equipment and materia</w:t>
            </w:r>
            <w:r w:rsidRPr="001D080F">
              <w:t>ls to undertake actual management of HV Distribution and Sub transmission network demand</w:t>
            </w:r>
          </w:p>
          <w:p w:rsidR="00000000" w:rsidRPr="001D080F" w:rsidP="001D080F">
            <w:pPr>
              <w:pStyle w:val="BodyText"/>
            </w:pPr>
            <w:r w:rsidRPr="001D080F">
              <w:rPr>
                <w:rStyle w:val="SpecialBold"/>
              </w:rPr>
              <w:t>Note</w:t>
            </w:r>
            <w:r w:rsidRPr="001D080F">
              <w:t>:</w:t>
            </w:r>
          </w:p>
          <w:p w:rsidR="00000000" w:rsidP="001D080F">
            <w:pPr>
              <w:pStyle w:val="BodyText"/>
              <w:rPr>
                <w:lang w:val="en-NZ"/>
              </w:rPr>
            </w:pPr>
            <w:r w:rsidRPr="001D080F">
              <w:t>Access will be needed to: relevant protection, control, metering, and alarm equipment, network drawings, computerised electrical plant control and monitoring fac</w:t>
            </w:r>
            <w:r w:rsidRPr="001D080F">
              <w:t>ilities, operational event data, enterprise operational policies, procedures and work practices and enterprise crisis management procedures.</w:t>
            </w:r>
          </w:p>
        </w:tc>
      </w:tr>
      <w:tr w:rsidTr="006142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 xml:space="preserve">In addition to the resources listed above in Context of and specific resources for assessment, evidence should show demonstrated competency working in realistic environment and a variety of conditions. </w:t>
            </w:r>
          </w:p>
        </w:tc>
      </w:tr>
      <w:tr w:rsidTr="006142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rPr>
                <w:rStyle w:val="SpecialBold"/>
              </w:rPr>
              <w:t>Method of assessment</w:t>
            </w:r>
          </w:p>
        </w:tc>
        <w:tc>
          <w:tcPr>
            <w:tcW w:w="6480" w:type="dxa"/>
            <w:gridSpan w:val="4"/>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rPr>
                <w:rStyle w:val="SpecialBold"/>
              </w:rPr>
              <w:t>9</w:t>
            </w:r>
            <w:r w:rsidRPr="001D080F">
              <w:t>.</w:t>
            </w:r>
            <w:r w:rsidRPr="001D080F">
              <w:rPr>
                <w:rStyle w:val="SpecialBold"/>
              </w:rPr>
              <w:t>4</w:t>
            </w:r>
            <w:r w:rsidRPr="001D080F">
              <w:t xml:space="preserve">) </w:t>
            </w:r>
          </w:p>
          <w:p w:rsidR="00000000" w:rsidRPr="001D080F" w:rsidP="001D080F">
            <w:pPr>
              <w:pStyle w:val="BodyText"/>
            </w:pPr>
            <w:r w:rsidRPr="001D080F">
              <w:t>This Competency Standa</w:t>
            </w:r>
            <w:r w:rsidRPr="001D080F">
              <w:t>rd Unit shall be assessed by methods given in Volume 1, Part 3 "Assessment Guidelines".</w:t>
            </w:r>
          </w:p>
          <w:p w:rsidR="00000000" w:rsidP="001D080F">
            <w:pPr>
              <w:pStyle w:val="BodyText"/>
              <w:rPr>
                <w:lang w:val="en-NZ"/>
              </w:rPr>
            </w:pPr>
            <w:r w:rsidRPr="001D080F">
              <w:t>Note:</w:t>
            </w:r>
            <w:r w:rsidRPr="001D080F">
              <w:br/>
              <w:t>Competent performance with inherent safe working practices is expected in the Transmission, Distribution and Rail Traction Industry. This requires that the specif</w:t>
            </w:r>
            <w:r w:rsidRPr="001D080F">
              <w:t>ied essential knowledge and associated skills are assessed in a structured environment which is primarily intended for learning/assessment and incorporates all necessary equipment and facilities for learners to develop and demonstrate the essential knowled</w:t>
            </w:r>
            <w:r w:rsidRPr="001D080F">
              <w:t>ge and associated  skills described in this unit.</w:t>
            </w:r>
          </w:p>
        </w:tc>
      </w:tr>
      <w:tr w:rsidTr="0061421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rPr>
                <w:rStyle w:val="SpecialBold"/>
              </w:rPr>
              <w:t>Concurrent assessment and relationship with other units</w:t>
            </w:r>
          </w:p>
        </w:tc>
        <w:tc>
          <w:tcPr>
            <w:tcW w:w="6480" w:type="dxa"/>
            <w:gridSpan w:val="4"/>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rPr>
                <w:rStyle w:val="SpecialBold"/>
              </w:rPr>
              <w:t>9</w:t>
            </w:r>
            <w:r w:rsidRPr="001D080F">
              <w:t>.</w:t>
            </w:r>
            <w:r w:rsidRPr="001D080F">
              <w:rPr>
                <w:rStyle w:val="SpecialBold"/>
              </w:rPr>
              <w:t>5</w:t>
            </w:r>
            <w:r w:rsidRPr="001D080F">
              <w:t>)</w:t>
            </w:r>
          </w:p>
        </w:tc>
      </w:tr>
      <w:tr w:rsidTr="0061421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t>There are no concurrent assessment recommendations for this unit.</w:t>
            </w:r>
          </w:p>
        </w:tc>
      </w:tr>
    </w:tbl>
    <w:p w:rsidR="00614214" w:rsidP="001D080F">
      <w:pPr>
        <w:pStyle w:val="BodyText"/>
      </w:pPr>
    </w:p>
    <w:p w:rsidR="00614214" w:rsidP="001D080F">
      <w:pPr>
        <w:pStyle w:val="BodyText"/>
      </w:pPr>
    </w:p>
    <w:p w:rsidR="00000000" w:rsidRPr="001D080F" w:rsidP="001D080F">
      <w:pPr>
        <w:pStyle w:val="Heading1"/>
      </w:pPr>
      <w:bookmarkStart w:id="11" w:name="O_256221"/>
      <w:bookmarkEnd w:id="11"/>
      <w:r w:rsidRPr="001D080F">
        <w:t>Range Statement</w:t>
      </w:r>
    </w:p>
    <w:tbl>
      <w:tblPr>
        <w:tblW w:w="0" w:type="auto"/>
        <w:tblLayout w:type="fixed"/>
        <w:tblCellMar>
          <w:left w:w="62" w:type="dxa"/>
          <w:right w:w="62" w:type="dxa"/>
        </w:tblCellMar>
        <w:tblLook w:val="0000"/>
      </w:tblPr>
      <w:tblGrid>
        <w:gridCol w:w="2160"/>
        <w:gridCol w:w="6480"/>
      </w:tblGrid>
      <w:tr w:rsidTr="00614214">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rPr>
                <w:rStyle w:val="SpecialBold"/>
              </w:rPr>
              <w:t>RANGE STATEMENT</w:t>
            </w:r>
          </w:p>
        </w:tc>
      </w:tr>
      <w:tr w:rsidTr="0061421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rPr>
                <w:rStyle w:val="SpecialBold"/>
              </w:rPr>
              <w:t>8</w:t>
            </w:r>
            <w:r w:rsidRPr="001D080F">
              <w:t>) This relates to the competency standard unit as a whole providing the range of contexts and conditions to which the Performance Criteria apply. It allows for different work environments and situations that will affect performance.</w:t>
            </w:r>
          </w:p>
        </w:tc>
      </w:tr>
      <w:tr w:rsidTr="0061421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t>This Competency Stand</w:t>
            </w:r>
            <w:r w:rsidRPr="001D080F">
              <w:t>ard Unit shall/may be demonstrated in relation to the management of a HV components with due regard to the loadings and prevailing network and shall/may be demonstrated using the following:</w:t>
            </w:r>
          </w:p>
          <w:p w:rsidR="00000000" w:rsidRPr="001D080F" w:rsidP="001D080F">
            <w:pPr>
              <w:pStyle w:val="BodyText"/>
            </w:pPr>
            <w:r w:rsidRPr="001D080F">
              <w:t>HV Distribution feeders/distribution network; transformers or regu</w:t>
            </w:r>
            <w:r w:rsidRPr="001D080F">
              <w:t>lators with HV windings; HV busbars; HV isolators; HV Switchgear (applicable to enterprise equipment); switching instructions (applicable to enterprise equipment); computers (applicable to enterprise equipment); network diagrams (applicable to enterprise e</w:t>
            </w:r>
            <w:r w:rsidRPr="001D080F">
              <w:t>quipment)</w:t>
            </w:r>
          </w:p>
          <w:p w:rsidR="00000000" w:rsidP="001D080F">
            <w:pPr>
              <w:pStyle w:val="BodyText"/>
              <w:rPr>
                <w:lang w:val="en-NZ"/>
              </w:rPr>
            </w:pPr>
            <w:r w:rsidRPr="001D080F">
              <w:t>The following constants and variables included in the Element/Performance Criteria in this unit are fully described in the Definitions Section 1 of this volume and form an integral part of the Range Statement of this unit:</w:t>
            </w:r>
          </w:p>
        </w:tc>
      </w:tr>
      <w:tr w:rsidTr="0061421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1D080F" w:rsidP="001D080F">
            <w:pPr>
              <w:pStyle w:val="ListBullet"/>
            </w:pPr>
            <w:r w:rsidRPr="001D080F">
              <w:t>Appropriate and rel</w:t>
            </w:r>
            <w:r w:rsidRPr="001D080F">
              <w:t>evant persons (see Personnel)</w:t>
            </w:r>
          </w:p>
          <w:p w:rsidR="00000000" w:rsidRPr="001D080F" w:rsidP="001D080F">
            <w:pPr>
              <w:pStyle w:val="ListBullet"/>
            </w:pPr>
            <w:r w:rsidRPr="001D080F">
              <w:t>Appropriate authorities</w:t>
            </w:r>
          </w:p>
          <w:p w:rsidR="00000000" w:rsidRPr="001D080F" w:rsidP="001D080F">
            <w:pPr>
              <w:pStyle w:val="ListBullet"/>
            </w:pPr>
            <w:r w:rsidRPr="001D080F">
              <w:t>Appropriate work platform</w:t>
            </w:r>
          </w:p>
          <w:p w:rsidR="00000000" w:rsidRPr="001D080F" w:rsidP="001D080F">
            <w:pPr>
              <w:pStyle w:val="ListBullet"/>
            </w:pPr>
            <w:r w:rsidRPr="001D080F">
              <w:t>Assessing risk</w:t>
            </w:r>
          </w:p>
          <w:p w:rsidR="00000000" w:rsidRPr="001D080F" w:rsidP="001D080F">
            <w:pPr>
              <w:pStyle w:val="ListBullet"/>
            </w:pPr>
            <w:r w:rsidRPr="001D080F">
              <w:t>Assessment</w:t>
            </w:r>
          </w:p>
          <w:p w:rsidR="00000000" w:rsidRPr="001D080F" w:rsidP="001D080F">
            <w:pPr>
              <w:pStyle w:val="ListBullet"/>
            </w:pPr>
            <w:r w:rsidRPr="001D080F">
              <w:t>Authorisation</w:t>
            </w:r>
          </w:p>
          <w:p w:rsidR="00000000" w:rsidRPr="001D080F" w:rsidP="001D080F">
            <w:pPr>
              <w:pStyle w:val="ListBullet"/>
            </w:pPr>
            <w:r w:rsidRPr="001D080F">
              <w:t>Confined space</w:t>
            </w:r>
          </w:p>
          <w:p w:rsidR="00000000" w:rsidRPr="001D080F" w:rsidP="001D080F">
            <w:pPr>
              <w:pStyle w:val="ListBullet"/>
            </w:pPr>
            <w:r w:rsidRPr="001D080F">
              <w:t>Diagnostic, testing and restoration</w:t>
            </w:r>
          </w:p>
          <w:p w:rsidR="00000000" w:rsidRPr="001D080F" w:rsidP="001D080F">
            <w:pPr>
              <w:pStyle w:val="ListBullet"/>
            </w:pPr>
            <w:r w:rsidRPr="001D080F">
              <w:t>Documenting detail work events, record keeping and or storage of information</w:t>
            </w:r>
          </w:p>
          <w:p w:rsidR="00000000" w:rsidRPr="001D080F" w:rsidP="001D080F">
            <w:pPr>
              <w:pStyle w:val="ListBullet"/>
            </w:pPr>
            <w:r w:rsidRPr="001D080F">
              <w:t>Drawings and specifications</w:t>
            </w:r>
          </w:p>
          <w:p w:rsidR="00000000" w:rsidRPr="001D080F" w:rsidP="001D080F">
            <w:pPr>
              <w:pStyle w:val="ListBullet"/>
            </w:pPr>
            <w:r w:rsidRPr="001D080F">
              <w:t>Emergency</w:t>
            </w:r>
          </w:p>
          <w:p w:rsidR="00000000" w:rsidRPr="001D080F" w:rsidP="001D080F">
            <w:pPr>
              <w:pStyle w:val="ListBullet"/>
            </w:pPr>
            <w:r w:rsidRPr="001D080F">
              <w:t>Environmental and sustainable energy procedures</w:t>
            </w:r>
          </w:p>
          <w:p w:rsidR="00000000" w:rsidRPr="001D080F" w:rsidP="001D080F">
            <w:pPr>
              <w:pStyle w:val="ListBullet"/>
            </w:pPr>
            <w:r w:rsidRPr="001D080F">
              <w:t>Environmental legislation</w:t>
            </w:r>
          </w:p>
          <w:p w:rsidR="00000000" w:rsidRPr="001D080F" w:rsidP="001D080F">
            <w:pPr>
              <w:pStyle w:val="ListBullet"/>
            </w:pPr>
            <w:r w:rsidRPr="001D080F">
              <w:t>Environmental management documentation</w:t>
            </w:r>
          </w:p>
          <w:p w:rsidR="00000000" w:rsidRPr="001D080F" w:rsidP="001D080F">
            <w:pPr>
              <w:pStyle w:val="ListBullet"/>
            </w:pPr>
            <w:r w:rsidRPr="001D080F">
              <w:t>Established procedures</w:t>
            </w:r>
          </w:p>
          <w:p w:rsidR="00000000" w:rsidRPr="001D080F" w:rsidP="001D080F">
            <w:pPr>
              <w:pStyle w:val="ListBullet"/>
            </w:pPr>
            <w:r w:rsidRPr="001D080F">
              <w:t>Fall prevention</w:t>
            </w:r>
          </w:p>
          <w:p w:rsidR="00000000" w:rsidRPr="001D080F" w:rsidP="001D080F">
            <w:pPr>
              <w:pStyle w:val="ListBullet"/>
            </w:pPr>
            <w:r w:rsidRPr="001D080F">
              <w:t>Hazards</w:t>
            </w:r>
          </w:p>
          <w:p w:rsidR="00000000" w:rsidRPr="001D080F" w:rsidP="001D080F">
            <w:pPr>
              <w:pStyle w:val="ListBullet"/>
            </w:pPr>
            <w:r w:rsidRPr="001D080F">
              <w:t>Identifying hazards</w:t>
            </w:r>
          </w:p>
          <w:p w:rsidR="00000000" w:rsidRPr="001D080F" w:rsidP="001D080F">
            <w:pPr>
              <w:pStyle w:val="ListBullet"/>
            </w:pPr>
            <w:r w:rsidRPr="001D080F">
              <w:t>Inspect</w:t>
            </w:r>
          </w:p>
          <w:p w:rsidR="00000000" w:rsidRPr="001D080F" w:rsidP="001D080F">
            <w:pPr>
              <w:pStyle w:val="ListBullet"/>
            </w:pPr>
            <w:r w:rsidRPr="001D080F">
              <w:t>Legislation</w:t>
            </w:r>
          </w:p>
          <w:p w:rsidR="00000000" w:rsidRPr="001D080F" w:rsidP="001D080F">
            <w:pPr>
              <w:pStyle w:val="ListBullet"/>
            </w:pPr>
            <w:r w:rsidRPr="001D080F">
              <w:t>MSDS</w:t>
            </w:r>
          </w:p>
          <w:p w:rsidR="00000000" w:rsidRPr="001D080F" w:rsidP="001D080F">
            <w:pPr>
              <w:pStyle w:val="ListBullet"/>
            </w:pPr>
            <w:r w:rsidRPr="001D080F">
              <w:t>Notification.</w:t>
            </w:r>
          </w:p>
          <w:p w:rsidR="00000000" w:rsidRPr="001D080F" w:rsidP="001D080F">
            <w:pPr>
              <w:pStyle w:val="ListBullet"/>
            </w:pPr>
            <w:r w:rsidRPr="001D080F">
              <w:t>OHS practices</w:t>
            </w:r>
          </w:p>
          <w:p w:rsidR="00000000" w:rsidRPr="001D080F" w:rsidP="001D080F">
            <w:pPr>
              <w:pStyle w:val="ListBullet"/>
            </w:pPr>
            <w:r w:rsidRPr="001D080F">
              <w:t>OHS issues</w:t>
            </w:r>
          </w:p>
          <w:p w:rsidR="00000000" w:rsidRPr="001D080F" w:rsidP="001D080F">
            <w:pPr>
              <w:pStyle w:val="ListBullet"/>
            </w:pPr>
            <w:r w:rsidRPr="001D080F">
              <w:t>Permits and/or permits to work</w:t>
            </w:r>
          </w:p>
          <w:p w:rsidR="00000000" w:rsidRPr="001D080F" w:rsidP="001D080F">
            <w:pPr>
              <w:pStyle w:val="ListBullet"/>
            </w:pPr>
            <w:r w:rsidRPr="001D080F">
              <w:t>Personnel</w:t>
            </w:r>
          </w:p>
          <w:p w:rsidR="00000000" w:rsidRPr="001D080F" w:rsidP="001D080F">
            <w:pPr>
              <w:pStyle w:val="ListBullet"/>
            </w:pPr>
            <w:r w:rsidRPr="001D080F">
              <w:t>Quality assurance systems</w:t>
            </w:r>
          </w:p>
          <w:p w:rsidR="00000000" w:rsidRPr="001D080F" w:rsidP="001D080F">
            <w:pPr>
              <w:pStyle w:val="ListBullet"/>
            </w:pPr>
            <w:r w:rsidRPr="001D080F">
              <w:t>Requirements</w:t>
            </w:r>
          </w:p>
          <w:p w:rsidR="00000000" w:rsidRPr="001D080F" w:rsidP="001D080F">
            <w:pPr>
              <w:pStyle w:val="ListBullet"/>
            </w:pPr>
            <w:r w:rsidRPr="001D080F">
              <w:t>Testing procedures</w:t>
            </w:r>
          </w:p>
          <w:p w:rsidR="00000000" w:rsidRPr="001D080F" w:rsidP="001D080F">
            <w:pPr>
              <w:pStyle w:val="ListBullet"/>
            </w:pPr>
            <w:r w:rsidRPr="001D080F">
              <w:t>Work clearance systems</w:t>
            </w:r>
          </w:p>
        </w:tc>
      </w:tr>
    </w:tbl>
    <w:p w:rsidR="00614214" w:rsidP="001D080F">
      <w:pPr>
        <w:pStyle w:val="BodyText"/>
      </w:pPr>
    </w:p>
    <w:p w:rsidR="00614214" w:rsidP="001D080F">
      <w:pPr>
        <w:pStyle w:val="BodyText"/>
      </w:pPr>
    </w:p>
    <w:p w:rsidR="00000000" w:rsidRPr="001D080F" w:rsidP="001D080F">
      <w:pPr>
        <w:pStyle w:val="Heading1"/>
      </w:pPr>
      <w:bookmarkStart w:id="12" w:name="O_297234"/>
      <w:bookmarkEnd w:id="12"/>
      <w:r w:rsidRPr="001D080F">
        <w:t>Unit Sector(s)</w:t>
      </w:r>
    </w:p>
    <w:p w:rsidR="00000000" w:rsidRPr="001D080F" w:rsidP="001D080F">
      <w:pPr>
        <w:pStyle w:val="BodyText"/>
      </w:pPr>
      <w:r w:rsidRPr="001D080F">
        <w:t>Not Applicable</w:t>
      </w:r>
    </w:p>
    <w:p w:rsidR="00000000" w:rsidRPr="001D080F" w:rsidP="001D080F">
      <w:pPr>
        <w:pStyle w:val="AllowPageBreak"/>
      </w:pPr>
    </w:p>
    <w:p w:rsidR="00000000" w:rsidRPr="001D080F" w:rsidP="001D080F">
      <w:pPr>
        <w:pStyle w:val="Heading1"/>
      </w:pPr>
      <w:bookmarkStart w:id="13" w:name="O_231931"/>
      <w:bookmarkEnd w:id="13"/>
      <w:r w:rsidRPr="001D080F">
        <w:t>Custom Content Section</w:t>
      </w:r>
    </w:p>
    <w:tbl>
      <w:tblPr>
        <w:tblW w:w="0" w:type="auto"/>
        <w:tblLayout w:type="fixed"/>
        <w:tblCellMar>
          <w:left w:w="62" w:type="dxa"/>
          <w:right w:w="62" w:type="dxa"/>
        </w:tblCellMar>
        <w:tblLook w:val="0000"/>
      </w:tblPr>
      <w:tblGrid>
        <w:gridCol w:w="1438"/>
        <w:gridCol w:w="1171"/>
        <w:gridCol w:w="1722"/>
        <w:gridCol w:w="1171"/>
        <w:gridCol w:w="1705"/>
        <w:gridCol w:w="1433"/>
      </w:tblGrid>
      <w:tr w:rsidTr="00614214">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rPr>
                <w:rStyle w:val="SpecialBold"/>
              </w:rPr>
              <w:t>2</w:t>
            </w:r>
            <w:r w:rsidRPr="001D080F">
              <w:t>.</w:t>
            </w:r>
            <w:r w:rsidRPr="001D080F">
              <w:rPr>
                <w:rStyle w:val="SpecialBold"/>
              </w:rPr>
              <w:t>2</w:t>
            </w:r>
            <w:r w:rsidRPr="001D080F">
              <w:t xml:space="preserve">) </w:t>
            </w:r>
            <w:r w:rsidRPr="001D080F">
              <w:rPr>
                <w:rStyle w:val="SpecialBold"/>
              </w:rPr>
              <w:t>Literacy and numeracy skills</w:t>
            </w:r>
          </w:p>
          <w:p w:rsidR="00000000" w:rsidP="001D080F">
            <w:pPr>
              <w:pStyle w:val="BodyText"/>
              <w:rPr>
                <w:lang w:val="en-NZ"/>
              </w:rPr>
            </w:pPr>
            <w:r w:rsidRPr="001D080F">
              <w:t>Participants are best equipped to achieve this unit if they have reading, writing and numeracy skills indicated by the following scales. Description of each scale is given in Volume 2, Part 3 "Literacy and Numeracy"</w:t>
            </w:r>
          </w:p>
        </w:tc>
      </w:tr>
      <w:tr w:rsidTr="00614214">
        <w:tblPrEx>
          <w:tblW w:w="0" w:type="auto"/>
          <w:tblLayout w:type="fixed"/>
          <w:tblCellMar>
            <w:left w:w="62" w:type="dxa"/>
            <w:right w:w="62" w:type="dxa"/>
          </w:tblCellMar>
          <w:tblLook w:val="0000"/>
        </w:tblPrEx>
        <w:tc>
          <w:tcPr>
            <w:tcW w:w="1438"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Readi</w:t>
            </w:r>
            <w:r w:rsidRPr="001D080F">
              <w:t>ng</w:t>
            </w:r>
          </w:p>
        </w:tc>
        <w:tc>
          <w:tcPr>
            <w:tcW w:w="1171"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5</w:t>
            </w:r>
          </w:p>
        </w:tc>
        <w:tc>
          <w:tcPr>
            <w:tcW w:w="1722"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Writing</w:t>
            </w:r>
          </w:p>
        </w:tc>
        <w:tc>
          <w:tcPr>
            <w:tcW w:w="1171"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5</w:t>
            </w:r>
          </w:p>
        </w:tc>
        <w:tc>
          <w:tcPr>
            <w:tcW w:w="1705"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t>Numeracy</w:t>
            </w:r>
          </w:p>
        </w:tc>
        <w:tc>
          <w:tcPr>
            <w:tcW w:w="1433" w:type="dxa"/>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t>5</w:t>
            </w:r>
          </w:p>
        </w:tc>
      </w:tr>
    </w:tbl>
    <w:p w:rsidR="00614214" w:rsidP="001D080F">
      <w:pPr>
        <w:pStyle w:val="BodyText"/>
      </w:pPr>
    </w:p>
    <w:p w:rsidR="00614214" w:rsidP="001D080F">
      <w:pPr>
        <w:pStyle w:val="BodyText"/>
      </w:pPr>
    </w:p>
    <w:p w:rsidR="00000000" w:rsidRPr="001D080F" w:rsidP="001D080F">
      <w:pPr>
        <w:pStyle w:val="Heading1"/>
      </w:pPr>
      <w:bookmarkStart w:id="14" w:name="O_231934"/>
      <w:bookmarkEnd w:id="14"/>
      <w:r w:rsidRPr="001D080F">
        <w:t>Competency Field</w:t>
      </w:r>
    </w:p>
    <w:tbl>
      <w:tblPr>
        <w:tblW w:w="0" w:type="auto"/>
        <w:tblLayout w:type="fixed"/>
        <w:tblCellMar>
          <w:left w:w="62" w:type="dxa"/>
          <w:right w:w="62" w:type="dxa"/>
        </w:tblCellMar>
        <w:tblLook w:val="0000"/>
      </w:tblPr>
      <w:tblGrid>
        <w:gridCol w:w="2700"/>
        <w:gridCol w:w="5940"/>
      </w:tblGrid>
      <w:tr w:rsidTr="0061421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rPr>
                <w:rStyle w:val="SpecialBold"/>
              </w:rPr>
              <w:t>Competency Field</w:t>
            </w:r>
          </w:p>
        </w:tc>
        <w:tc>
          <w:tcPr>
            <w:tcW w:w="5940" w:type="dxa"/>
            <w:tcBorders>
              <w:top w:val="nil"/>
              <w:left w:val="nil"/>
              <w:bottom w:val="nil"/>
              <w:right w:val="nil"/>
            </w:tcBorders>
            <w:tcMar>
              <w:top w:w="0" w:type="dxa"/>
              <w:left w:w="62" w:type="dxa"/>
              <w:bottom w:w="0" w:type="dxa"/>
              <w:right w:w="62" w:type="dxa"/>
            </w:tcMar>
          </w:tcPr>
          <w:p w:rsidR="00000000" w:rsidP="001D080F">
            <w:pPr>
              <w:pStyle w:val="BodyText"/>
              <w:rPr>
                <w:lang w:val="en-NZ"/>
              </w:rPr>
            </w:pPr>
            <w:r w:rsidRPr="001D080F">
              <w:rPr>
                <w:rStyle w:val="SpecialBold"/>
              </w:rPr>
              <w:t>5</w:t>
            </w:r>
            <w:r w:rsidRPr="001D080F">
              <w:t>)</w:t>
            </w:r>
          </w:p>
        </w:tc>
      </w:tr>
      <w:tr w:rsidTr="0061421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1D080F" w:rsidP="001D080F">
            <w:pPr>
              <w:pStyle w:val="BodyText"/>
            </w:pPr>
            <w:r w:rsidRPr="001D080F">
              <w:t>System Operation Units</w:t>
            </w:r>
          </w:p>
        </w:tc>
      </w:tr>
    </w:tbl>
    <w:p w:rsidR="00614214" w:rsidP="001D080F">
      <w:pPr>
        <w:pStyle w:val="BodyText"/>
      </w:pPr>
    </w:p>
    <w:p w:rsidR="00614214" w:rsidP="001D080F">
      <w:pPr>
        <w:pStyle w:val="BodyText"/>
      </w:pPr>
    </w:p>
    <w:p w:rsidR="00000000" w:rsidRPr="001D080F" w:rsidP="001D080F"/>
    <w:sectPr w:rsidSect="001D08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8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4214" w:rsidP="006142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8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214" w:rsidP="001D08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14214" w:rsidP="001D08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14214" w:rsidP="001D08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8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4214" w:rsidP="006142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8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214" w:rsidP="001D080F">
    <w:pPr>
      <w:pStyle w:val="Header"/>
      <w:framePr w:wrap="around"/>
    </w:pPr>
    <w:r>
      <w:fldChar w:fldCharType="begin"/>
    </w:r>
    <w:r>
      <w:instrText xml:space="preserve"> TITLE   \* MERGEFORMAT </w:instrText>
    </w:r>
    <w:r>
      <w:fldChar w:fldCharType="separate"/>
    </w:r>
    <w:r>
      <w:t>UETTDRSO05B Manage HV distribution and subtransmission network demand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14214" w:rsidP="001D08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2E11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C015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949B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8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080F"/>
    <w:pPr>
      <w:spacing w:before="360" w:after="60"/>
      <w:outlineLvl w:val="0"/>
    </w:pPr>
    <w:rPr>
      <w:sz w:val="32"/>
    </w:rPr>
  </w:style>
  <w:style w:type="paragraph" w:styleId="Heading2">
    <w:name w:val="heading 2"/>
    <w:basedOn w:val="HeadingBase"/>
    <w:next w:val="BodyText"/>
    <w:link w:val="Heading2Char"/>
    <w:qFormat/>
    <w:rsid w:val="001D080F"/>
    <w:pPr>
      <w:keepLines/>
      <w:spacing w:before="240" w:after="120"/>
      <w:outlineLvl w:val="1"/>
    </w:pPr>
    <w:rPr>
      <w:sz w:val="28"/>
      <w:szCs w:val="40"/>
    </w:rPr>
  </w:style>
  <w:style w:type="paragraph" w:styleId="Heading3">
    <w:name w:val="heading 3"/>
    <w:basedOn w:val="HeadingBase"/>
    <w:next w:val="BodyText"/>
    <w:link w:val="Heading3Char"/>
    <w:qFormat/>
    <w:rsid w:val="001D080F"/>
    <w:pPr>
      <w:spacing w:before="180" w:after="120"/>
      <w:outlineLvl w:val="2"/>
    </w:pPr>
    <w:rPr>
      <w:spacing w:val="-10"/>
      <w:kern w:val="32"/>
    </w:rPr>
  </w:style>
  <w:style w:type="paragraph" w:styleId="Heading4">
    <w:name w:val="heading 4"/>
    <w:basedOn w:val="HeadingBase"/>
    <w:next w:val="BodyText"/>
    <w:link w:val="Heading4Char"/>
    <w:qFormat/>
    <w:rsid w:val="001D080F"/>
    <w:pPr>
      <w:spacing w:before="160" w:after="120"/>
      <w:outlineLvl w:val="3"/>
    </w:pPr>
    <w:rPr>
      <w:sz w:val="22"/>
    </w:rPr>
  </w:style>
  <w:style w:type="paragraph" w:styleId="Heading5">
    <w:name w:val="heading 5"/>
    <w:basedOn w:val="HeadingBase"/>
    <w:next w:val="Normal"/>
    <w:link w:val="Heading5Char"/>
    <w:qFormat/>
    <w:rsid w:val="001D080F"/>
    <w:pPr>
      <w:spacing w:before="80"/>
      <w:outlineLvl w:val="4"/>
    </w:pPr>
    <w:rPr>
      <w:color w:val="918585"/>
      <w:sz w:val="20"/>
    </w:rPr>
  </w:style>
  <w:style w:type="paragraph" w:styleId="Heading6">
    <w:name w:val="heading 6"/>
    <w:basedOn w:val="HeadingBase"/>
    <w:next w:val="Normal"/>
    <w:link w:val="Heading6Char"/>
    <w:qFormat/>
    <w:rsid w:val="001D080F"/>
    <w:pPr>
      <w:spacing w:before="60"/>
      <w:outlineLvl w:val="5"/>
    </w:pPr>
    <w:rPr>
      <w:color w:val="918585"/>
      <w:sz w:val="20"/>
    </w:rPr>
  </w:style>
  <w:style w:type="paragraph" w:styleId="Heading7">
    <w:name w:val="heading 7"/>
    <w:basedOn w:val="Normal"/>
    <w:next w:val="Normal"/>
    <w:link w:val="Heading7Char"/>
    <w:qFormat/>
    <w:rsid w:val="001D080F"/>
    <w:pPr>
      <w:ind w:left="720"/>
      <w:outlineLvl w:val="6"/>
    </w:pPr>
    <w:rPr>
      <w:i/>
    </w:rPr>
  </w:style>
  <w:style w:type="paragraph" w:styleId="Heading8">
    <w:name w:val="heading 8"/>
    <w:basedOn w:val="Normal"/>
    <w:next w:val="Normal"/>
    <w:link w:val="Heading8Char"/>
    <w:qFormat/>
    <w:rsid w:val="001D080F"/>
    <w:pPr>
      <w:ind w:left="720"/>
      <w:outlineLvl w:val="7"/>
    </w:pPr>
    <w:rPr>
      <w:i/>
    </w:rPr>
  </w:style>
  <w:style w:type="paragraph" w:styleId="Heading9">
    <w:name w:val="heading 9"/>
    <w:basedOn w:val="Normal"/>
    <w:next w:val="Normal"/>
    <w:link w:val="Heading9Char"/>
    <w:qFormat/>
    <w:rsid w:val="001D080F"/>
    <w:pPr>
      <w:ind w:left="720"/>
      <w:outlineLvl w:val="8"/>
    </w:pPr>
    <w:rPr>
      <w:i/>
    </w:rPr>
  </w:style>
  <w:style w:type="character" w:default="1" w:styleId="DefaultParagraphFont">
    <w:name w:val="Default Paragraph Font"/>
    <w:uiPriority w:val="1"/>
    <w:unhideWhenUsed/>
    <w:rsid w:val="001D08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080F"/>
  </w:style>
  <w:style w:type="character" w:customStyle="1" w:styleId="Heading1Char">
    <w:name w:val="Heading 1 Char"/>
    <w:basedOn w:val="DefaultParagraphFont"/>
    <w:link w:val="Heading1"/>
    <w:rsid w:val="001D080F"/>
    <w:rPr>
      <w:rFonts w:ascii="Times New Roman" w:eastAsia="Times New Roman" w:hAnsi="Times New Roman" w:cs="Times New Roman"/>
      <w:b/>
      <w:sz w:val="32"/>
      <w:szCs w:val="20"/>
      <w:lang w:eastAsia="en-US"/>
    </w:rPr>
  </w:style>
  <w:style w:type="paragraph" w:styleId="BodyText">
    <w:name w:val="Body Text"/>
    <w:basedOn w:val="Normal"/>
    <w:link w:val="BodyTextChar"/>
    <w:rsid w:val="001D08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080F"/>
    <w:rPr>
      <w:rFonts w:ascii="Times New Roman" w:eastAsia="Times New Roman" w:hAnsi="Times New Roman" w:cs="Times New Roman"/>
      <w:sz w:val="24"/>
      <w:lang w:val="en-US" w:eastAsia="en-US"/>
    </w:rPr>
  </w:style>
  <w:style w:type="paragraph" w:styleId="Footer">
    <w:name w:val="footer"/>
    <w:basedOn w:val="Normal"/>
    <w:link w:val="FooterChar"/>
    <w:rsid w:val="001D08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080F"/>
    <w:rPr>
      <w:rFonts w:ascii="Times New Roman" w:eastAsia="Times New Roman" w:hAnsi="Times New Roman" w:cs="Times New Roman"/>
      <w:sz w:val="16"/>
      <w:lang w:val="en-US" w:eastAsia="en-US"/>
    </w:rPr>
  </w:style>
  <w:style w:type="paragraph" w:styleId="ListBullet">
    <w:name w:val="List Bullet"/>
    <w:basedOn w:val="List"/>
    <w:rsid w:val="001D080F"/>
    <w:pPr>
      <w:numPr>
        <w:numId w:val="13"/>
      </w:numPr>
      <w:tabs>
        <w:tab w:val="clear" w:pos="340"/>
      </w:tabs>
      <w:spacing w:before="40" w:after="40"/>
    </w:pPr>
  </w:style>
  <w:style w:type="character" w:customStyle="1" w:styleId="SpecialBold">
    <w:name w:val="Special Bold"/>
    <w:basedOn w:val="DefaultParagraphFont"/>
    <w:rsid w:val="001D080F"/>
    <w:rPr>
      <w:b/>
      <w:spacing w:val="0"/>
    </w:rPr>
  </w:style>
  <w:style w:type="paragraph" w:styleId="ListBullet2">
    <w:name w:val="List Bullet 2"/>
    <w:basedOn w:val="List2"/>
    <w:rsid w:val="001D080F"/>
    <w:pPr>
      <w:numPr>
        <w:numId w:val="14"/>
      </w:numPr>
      <w:tabs>
        <w:tab w:val="clear" w:pos="680"/>
      </w:tabs>
    </w:pPr>
  </w:style>
  <w:style w:type="paragraph" w:styleId="Header">
    <w:name w:val="header"/>
    <w:basedOn w:val="Normal"/>
    <w:link w:val="HeaderChar"/>
    <w:rsid w:val="001D08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08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080F"/>
    <w:pPr>
      <w:spacing w:before="240" w:after="120"/>
      <w:outlineLvl w:val="0"/>
    </w:pPr>
    <w:rPr>
      <w:rFonts w:ascii="Times New Roman" w:hAnsi="Times New Roman"/>
      <w:b/>
      <w:sz w:val="28"/>
    </w:rPr>
  </w:style>
  <w:style w:type="paragraph" w:customStyle="1" w:styleId="AllowPageBreak">
    <w:name w:val="AllowPageBreak"/>
    <w:rsid w:val="001D08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08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08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08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08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08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08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08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080F"/>
    <w:rPr>
      <w:rFonts w:ascii="Courier New" w:eastAsia="Times New Roman" w:hAnsi="Courier New" w:cs="Times New Roman"/>
      <w:i/>
      <w:szCs w:val="20"/>
      <w:lang w:val="en-US" w:eastAsia="en-US"/>
    </w:rPr>
  </w:style>
  <w:style w:type="paragraph" w:customStyle="1" w:styleId="HeadingBase">
    <w:name w:val="Heading Base"/>
    <w:rsid w:val="001D08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080F"/>
    <w:pPr>
      <w:tabs>
        <w:tab w:val="right" w:leader="dot" w:pos="9072"/>
      </w:tabs>
      <w:ind w:left="567"/>
    </w:pPr>
    <w:rPr>
      <w:szCs w:val="22"/>
    </w:rPr>
  </w:style>
  <w:style w:type="paragraph" w:customStyle="1" w:styleId="TOCBase">
    <w:name w:val="TOC Base"/>
    <w:rsid w:val="001D08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080F"/>
    <w:pPr>
      <w:tabs>
        <w:tab w:val="right" w:leader="dot" w:pos="9072"/>
      </w:tabs>
      <w:spacing w:before="40" w:after="40"/>
      <w:ind w:left="284"/>
    </w:pPr>
    <w:rPr>
      <w:rFonts w:ascii="Times New Roman" w:hAnsi="Times New Roman"/>
    </w:rPr>
  </w:style>
  <w:style w:type="paragraph" w:styleId="TOC1">
    <w:name w:val="toc 1"/>
    <w:basedOn w:val="TOCBase"/>
    <w:next w:val="Normal"/>
    <w:rsid w:val="001D08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080F"/>
    <w:pPr>
      <w:spacing w:before="5040"/>
      <w:jc w:val="center"/>
    </w:pPr>
    <w:rPr>
      <w:sz w:val="48"/>
      <w:szCs w:val="72"/>
      <w:lang w:val="en-US"/>
    </w:rPr>
  </w:style>
  <w:style w:type="character" w:customStyle="1" w:styleId="TitleChar">
    <w:name w:val="Title Char"/>
    <w:basedOn w:val="DefaultParagraphFont"/>
    <w:link w:val="Title"/>
    <w:rsid w:val="001D08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080F"/>
    <w:pPr>
      <w:tabs>
        <w:tab w:val="left" w:pos="3600"/>
        <w:tab w:val="left" w:pos="3958"/>
      </w:tabs>
    </w:pPr>
  </w:style>
  <w:style w:type="paragraph" w:styleId="List">
    <w:name w:val="List"/>
    <w:basedOn w:val="BodyText"/>
    <w:next w:val="BodyText"/>
    <w:rsid w:val="001D080F"/>
    <w:pPr>
      <w:tabs>
        <w:tab w:val="left" w:pos="340"/>
      </w:tabs>
      <w:spacing w:before="60" w:after="60"/>
      <w:ind w:left="340" w:hanging="340"/>
    </w:pPr>
  </w:style>
  <w:style w:type="paragraph" w:customStyle="1" w:styleId="Note">
    <w:name w:val="Note"/>
    <w:basedOn w:val="BodyText"/>
    <w:rsid w:val="001D08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080F"/>
    <w:pPr>
      <w:framePr w:wrap="auto" w:hAnchor="text" w:y="6049"/>
    </w:pPr>
    <w:rPr>
      <w:color w:val="000000"/>
      <w:sz w:val="40"/>
    </w:rPr>
  </w:style>
  <w:style w:type="paragraph" w:customStyle="1" w:styleId="TOCTitle">
    <w:name w:val="TOCTitle"/>
    <w:basedOn w:val="Heading1"/>
    <w:rsid w:val="001D080F"/>
    <w:pPr>
      <w:spacing w:after="240"/>
      <w:jc w:val="center"/>
      <w:outlineLvl w:val="9"/>
    </w:pPr>
    <w:rPr>
      <w:caps/>
    </w:rPr>
  </w:style>
  <w:style w:type="paragraph" w:customStyle="1" w:styleId="Version">
    <w:name w:val="Version"/>
    <w:rsid w:val="001D08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080F"/>
    <w:pPr>
      <w:keepNext w:val="0"/>
      <w:tabs>
        <w:tab w:val="right" w:pos="4176"/>
      </w:tabs>
      <w:ind w:left="198" w:hanging="198"/>
    </w:pPr>
    <w:rPr>
      <w:rFonts w:ascii="Garamond" w:hAnsi="Garamond"/>
    </w:rPr>
  </w:style>
  <w:style w:type="paragraph" w:styleId="IndexHeading">
    <w:name w:val="index heading"/>
    <w:basedOn w:val="Normal"/>
    <w:next w:val="Index1"/>
    <w:semiHidden/>
    <w:rsid w:val="001D080F"/>
    <w:pPr>
      <w:spacing w:before="120" w:after="120"/>
    </w:pPr>
    <w:rPr>
      <w:rFonts w:ascii="Arial" w:hAnsi="Arial"/>
      <w:b/>
      <w:color w:val="918585"/>
      <w:sz w:val="24"/>
    </w:rPr>
  </w:style>
  <w:style w:type="paragraph" w:customStyle="1" w:styleId="Chapter">
    <w:name w:val="Chapter"/>
    <w:basedOn w:val="Normal"/>
    <w:rsid w:val="001D080F"/>
    <w:pPr>
      <w:spacing w:before="240"/>
    </w:pPr>
    <w:rPr>
      <w:rFonts w:ascii="Times New Roman" w:hAnsi="Times New Roman"/>
      <w:smallCaps/>
      <w:spacing w:val="80"/>
      <w:sz w:val="28"/>
    </w:rPr>
  </w:style>
  <w:style w:type="paragraph" w:customStyle="1" w:styleId="InChapter">
    <w:name w:val="InChapter"/>
    <w:basedOn w:val="Heading3"/>
    <w:rsid w:val="001D080F"/>
    <w:pPr>
      <w:spacing w:after="240"/>
      <w:outlineLvl w:val="9"/>
    </w:pPr>
    <w:rPr>
      <w:noProof/>
    </w:rPr>
  </w:style>
  <w:style w:type="paragraph" w:styleId="Index2">
    <w:name w:val="index 2"/>
    <w:basedOn w:val="Normal"/>
    <w:next w:val="Normal"/>
    <w:semiHidden/>
    <w:rsid w:val="001D080F"/>
    <w:pPr>
      <w:tabs>
        <w:tab w:val="right" w:pos="4176"/>
      </w:tabs>
      <w:ind w:left="568" w:hanging="284"/>
    </w:pPr>
    <w:rPr>
      <w:rFonts w:ascii="Garamond" w:hAnsi="Garamond"/>
    </w:rPr>
  </w:style>
  <w:style w:type="paragraph" w:customStyle="1" w:styleId="Byline">
    <w:name w:val="Byline"/>
    <w:rsid w:val="001D08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080F"/>
    <w:pPr>
      <w:tabs>
        <w:tab w:val="clear" w:pos="3600"/>
        <w:tab w:val="clear" w:pos="3958"/>
      </w:tabs>
      <w:jc w:val="right"/>
    </w:pPr>
  </w:style>
  <w:style w:type="character" w:styleId="Emphasis">
    <w:name w:val="Emphasis"/>
    <w:basedOn w:val="DefaultParagraphFont"/>
    <w:qFormat/>
    <w:rsid w:val="001D080F"/>
    <w:rPr>
      <w:i/>
    </w:rPr>
  </w:style>
  <w:style w:type="paragraph" w:styleId="Caption">
    <w:name w:val="caption"/>
    <w:basedOn w:val="BodyText"/>
    <w:next w:val="Normal"/>
    <w:qFormat/>
    <w:rsid w:val="001D080F"/>
    <w:pPr>
      <w:framePr w:w="2268" w:hSpace="181" w:vSpace="181" w:wrap="around" w:vAnchor="text" w:hAnchor="page" w:x="1135" w:y="285" w:anchorLock="1"/>
    </w:pPr>
    <w:rPr>
      <w:i/>
    </w:rPr>
  </w:style>
  <w:style w:type="paragraph" w:customStyle="1" w:styleId="MiniTOCTitle">
    <w:name w:val="MiniTOCTitle"/>
    <w:basedOn w:val="Heading4"/>
    <w:rsid w:val="001D080F"/>
    <w:pPr>
      <w:spacing w:before="240"/>
      <w:outlineLvl w:val="9"/>
    </w:pPr>
    <w:rPr>
      <w:noProof/>
      <w:sz w:val="24"/>
    </w:rPr>
  </w:style>
  <w:style w:type="paragraph" w:customStyle="1" w:styleId="MiniTOCItem">
    <w:name w:val="MiniTOCItem"/>
    <w:basedOn w:val="ListBullet"/>
    <w:rsid w:val="001D080F"/>
    <w:pPr>
      <w:numPr>
        <w:numId w:val="0"/>
      </w:numPr>
      <w:tabs>
        <w:tab w:val="right" w:leader="dot" w:pos="6521"/>
      </w:tabs>
      <w:spacing w:before="0" w:after="0"/>
    </w:pPr>
  </w:style>
  <w:style w:type="paragraph" w:customStyle="1" w:styleId="TOFTitle">
    <w:name w:val="TOFTitle"/>
    <w:basedOn w:val="TOCTitle"/>
    <w:rsid w:val="001D080F"/>
  </w:style>
  <w:style w:type="paragraph" w:styleId="TableofFigures">
    <w:name w:val="table of figures"/>
    <w:basedOn w:val="Normal"/>
    <w:next w:val="Normal"/>
    <w:semiHidden/>
    <w:rsid w:val="001D080F"/>
    <w:pPr>
      <w:tabs>
        <w:tab w:val="right" w:leader="dot" w:pos="9072"/>
      </w:tabs>
      <w:ind w:left="970" w:hanging="403"/>
    </w:pPr>
    <w:rPr>
      <w:rFonts w:ascii="Times New Roman" w:hAnsi="Times New Roman"/>
      <w:b/>
    </w:rPr>
  </w:style>
  <w:style w:type="paragraph" w:styleId="ListNumber">
    <w:name w:val="List Number"/>
    <w:basedOn w:val="List"/>
    <w:rsid w:val="001D080F"/>
    <w:pPr>
      <w:numPr>
        <w:numId w:val="11"/>
      </w:numPr>
    </w:pPr>
  </w:style>
  <w:style w:type="character" w:customStyle="1" w:styleId="WingdingSymbols">
    <w:name w:val="Wingding Symbols"/>
    <w:rsid w:val="001D080F"/>
    <w:rPr>
      <w:rFonts w:ascii="Wingdings" w:hAnsi="Wingdings"/>
    </w:rPr>
  </w:style>
  <w:style w:type="paragraph" w:customStyle="1" w:styleId="TableHeading">
    <w:name w:val="Table Heading"/>
    <w:basedOn w:val="HeadingBase"/>
    <w:rsid w:val="001D080F"/>
    <w:pPr>
      <w:keepLines/>
      <w:pBdr>
        <w:bottom w:val="single" w:sz="6" w:space="1" w:color="918585"/>
      </w:pBdr>
      <w:spacing w:before="240"/>
    </w:pPr>
  </w:style>
  <w:style w:type="character" w:customStyle="1" w:styleId="HotSpot">
    <w:name w:val="HotSpot"/>
    <w:rsid w:val="001D080F"/>
    <w:rPr>
      <w:color w:val="0033CC"/>
      <w:u w:val="none"/>
    </w:rPr>
  </w:style>
  <w:style w:type="paragraph" w:customStyle="1" w:styleId="BodyTextRight">
    <w:name w:val="Body Text Right"/>
    <w:basedOn w:val="BodyText"/>
    <w:rsid w:val="001D080F"/>
    <w:pPr>
      <w:spacing w:before="0" w:after="0"/>
      <w:jc w:val="right"/>
    </w:pPr>
  </w:style>
  <w:style w:type="paragraph" w:styleId="Index3">
    <w:name w:val="index 3"/>
    <w:basedOn w:val="ListNumber2"/>
    <w:next w:val="Normal"/>
    <w:semiHidden/>
    <w:rsid w:val="001D080F"/>
    <w:pPr>
      <w:numPr>
        <w:numId w:val="0"/>
      </w:numPr>
      <w:tabs>
        <w:tab w:val="right" w:leader="dot" w:pos="4176"/>
      </w:tabs>
    </w:pPr>
  </w:style>
  <w:style w:type="paragraph" w:styleId="ListNumber2">
    <w:name w:val="List Number 2"/>
    <w:basedOn w:val="List2"/>
    <w:rsid w:val="001D080F"/>
    <w:pPr>
      <w:numPr>
        <w:numId w:val="10"/>
      </w:numPr>
      <w:tabs>
        <w:tab w:val="clear" w:pos="1060"/>
      </w:tabs>
    </w:pPr>
  </w:style>
  <w:style w:type="paragraph" w:customStyle="1" w:styleId="MarginNote">
    <w:name w:val="Margin Note"/>
    <w:basedOn w:val="BodyText"/>
    <w:rsid w:val="001D08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08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08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080F"/>
    <w:rPr>
      <w:sz w:val="32"/>
    </w:rPr>
  </w:style>
  <w:style w:type="paragraph" w:customStyle="1" w:styleId="HeadingProcedure">
    <w:name w:val="Heading Procedure"/>
    <w:basedOn w:val="HeadingBase"/>
    <w:next w:val="Normal"/>
    <w:rsid w:val="001D080F"/>
    <w:pPr>
      <w:tabs>
        <w:tab w:val="left" w:pos="0"/>
      </w:tabs>
      <w:spacing w:before="120" w:after="60"/>
    </w:pPr>
    <w:rPr>
      <w:i/>
      <w:color w:val="918585"/>
      <w:sz w:val="22"/>
    </w:rPr>
  </w:style>
  <w:style w:type="paragraph" w:customStyle="1" w:styleId="TableBodyText">
    <w:name w:val="Table Body Text"/>
    <w:basedOn w:val="BodyText"/>
    <w:rsid w:val="001D080F"/>
    <w:pPr>
      <w:spacing w:before="60" w:after="60"/>
    </w:pPr>
  </w:style>
  <w:style w:type="paragraph" w:styleId="ListContinue">
    <w:name w:val="List Continue"/>
    <w:basedOn w:val="List"/>
    <w:rsid w:val="001D080F"/>
    <w:pPr>
      <w:ind w:firstLine="0"/>
    </w:pPr>
  </w:style>
  <w:style w:type="paragraph" w:customStyle="1" w:styleId="ListNote">
    <w:name w:val="List Note"/>
    <w:basedOn w:val="List"/>
    <w:rsid w:val="001D080F"/>
    <w:pPr>
      <w:pBdr>
        <w:top w:val="single" w:sz="6" w:space="2" w:color="918585"/>
        <w:bottom w:val="single" w:sz="6" w:space="2" w:color="918585"/>
      </w:pBdr>
      <w:tabs>
        <w:tab w:val="left" w:pos="1021"/>
      </w:tabs>
      <w:ind w:firstLine="0"/>
    </w:pPr>
  </w:style>
  <w:style w:type="paragraph" w:customStyle="1" w:styleId="Warning">
    <w:name w:val="Warning"/>
    <w:basedOn w:val="BodyText"/>
    <w:rsid w:val="001D080F"/>
    <w:pPr>
      <w:shd w:val="clear" w:color="auto" w:fill="D9D9D9"/>
      <w:tabs>
        <w:tab w:val="left" w:pos="992"/>
      </w:tabs>
      <w:ind w:left="119" w:right="119"/>
    </w:pPr>
    <w:rPr>
      <w:sz w:val="20"/>
    </w:rPr>
  </w:style>
  <w:style w:type="paragraph" w:customStyle="1" w:styleId="MarginIcons">
    <w:name w:val="Margin Icons"/>
    <w:basedOn w:val="BodyText"/>
    <w:rsid w:val="001D08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080F"/>
    <w:rPr>
      <w:rFonts w:ascii="Courier New" w:hAnsi="Courier New"/>
    </w:rPr>
  </w:style>
  <w:style w:type="paragraph" w:customStyle="1" w:styleId="NoteBullet">
    <w:name w:val="Note Bullet"/>
    <w:basedOn w:val="Note"/>
    <w:rsid w:val="001D080F"/>
    <w:pPr>
      <w:tabs>
        <w:tab w:val="clear" w:pos="680"/>
      </w:tabs>
      <w:spacing w:before="60" w:after="60"/>
    </w:pPr>
  </w:style>
  <w:style w:type="paragraph" w:customStyle="1" w:styleId="SubHeading2">
    <w:name w:val="SubHeading2"/>
    <w:basedOn w:val="HeadingBase"/>
    <w:rsid w:val="001D080F"/>
    <w:pPr>
      <w:spacing w:before="240" w:after="60"/>
    </w:pPr>
    <w:rPr>
      <w:sz w:val="20"/>
    </w:rPr>
  </w:style>
  <w:style w:type="paragraph" w:customStyle="1" w:styleId="SubHeading1">
    <w:name w:val="SubHeading1"/>
    <w:basedOn w:val="HeadingBase"/>
    <w:rsid w:val="001D080F"/>
    <w:pPr>
      <w:spacing w:before="240" w:after="60"/>
    </w:pPr>
    <w:rPr>
      <w:color w:val="918585"/>
      <w:sz w:val="22"/>
    </w:rPr>
  </w:style>
  <w:style w:type="paragraph" w:customStyle="1" w:styleId="SideHeading">
    <w:name w:val="Side Heading"/>
    <w:basedOn w:val="HeadingBase"/>
    <w:rsid w:val="001D08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080F"/>
    <w:pPr>
      <w:numPr>
        <w:numId w:val="12"/>
      </w:numPr>
    </w:pPr>
  </w:style>
  <w:style w:type="paragraph" w:styleId="PlainText">
    <w:name w:val="Plain Text"/>
    <w:basedOn w:val="Normal"/>
    <w:link w:val="PlainTextChar"/>
    <w:rsid w:val="001D080F"/>
    <w:rPr>
      <w:sz w:val="20"/>
    </w:rPr>
  </w:style>
  <w:style w:type="character" w:customStyle="1" w:styleId="PlainTextChar">
    <w:name w:val="Plain Text Char"/>
    <w:basedOn w:val="DefaultParagraphFont"/>
    <w:link w:val="PlainText"/>
    <w:rsid w:val="001D08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080F"/>
    <w:rPr>
      <w:b/>
      <w:smallCaps/>
    </w:rPr>
  </w:style>
  <w:style w:type="paragraph" w:customStyle="1" w:styleId="TableListNumber">
    <w:name w:val="Table List Number"/>
    <w:basedOn w:val="ListNumber"/>
    <w:rsid w:val="001D080F"/>
    <w:pPr>
      <w:numPr>
        <w:numId w:val="0"/>
      </w:numPr>
    </w:pPr>
  </w:style>
  <w:style w:type="paragraph" w:styleId="TOC4">
    <w:name w:val="toc 4"/>
    <w:basedOn w:val="TOCBase"/>
    <w:next w:val="Normal"/>
    <w:semiHidden/>
    <w:rsid w:val="001D080F"/>
    <w:pPr>
      <w:tabs>
        <w:tab w:val="right" w:leader="dot" w:pos="9071"/>
      </w:tabs>
      <w:ind w:left="1701"/>
    </w:pPr>
  </w:style>
  <w:style w:type="paragraph" w:customStyle="1" w:styleId="ListAlpha">
    <w:name w:val="List Alpha"/>
    <w:basedOn w:val="List"/>
    <w:rsid w:val="001D080F"/>
    <w:pPr>
      <w:numPr>
        <w:numId w:val="9"/>
      </w:numPr>
    </w:pPr>
  </w:style>
  <w:style w:type="paragraph" w:customStyle="1" w:styleId="ListAlpha2">
    <w:name w:val="List Alpha 2"/>
    <w:basedOn w:val="List2"/>
    <w:rsid w:val="001D080F"/>
    <w:pPr>
      <w:numPr>
        <w:numId w:val="8"/>
      </w:numPr>
    </w:pPr>
  </w:style>
  <w:style w:type="paragraph" w:styleId="List2">
    <w:name w:val="List 2"/>
    <w:basedOn w:val="BodyText"/>
    <w:rsid w:val="001D080F"/>
    <w:pPr>
      <w:tabs>
        <w:tab w:val="left" w:pos="680"/>
      </w:tabs>
      <w:spacing w:before="60" w:after="60"/>
      <w:ind w:left="680" w:hanging="340"/>
    </w:pPr>
  </w:style>
  <w:style w:type="paragraph" w:styleId="List3">
    <w:name w:val="List 3"/>
    <w:basedOn w:val="BodyText"/>
    <w:rsid w:val="001D080F"/>
    <w:pPr>
      <w:tabs>
        <w:tab w:val="left" w:pos="1021"/>
      </w:tabs>
      <w:spacing w:before="60" w:after="60"/>
      <w:ind w:left="1020" w:hanging="340"/>
    </w:pPr>
  </w:style>
  <w:style w:type="paragraph" w:styleId="List4">
    <w:name w:val="List 4"/>
    <w:basedOn w:val="BodyText"/>
    <w:rsid w:val="001D080F"/>
    <w:pPr>
      <w:tabs>
        <w:tab w:val="left" w:pos="1361"/>
      </w:tabs>
      <w:spacing w:before="60" w:after="60"/>
      <w:ind w:left="1361" w:hanging="340"/>
    </w:pPr>
  </w:style>
  <w:style w:type="paragraph" w:styleId="List5">
    <w:name w:val="List 5"/>
    <w:basedOn w:val="BodyText"/>
    <w:rsid w:val="001D080F"/>
    <w:pPr>
      <w:tabs>
        <w:tab w:val="left" w:pos="1701"/>
      </w:tabs>
      <w:spacing w:before="60" w:after="60"/>
      <w:ind w:left="1701" w:hanging="340"/>
    </w:pPr>
  </w:style>
  <w:style w:type="paragraph" w:styleId="ListBullet3">
    <w:name w:val="List Bullet 3"/>
    <w:basedOn w:val="List3"/>
    <w:rsid w:val="001D080F"/>
    <w:pPr>
      <w:numPr>
        <w:numId w:val="15"/>
      </w:numPr>
      <w:tabs>
        <w:tab w:val="clear" w:pos="1021"/>
      </w:tabs>
      <w:ind w:left="1037" w:hanging="357"/>
    </w:pPr>
  </w:style>
  <w:style w:type="paragraph" w:styleId="ListBullet4">
    <w:name w:val="List Bullet 4"/>
    <w:basedOn w:val="List4"/>
    <w:rsid w:val="001D080F"/>
    <w:pPr>
      <w:numPr>
        <w:numId w:val="3"/>
      </w:numPr>
    </w:pPr>
  </w:style>
  <w:style w:type="paragraph" w:styleId="ListBullet5">
    <w:name w:val="List Bullet 5"/>
    <w:basedOn w:val="List5"/>
    <w:rsid w:val="001D080F"/>
    <w:pPr>
      <w:numPr>
        <w:numId w:val="4"/>
      </w:numPr>
    </w:pPr>
  </w:style>
  <w:style w:type="paragraph" w:styleId="ListContinue2">
    <w:name w:val="List Continue 2"/>
    <w:basedOn w:val="List2"/>
    <w:rsid w:val="001D080F"/>
    <w:pPr>
      <w:ind w:firstLine="0"/>
    </w:pPr>
  </w:style>
  <w:style w:type="paragraph" w:styleId="ListContinue3">
    <w:name w:val="List Continue 3"/>
    <w:basedOn w:val="List3"/>
    <w:rsid w:val="001D080F"/>
    <w:pPr>
      <w:ind w:left="1021" w:firstLine="0"/>
    </w:pPr>
  </w:style>
  <w:style w:type="paragraph" w:styleId="ListContinue4">
    <w:name w:val="List Continue 4"/>
    <w:basedOn w:val="List4"/>
    <w:rsid w:val="001D080F"/>
    <w:pPr>
      <w:ind w:firstLine="0"/>
    </w:pPr>
  </w:style>
  <w:style w:type="paragraph" w:styleId="ListContinue5">
    <w:name w:val="List Continue 5"/>
    <w:basedOn w:val="List5"/>
    <w:rsid w:val="001D080F"/>
    <w:pPr>
      <w:ind w:firstLine="0"/>
    </w:pPr>
  </w:style>
  <w:style w:type="paragraph" w:styleId="ListNumber3">
    <w:name w:val="List Number 3"/>
    <w:basedOn w:val="List3"/>
    <w:rsid w:val="001D080F"/>
    <w:pPr>
      <w:numPr>
        <w:numId w:val="5"/>
      </w:numPr>
    </w:pPr>
  </w:style>
  <w:style w:type="paragraph" w:styleId="ListNumber4">
    <w:name w:val="List Number 4"/>
    <w:basedOn w:val="List4"/>
    <w:rsid w:val="001D080F"/>
    <w:pPr>
      <w:numPr>
        <w:numId w:val="6"/>
      </w:numPr>
    </w:pPr>
  </w:style>
  <w:style w:type="paragraph" w:styleId="ListNumber5">
    <w:name w:val="List Number 5"/>
    <w:basedOn w:val="List5"/>
    <w:rsid w:val="001D080F"/>
    <w:pPr>
      <w:numPr>
        <w:numId w:val="7"/>
      </w:numPr>
    </w:pPr>
  </w:style>
  <w:style w:type="paragraph" w:styleId="BlockText">
    <w:name w:val="Block Text"/>
    <w:basedOn w:val="Normal"/>
    <w:rsid w:val="001D080F"/>
    <w:pPr>
      <w:spacing w:after="120"/>
      <w:ind w:left="1440" w:right="1440"/>
    </w:pPr>
  </w:style>
  <w:style w:type="character" w:customStyle="1" w:styleId="Subscript">
    <w:name w:val="Subscript"/>
    <w:basedOn w:val="DefaultParagraphFont"/>
    <w:rsid w:val="001D080F"/>
    <w:rPr>
      <w:sz w:val="16"/>
      <w:vertAlign w:val="subscript"/>
    </w:rPr>
  </w:style>
  <w:style w:type="character" w:customStyle="1" w:styleId="Superscript">
    <w:name w:val="Superscript"/>
    <w:basedOn w:val="DefaultParagraphFont"/>
    <w:rsid w:val="001D080F"/>
    <w:rPr>
      <w:sz w:val="16"/>
      <w:vertAlign w:val="superscript"/>
    </w:rPr>
  </w:style>
  <w:style w:type="character" w:customStyle="1" w:styleId="Symbols">
    <w:name w:val="Symbols"/>
    <w:basedOn w:val="DefaultParagraphFont"/>
    <w:rsid w:val="001D080F"/>
    <w:rPr>
      <w:rFonts w:ascii="Symbol" w:hAnsi="Symbol"/>
    </w:rPr>
  </w:style>
  <w:style w:type="character" w:customStyle="1" w:styleId="MenuOptions">
    <w:name w:val="Menu Options"/>
    <w:basedOn w:val="DefaultParagraphFont"/>
    <w:rsid w:val="001D080F"/>
    <w:rPr>
      <w:rFonts w:ascii="Arial Narrow" w:hAnsi="Arial Narrow"/>
      <w:smallCaps/>
    </w:rPr>
  </w:style>
  <w:style w:type="character" w:customStyle="1" w:styleId="Buttons">
    <w:name w:val="Buttons"/>
    <w:basedOn w:val="DefaultParagraphFont"/>
    <w:rsid w:val="001D080F"/>
    <w:rPr>
      <w:b/>
    </w:rPr>
  </w:style>
  <w:style w:type="character" w:customStyle="1" w:styleId="Underlined">
    <w:name w:val="Underlined"/>
    <w:basedOn w:val="DefaultParagraphFont"/>
    <w:rsid w:val="001D080F"/>
    <w:rPr>
      <w:u w:val="single"/>
    </w:rPr>
  </w:style>
  <w:style w:type="paragraph" w:customStyle="1" w:styleId="TableBodyTextRight">
    <w:name w:val="Table Body Text Right"/>
    <w:basedOn w:val="TableBodyText"/>
    <w:rsid w:val="001D080F"/>
    <w:pPr>
      <w:widowControl w:val="0"/>
      <w:autoSpaceDE w:val="0"/>
      <w:autoSpaceDN w:val="0"/>
      <w:adjustRightInd w:val="0"/>
      <w:jc w:val="right"/>
    </w:pPr>
    <w:rPr>
      <w:rFonts w:cs="Arial"/>
      <w:szCs w:val="18"/>
    </w:rPr>
  </w:style>
  <w:style w:type="paragraph" w:customStyle="1" w:styleId="CopyrightText">
    <w:name w:val="Copyright Text"/>
    <w:basedOn w:val="BodyText"/>
    <w:rsid w:val="001D080F"/>
    <w:rPr>
      <w:sz w:val="18"/>
    </w:rPr>
  </w:style>
  <w:style w:type="paragraph" w:customStyle="1" w:styleId="BodySmallRight">
    <w:name w:val="Body Small Right"/>
    <w:basedOn w:val="BodyTextRight"/>
    <w:rsid w:val="001D080F"/>
    <w:rPr>
      <w:sz w:val="18"/>
      <w:szCs w:val="18"/>
    </w:rPr>
  </w:style>
  <w:style w:type="paragraph" w:customStyle="1" w:styleId="MarginEdition">
    <w:name w:val="Margin Edition"/>
    <w:basedOn w:val="MarginNote"/>
    <w:rsid w:val="001D080F"/>
    <w:pPr>
      <w:spacing w:before="0" w:after="0"/>
    </w:pPr>
    <w:rPr>
      <w:rFonts w:ascii="Times New Roman" w:hAnsi="Times New Roman"/>
      <w:color w:val="999999"/>
    </w:rPr>
  </w:style>
  <w:style w:type="paragraph" w:customStyle="1" w:styleId="Spacer">
    <w:name w:val="Spacer"/>
    <w:basedOn w:val="Normal"/>
    <w:rsid w:val="001D080F"/>
    <w:rPr>
      <w:sz w:val="2"/>
      <w:szCs w:val="2"/>
    </w:rPr>
  </w:style>
  <w:style w:type="character" w:customStyle="1" w:styleId="Small">
    <w:name w:val="Small"/>
    <w:basedOn w:val="DefaultParagraphFont"/>
    <w:rsid w:val="001D080F"/>
    <w:rPr>
      <w:sz w:val="16"/>
    </w:rPr>
  </w:style>
  <w:style w:type="paragraph" w:customStyle="1" w:styleId="WideTable">
    <w:name w:val="Wide Table"/>
    <w:basedOn w:val="Normal"/>
    <w:rsid w:val="001D080F"/>
    <w:pPr>
      <w:ind w:left="-1418"/>
    </w:pPr>
    <w:rPr>
      <w:sz w:val="2"/>
      <w:szCs w:val="2"/>
    </w:rPr>
  </w:style>
  <w:style w:type="character" w:styleId="PageNumber">
    <w:name w:val="page number"/>
    <w:basedOn w:val="DefaultParagraphFont"/>
    <w:rsid w:val="001D080F"/>
  </w:style>
  <w:style w:type="paragraph" w:styleId="Quote">
    <w:name w:val="Quote"/>
    <w:basedOn w:val="Heading1"/>
    <w:link w:val="QuoteChar"/>
    <w:qFormat/>
    <w:rsid w:val="001D080F"/>
    <w:rPr>
      <w:b w:val="0"/>
      <w:sz w:val="72"/>
      <w:szCs w:val="72"/>
      <w:lang w:val="en-NZ"/>
    </w:rPr>
  </w:style>
  <w:style w:type="character" w:customStyle="1" w:styleId="QuoteChar">
    <w:name w:val="Quote Char"/>
    <w:basedOn w:val="DefaultParagraphFont"/>
    <w:link w:val="Quote"/>
    <w:rsid w:val="001D08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080F"/>
    <w:pPr>
      <w:pageBreakBefore/>
    </w:pPr>
  </w:style>
  <w:style w:type="paragraph" w:customStyle="1" w:styleId="Border">
    <w:name w:val="Border"/>
    <w:basedOn w:val="Normal"/>
    <w:qFormat/>
    <w:rsid w:val="001D08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080F"/>
    <w:rPr>
      <w:b/>
      <w:bCs/>
      <w:i/>
      <w:iCs/>
      <w:color w:val="auto"/>
    </w:rPr>
  </w:style>
  <w:style w:type="paragraph" w:styleId="IntenseQuote">
    <w:name w:val="Intense Quote"/>
    <w:basedOn w:val="Normal"/>
    <w:next w:val="Normal"/>
    <w:link w:val="IntenseQuoteChar"/>
    <w:uiPriority w:val="30"/>
    <w:qFormat/>
    <w:rsid w:val="001D08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08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080F"/>
    <w:rPr>
      <w:smallCaps/>
      <w:color w:val="auto"/>
      <w:u w:val="single"/>
    </w:rPr>
  </w:style>
  <w:style w:type="character" w:styleId="IntenseReference">
    <w:name w:val="Intense Reference"/>
    <w:basedOn w:val="DefaultParagraphFont"/>
    <w:uiPriority w:val="32"/>
    <w:qFormat/>
    <w:rsid w:val="001D080F"/>
    <w:rPr>
      <w:b/>
      <w:bCs/>
      <w:smallCaps/>
      <w:color w:val="auto"/>
      <w:spacing w:val="5"/>
      <w:u w:val="single"/>
    </w:rPr>
  </w:style>
  <w:style w:type="paragraph" w:customStyle="1" w:styleId="2ColumnHeading">
    <w:name w:val="2Column Heading"/>
    <w:basedOn w:val="BodyText"/>
    <w:qFormat/>
    <w:rsid w:val="001D080F"/>
    <w:pPr>
      <w:spacing w:after="60"/>
      <w:ind w:left="-2268"/>
    </w:pPr>
    <w:rPr>
      <w:b/>
    </w:rPr>
  </w:style>
  <w:style w:type="paragraph" w:customStyle="1" w:styleId="Heading1TOC">
    <w:name w:val="Heading1 TOC"/>
    <w:basedOn w:val="Normal"/>
    <w:qFormat/>
    <w:rsid w:val="001D080F"/>
    <w:pPr>
      <w:spacing w:before="240" w:after="120"/>
    </w:pPr>
    <w:rPr>
      <w:rFonts w:ascii="Times New Roman" w:hAnsi="Times New Roman"/>
      <w:b/>
      <w:sz w:val="32"/>
    </w:rPr>
  </w:style>
  <w:style w:type="paragraph" w:customStyle="1" w:styleId="Heading2TOC">
    <w:name w:val="Heading2 TOC"/>
    <w:basedOn w:val="Normal"/>
    <w:qFormat/>
    <w:rsid w:val="001D080F"/>
    <w:pPr>
      <w:spacing w:before="240" w:after="60"/>
    </w:pPr>
    <w:rPr>
      <w:rFonts w:ascii="Times New Roman" w:hAnsi="Times New Roman"/>
      <w:b/>
      <w:sz w:val="28"/>
    </w:rPr>
  </w:style>
  <w:style w:type="character" w:customStyle="1" w:styleId="Underline">
    <w:name w:val="Underline"/>
    <w:basedOn w:val="DefaultParagraphFont"/>
    <w:qFormat/>
    <w:rsid w:val="001D080F"/>
    <w:rPr>
      <w:u w:val="single"/>
    </w:rPr>
  </w:style>
  <w:style w:type="character" w:customStyle="1" w:styleId="BoldandItalics">
    <w:name w:val="Bold and Italics"/>
    <w:qFormat/>
    <w:rsid w:val="001D080F"/>
    <w:rPr>
      <w:b/>
      <w:i/>
      <w:u w:val="none"/>
    </w:rPr>
  </w:style>
  <w:style w:type="paragraph" w:styleId="BalloonText">
    <w:name w:val="Balloon Text"/>
    <w:basedOn w:val="Normal"/>
    <w:link w:val="BalloonTextChar"/>
    <w:rsid w:val="001D080F"/>
    <w:rPr>
      <w:rFonts w:ascii="Tahoma" w:hAnsi="Tahoma" w:cs="Tahoma"/>
      <w:sz w:val="16"/>
      <w:szCs w:val="16"/>
    </w:rPr>
  </w:style>
  <w:style w:type="character" w:customStyle="1" w:styleId="BalloonTextChar">
    <w:name w:val="Balloon Text Char"/>
    <w:basedOn w:val="DefaultParagraphFont"/>
    <w:link w:val="BalloonText"/>
    <w:rsid w:val="001D08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08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08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2355</Words>
  <Characters>14799</Characters>
  <Application>Microsoft Office Word</Application>
  <DocSecurity>0</DocSecurity>
  <Lines>607</Lines>
  <Paragraphs>234</Paragraphs>
  <ScaleCrop>false</ScaleCrop>
  <Company>Author-it Software Corporation Ltd.</Company>
  <LinksUpToDate>false</LinksUpToDate>
  <CharactersWithSpaces>16968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UETTDRSO05B Manage HV distribution and subtransmission network demand</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2012-05-26T12:20:00Z</dcterms:created>
  <dcterms:modified xsi:type="dcterms:W3CDTF">2012-05-26T12:20:00Z</dcterms:modified>
</cp:coreProperties>
</file>