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6F6" w:rsidP="00FF56F6">
      <w:pPr>
        <w:pStyle w:val="Title"/>
      </w:pPr>
      <w:r>
        <w:fldChar w:fldCharType="begin"/>
      </w:r>
      <w:r>
        <w:instrText xml:space="preserve"> TITLE   \* MERGEFORMAT </w:instrText>
      </w:r>
      <w:r>
        <w:fldChar w:fldCharType="separate"/>
      </w:r>
      <w:r>
        <w:t>UETTDRSO03B Manage critical events</w:t>
      </w:r>
      <w:r>
        <w:fldChar w:fldCharType="end"/>
      </w:r>
    </w:p>
    <w:p w:rsidR="00FF56F6" w:rsidP="00FF56F6">
      <w:pPr>
        <w:pStyle w:val="Version"/>
        <w:sectPr w:rsidSect="00D579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9A3" w:rsidP="00D579A3">
      <w:pPr>
        <w:pStyle w:val="SuperHeading"/>
      </w:pPr>
      <w:r w:rsidRPr="00D579A3">
        <w:t>UETTDRSO03B Manage critical events</w:t>
      </w:r>
    </w:p>
    <w:p w:rsidR="00000000" w:rsidRPr="00D579A3" w:rsidP="00D579A3">
      <w:pPr>
        <w:pStyle w:val="Heading1"/>
      </w:pPr>
      <w:bookmarkStart w:id="1" w:name="O_275538"/>
      <w:bookmarkEnd w:id="1"/>
      <w:r w:rsidRPr="00D579A3">
        <w:t>Modification History</w:t>
      </w:r>
    </w:p>
    <w:p w:rsidR="00000000" w:rsidRPr="00D579A3" w:rsidP="00D579A3">
      <w:pPr>
        <w:pStyle w:val="BodyText"/>
      </w:pPr>
      <w:r w:rsidRPr="00D579A3">
        <w:t>Not Applicable</w:t>
      </w:r>
    </w:p>
    <w:p w:rsidR="00000000" w:rsidRPr="00D579A3" w:rsidP="00D579A3">
      <w:pPr>
        <w:pStyle w:val="AllowPageBreak"/>
      </w:pPr>
    </w:p>
    <w:p w:rsidR="00000000" w:rsidRPr="00D579A3" w:rsidP="00D579A3">
      <w:pPr>
        <w:pStyle w:val="Heading1"/>
      </w:pPr>
      <w:bookmarkStart w:id="2" w:name="O_231914"/>
      <w:bookmarkEnd w:id="2"/>
      <w:r w:rsidRPr="00D579A3">
        <w:t>Unit Descriptor</w:t>
      </w:r>
    </w:p>
    <w:tbl>
      <w:tblPr>
        <w:tblW w:w="0" w:type="auto"/>
        <w:tblLayout w:type="fixed"/>
        <w:tblCellMar>
          <w:left w:w="62" w:type="dxa"/>
          <w:right w:w="62" w:type="dxa"/>
        </w:tblCellMar>
        <w:tblLook w:val="0000"/>
      </w:tblPr>
      <w:tblGrid>
        <w:gridCol w:w="2700"/>
        <w:gridCol w:w="5940"/>
      </w:tblGrid>
      <w:tr w:rsidTr="00FF56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rPr>
                <w:rStyle w:val="SpecialBold"/>
              </w:rPr>
              <w:t>1</w:t>
            </w:r>
            <w:r w:rsidRPr="00D579A3">
              <w:t xml:space="preserve">) </w:t>
            </w:r>
          </w:p>
          <w:p w:rsidR="00000000" w:rsidP="00D579A3">
            <w:pPr>
              <w:pStyle w:val="BodyText"/>
              <w:rPr>
                <w:lang w:val="en-NZ"/>
              </w:rPr>
            </w:pPr>
            <w:r w:rsidRPr="00D579A3">
              <w:rPr>
                <w:rStyle w:val="SpecialBold"/>
              </w:rPr>
              <w:t>1</w:t>
            </w:r>
            <w:r w:rsidRPr="00D579A3">
              <w:t>.</w:t>
            </w:r>
            <w:r w:rsidRPr="00D579A3">
              <w:rPr>
                <w:rStyle w:val="SpecialBold"/>
              </w:rPr>
              <w:t>1</w:t>
            </w:r>
            <w:r w:rsidRPr="00D579A3">
              <w:t xml:space="preserve">) </w:t>
            </w:r>
            <w:r w:rsidRPr="00D579A3">
              <w:rPr>
                <w:rStyle w:val="SpecialBold"/>
              </w:rPr>
              <w:t>Descriptor</w:t>
            </w:r>
          </w:p>
        </w:tc>
      </w:tr>
      <w:tr w:rsidTr="00FF56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t>This Competency Standard Unit covers the management of critical events such as simultaneous multiple network faults, and storm events of various magnitudes. It includes liaison procedures with multiple operating authorities and dispatching and managing mul</w:t>
            </w:r>
            <w:r w:rsidRPr="00D579A3">
              <w:t>tiple field crews. It also encompasses monitoring of safe access to the network and invoking crisis management procedures and mutual aid plans.</w:t>
            </w:r>
          </w:p>
        </w:tc>
      </w:tr>
    </w:tbl>
    <w:p w:rsidR="00FF56F6" w:rsidP="00D579A3">
      <w:pPr>
        <w:pStyle w:val="BodyText"/>
      </w:pPr>
    </w:p>
    <w:p w:rsidR="00FF56F6" w:rsidP="00D579A3">
      <w:pPr>
        <w:pStyle w:val="BodyText"/>
      </w:pPr>
    </w:p>
    <w:p w:rsidR="00000000" w:rsidRPr="00D579A3" w:rsidP="00D579A3">
      <w:pPr>
        <w:pStyle w:val="Heading1"/>
      </w:pPr>
      <w:bookmarkStart w:id="3" w:name="O_231919"/>
      <w:bookmarkEnd w:id="3"/>
      <w:r w:rsidRPr="00D579A3">
        <w:t>Application of the Unit</w:t>
      </w:r>
    </w:p>
    <w:tbl>
      <w:tblPr>
        <w:tblW w:w="0" w:type="auto"/>
        <w:tblLayout w:type="fixed"/>
        <w:tblCellMar>
          <w:left w:w="62" w:type="dxa"/>
          <w:right w:w="62" w:type="dxa"/>
        </w:tblCellMar>
        <w:tblLook w:val="0000"/>
      </w:tblPr>
      <w:tblGrid>
        <w:gridCol w:w="2700"/>
        <w:gridCol w:w="5940"/>
      </w:tblGrid>
      <w:tr w:rsidTr="00FF56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rPr>
                <w:rStyle w:val="SpecialBold"/>
              </w:rPr>
              <w:t>Application of the Unit</w:t>
            </w:r>
          </w:p>
        </w:tc>
        <w:tc>
          <w:tcPr>
            <w:tcW w:w="59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rPr>
                <w:rStyle w:val="SpecialBold"/>
              </w:rPr>
              <w:t>4</w:t>
            </w:r>
            <w:r w:rsidRPr="00D579A3">
              <w:t>)</w:t>
            </w:r>
          </w:p>
        </w:tc>
      </w:tr>
      <w:tr w:rsidTr="00FF56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t>This Competency Standard Unit is intended to augment formally acquired competencies. It is suitable for employment-based programs under an approved contract of training.</w:t>
            </w:r>
          </w:p>
        </w:tc>
      </w:tr>
    </w:tbl>
    <w:p w:rsidR="00FF56F6" w:rsidP="00D579A3">
      <w:pPr>
        <w:pStyle w:val="BodyText"/>
      </w:pPr>
    </w:p>
    <w:p w:rsidR="00FF56F6" w:rsidP="00D579A3">
      <w:pPr>
        <w:pStyle w:val="BodyText"/>
      </w:pPr>
    </w:p>
    <w:p w:rsidR="00000000" w:rsidRPr="00D579A3" w:rsidP="00D579A3">
      <w:pPr>
        <w:pStyle w:val="Heading1"/>
      </w:pPr>
      <w:bookmarkStart w:id="4" w:name="O_231915"/>
      <w:bookmarkEnd w:id="4"/>
      <w:r w:rsidRPr="00D579A3">
        <w:t>Licensing/Regulatory Information</w:t>
      </w:r>
    </w:p>
    <w:tbl>
      <w:tblPr>
        <w:tblW w:w="0" w:type="auto"/>
        <w:tblLayout w:type="fixed"/>
        <w:tblCellMar>
          <w:left w:w="62" w:type="dxa"/>
          <w:right w:w="62" w:type="dxa"/>
        </w:tblCellMar>
        <w:tblLook w:val="0000"/>
      </w:tblPr>
      <w:tblGrid>
        <w:gridCol w:w="8640"/>
      </w:tblGrid>
      <w:tr w:rsidTr="00FF56F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rPr>
                <w:rStyle w:val="SpecialBold"/>
              </w:rPr>
              <w:t>1</w:t>
            </w:r>
            <w:r w:rsidRPr="00D579A3">
              <w:t>.</w:t>
            </w:r>
            <w:r w:rsidRPr="00D579A3">
              <w:rPr>
                <w:rStyle w:val="SpecialBold"/>
              </w:rPr>
              <w:t>2</w:t>
            </w:r>
            <w:r w:rsidRPr="00D579A3">
              <w:t xml:space="preserve">) </w:t>
            </w:r>
            <w:r w:rsidRPr="00D579A3">
              <w:rPr>
                <w:rStyle w:val="SpecialBold"/>
              </w:rPr>
              <w:t>License to practice</w:t>
            </w:r>
          </w:p>
        </w:tc>
      </w:tr>
      <w:tr w:rsidTr="00FF56F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t>The skills and knowledge described in this unit may require a licence/registration to practice in the work place subject to regulations for undertaking of electrical work. Practice in workplace and during training is also subject to regulations directly re</w:t>
            </w:r>
            <w:r w:rsidRPr="00D579A3">
              <w:t>lated to Occupational Health and Safety, electricity/telecommunications/gas/water industry safety and compliance, industrial relations, environmental protection, anti discrimination and training. Commonwealth, State/Territory or Local Government legislatio</w:t>
            </w:r>
            <w:r w:rsidRPr="00D579A3">
              <w:t>n and regulations may exist that limits the age of operating certain equipment.</w:t>
            </w:r>
          </w:p>
        </w:tc>
      </w:tr>
    </w:tbl>
    <w:p w:rsidR="00FF56F6" w:rsidP="00D579A3">
      <w:pPr>
        <w:pStyle w:val="BodyText"/>
      </w:pPr>
    </w:p>
    <w:p w:rsidR="00FF56F6" w:rsidP="00D579A3">
      <w:pPr>
        <w:pStyle w:val="BodyText"/>
      </w:pPr>
    </w:p>
    <w:p w:rsidR="00000000" w:rsidRPr="00D579A3" w:rsidP="00D579A3">
      <w:pPr>
        <w:pStyle w:val="Heading1"/>
      </w:pPr>
      <w:bookmarkStart w:id="5" w:name="O_231916"/>
      <w:bookmarkEnd w:id="5"/>
      <w:r w:rsidRPr="00D579A3">
        <w:t>Pre-Requisites</w:t>
      </w:r>
    </w:p>
    <w:tbl>
      <w:tblPr>
        <w:tblW w:w="0" w:type="auto"/>
        <w:tblLayout w:type="fixed"/>
        <w:tblCellMar>
          <w:left w:w="62" w:type="dxa"/>
          <w:right w:w="62" w:type="dxa"/>
        </w:tblCellMar>
        <w:tblLook w:val="0000"/>
      </w:tblPr>
      <w:tblGrid>
        <w:gridCol w:w="2700"/>
        <w:gridCol w:w="720"/>
        <w:gridCol w:w="1980"/>
        <w:gridCol w:w="3240"/>
      </w:tblGrid>
      <w:tr w:rsidTr="00FF56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rPr>
                <w:rStyle w:val="SpecialBold"/>
              </w:rPr>
              <w:t>Prerequisite Unit</w:t>
            </w:r>
            <w:r w:rsidRPr="00D579A3">
              <w:t>(</w:t>
            </w:r>
            <w:r w:rsidRPr="00D579A3">
              <w:rPr>
                <w:rStyle w:val="SpecialBold"/>
              </w:rPr>
              <w:t>s</w:t>
            </w:r>
            <w:r w:rsidRPr="00D579A3">
              <w:t>)</w:t>
            </w:r>
          </w:p>
        </w:tc>
        <w:tc>
          <w:tcPr>
            <w:tcW w:w="5940" w:type="dxa"/>
            <w:gridSpan w:val="3"/>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rPr>
                <w:rStyle w:val="SpecialBold"/>
              </w:rPr>
              <w:t>2</w:t>
            </w:r>
            <w:r w:rsidRPr="00D579A3">
              <w:t xml:space="preserve">) </w:t>
            </w:r>
          </w:p>
        </w:tc>
      </w:tr>
      <w:tr w:rsidTr="00FF56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79A3">
            <w:pPr>
              <w:pStyle w:val="BodyText"/>
              <w:keepNext w:val="0"/>
              <w:keepLines w:val="0"/>
              <w:contextualSpacing w:val="0"/>
            </w:pPr>
          </w:p>
        </w:tc>
        <w:tc>
          <w:tcPr>
            <w:tcW w:w="5940" w:type="dxa"/>
            <w:gridSpan w:val="3"/>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rPr>
                <w:rStyle w:val="SpecialBold"/>
              </w:rPr>
              <w:t>2</w:t>
            </w:r>
            <w:r w:rsidRPr="00D579A3">
              <w:t>.</w:t>
            </w:r>
            <w:r w:rsidRPr="00D579A3">
              <w:rPr>
                <w:rStyle w:val="SpecialBold"/>
              </w:rPr>
              <w:t>1</w:t>
            </w:r>
            <w:r w:rsidRPr="00D579A3">
              <w:t xml:space="preserve">) </w:t>
            </w:r>
            <w:r w:rsidRPr="00D579A3">
              <w:rPr>
                <w:rStyle w:val="SpecialBold"/>
              </w:rPr>
              <w:t>Competencies</w:t>
            </w:r>
          </w:p>
        </w:tc>
      </w:tr>
      <w:tr w:rsidTr="00FF56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3"/>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Granting of competency in this unit shall be made only after competency in the following unit(s) has/have been confirmed:.</w:t>
            </w:r>
          </w:p>
        </w:tc>
      </w:tr>
      <w:tr w:rsidTr="00FF56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UETTDRSO02B</w:t>
            </w:r>
          </w:p>
        </w:tc>
        <w:tc>
          <w:tcPr>
            <w:tcW w:w="32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Manage network faults</w:t>
            </w:r>
          </w:p>
        </w:tc>
      </w:tr>
      <w:tr w:rsidTr="00FF56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3"/>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t>For the full prerequisite chain details for this unit please refer to Table 3 in Volume 1, Part 2</w:t>
            </w:r>
          </w:p>
        </w:tc>
      </w:tr>
    </w:tbl>
    <w:p w:rsidR="00FF56F6" w:rsidP="00D579A3">
      <w:pPr>
        <w:pStyle w:val="BodyText"/>
      </w:pPr>
    </w:p>
    <w:p w:rsidR="00FF56F6" w:rsidP="00D579A3">
      <w:pPr>
        <w:pStyle w:val="BodyText"/>
      </w:pPr>
    </w:p>
    <w:p w:rsidR="00000000" w:rsidRPr="00D579A3" w:rsidP="00D579A3">
      <w:pPr>
        <w:pStyle w:val="Heading1"/>
      </w:pPr>
      <w:bookmarkStart w:id="6" w:name="O_231918"/>
      <w:bookmarkEnd w:id="6"/>
      <w:r w:rsidRPr="00D579A3">
        <w:t>Employability Skills Information</w:t>
      </w:r>
    </w:p>
    <w:tbl>
      <w:tblPr>
        <w:tblW w:w="0" w:type="auto"/>
        <w:tblLayout w:type="fixed"/>
        <w:tblCellMar>
          <w:left w:w="62" w:type="dxa"/>
          <w:right w:w="62" w:type="dxa"/>
        </w:tblCellMar>
        <w:tblLook w:val="0000"/>
      </w:tblPr>
      <w:tblGrid>
        <w:gridCol w:w="2700"/>
        <w:gridCol w:w="5940"/>
      </w:tblGrid>
      <w:tr w:rsidTr="00FF56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rPr>
                <w:rStyle w:val="SpecialBold"/>
              </w:rPr>
              <w:t>Employability Skills</w:t>
            </w:r>
          </w:p>
        </w:tc>
        <w:tc>
          <w:tcPr>
            <w:tcW w:w="5940" w:type="dxa"/>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rPr>
                <w:rStyle w:val="SpecialBold"/>
              </w:rPr>
              <w:t>3</w:t>
            </w:r>
            <w:r w:rsidRPr="00D579A3">
              <w:t>)</w:t>
            </w:r>
          </w:p>
          <w:p w:rsidR="00000000" w:rsidRPr="00D579A3" w:rsidP="00D579A3">
            <w:pPr>
              <w:pStyle w:val="BodyText"/>
            </w:pPr>
            <w:r w:rsidRPr="00D579A3">
              <w:t>The required outcomes described in this unit of competency contain applicable f</w:t>
            </w:r>
            <w:r w:rsidRPr="00D579A3">
              <w:t>acets of Employability Skills. The Employability Skills Summary of the qualification in which this unit of competency is packaged will assist in identifying Employability Skill requirements.</w:t>
            </w:r>
          </w:p>
        </w:tc>
      </w:tr>
    </w:tbl>
    <w:p w:rsidR="00FF56F6" w:rsidP="00D579A3">
      <w:pPr>
        <w:pStyle w:val="BodyText"/>
      </w:pPr>
    </w:p>
    <w:p w:rsidR="00FF56F6" w:rsidP="00D579A3">
      <w:pPr>
        <w:pStyle w:val="BodyText"/>
      </w:pPr>
    </w:p>
    <w:p w:rsidR="00000000" w:rsidRPr="00D579A3" w:rsidP="00D579A3">
      <w:pPr>
        <w:pStyle w:val="Heading1"/>
      </w:pPr>
      <w:bookmarkStart w:id="7" w:name="O_293584"/>
      <w:bookmarkEnd w:id="7"/>
      <w:r w:rsidRPr="00D579A3">
        <w:t>Elements and Performance Criteria Pre-Content</w:t>
      </w:r>
    </w:p>
    <w:tbl>
      <w:tblPr>
        <w:tblW w:w="0" w:type="auto"/>
        <w:tblLayout w:type="fixed"/>
        <w:tblCellMar>
          <w:left w:w="62" w:type="dxa"/>
          <w:right w:w="62" w:type="dxa"/>
        </w:tblCellMar>
        <w:tblLook w:val="0000"/>
      </w:tblPr>
      <w:tblGrid>
        <w:gridCol w:w="2700"/>
        <w:gridCol w:w="5940"/>
      </w:tblGrid>
      <w:tr w:rsidTr="00FF56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rPr>
                <w:rStyle w:val="SpecialBold"/>
              </w:rPr>
              <w:t>6</w:t>
            </w:r>
            <w:r w:rsidRPr="00D579A3">
              <w:t xml:space="preserve">) </w:t>
            </w:r>
            <w:r w:rsidRPr="00D579A3">
              <w:rPr>
                <w:rStyle w:val="SpecialBold"/>
              </w:rPr>
              <w:t>Elements</w:t>
            </w:r>
            <w:r w:rsidRPr="00D579A3">
              <w:t>: Elements describe the essential outcomes of a competency standard unit</w:t>
            </w:r>
          </w:p>
        </w:tc>
        <w:tc>
          <w:tcPr>
            <w:tcW w:w="5940" w:type="dxa"/>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t>Performance Criteria describe the required performance needed to demonstrate achievement of the Element. Assessment of performance is to be consistent with the Evidence Gu</w:t>
            </w:r>
            <w:r w:rsidRPr="00D579A3">
              <w:t>ide.</w:t>
            </w:r>
          </w:p>
        </w:tc>
      </w:tr>
    </w:tbl>
    <w:p w:rsidR="00000000" w:rsidRPr="00D579A3" w:rsidP="00D579A3">
      <w:pPr>
        <w:pStyle w:val="BodyText"/>
      </w:pPr>
    </w:p>
    <w:p w:rsidR="00000000" w:rsidRPr="00D579A3" w:rsidP="00D579A3">
      <w:pPr>
        <w:pStyle w:val="AllowPageBreak"/>
      </w:pPr>
    </w:p>
    <w:p w:rsidR="00000000" w:rsidRPr="00D579A3" w:rsidP="00D579A3">
      <w:pPr>
        <w:pStyle w:val="Heading1"/>
      </w:pPr>
      <w:bookmarkStart w:id="8" w:name="O_240252"/>
      <w:bookmarkEnd w:id="8"/>
      <w:r w:rsidRPr="00D579A3">
        <w:t>Elements and Performance Criteria</w:t>
      </w:r>
    </w:p>
    <w:tbl>
      <w:tblPr>
        <w:tblW w:w="0" w:type="auto"/>
        <w:tblLayout w:type="fixed"/>
        <w:tblCellMar>
          <w:left w:w="62" w:type="dxa"/>
          <w:right w:w="62" w:type="dxa"/>
        </w:tblCellMar>
        <w:tblLook w:val="0000"/>
      </w:tblPr>
      <w:tblGrid>
        <w:gridCol w:w="404"/>
        <w:gridCol w:w="2296"/>
        <w:gridCol w:w="900"/>
        <w:gridCol w:w="5040"/>
      </w:tblGrid>
      <w:tr w:rsidTr="00FF56F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rPr>
                <w:rStyle w:val="SpecialBold"/>
              </w:rPr>
              <w:t>PERFORMANCE CRITERIA</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1</w:t>
            </w:r>
          </w:p>
        </w:tc>
        <w:tc>
          <w:tcPr>
            <w:tcW w:w="2296"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Plan for the management of a critical event</w:t>
            </w: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1.1</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OHS practices/procedures and environmental and sustainable energy procedures, which may influence the management of critical events, are reviewed and determined.</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1.2</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Purpose of the management is established after data is analysed and expected outcomes o</w:t>
            </w:r>
            <w:r w:rsidRPr="00D579A3">
              <w:t>f the work are confirmed with the appropriate personnel.</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1.3</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Organisational established procedures on policies and specifications for the management of events are obtained or established with the appropriate personnel.</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1.4</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 xml:space="preserve">Identification </w:t>
            </w:r>
            <w:r w:rsidRPr="00D579A3">
              <w:t>and testing procedures are discussed with/directed to the appropriate personnel in order to ascertain the occurrence of a critical event.</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1.5</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Testing parameters are established from organisational established procedures on policies and specifications.</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1.6</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Equipment/tools and personal protective equipment are selected based on specified Performance Criteria and established procedures.</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1.7</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Work roles and tasks are allocated according to requirements and individuals' competencies.</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1.8</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Work is prioritised and sequenced for the most efficient/effective outcome, completed within an acceptable timeframe to a quality standard and in accordance with established procedures.</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1.9</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Liaison and communication issues with other/authorised personne</w:t>
            </w:r>
            <w:r w:rsidRPr="00D579A3">
              <w:t>l, authorities, clients and land owners are resolved and activities coordinated to carry out work.</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1.10</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Risk control measures are identified, prioritised and evaluated against the work schedule.</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1.11</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Relevant work permits are secured to coordinate th</w:t>
            </w:r>
            <w:r w:rsidRPr="00D579A3">
              <w:t>e performance of work according to requirements and/or established procedures.</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1.12</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Action plan is developed.</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2</w:t>
            </w:r>
          </w:p>
        </w:tc>
        <w:tc>
          <w:tcPr>
            <w:tcW w:w="2296" w:type="dxa"/>
            <w:vMerge w:val="restart"/>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Carry out the management of a critical event</w:t>
            </w: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2.1</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Action plan is initiated and continually monitored to ensure outcomes are being met.</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2.2</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OHS and sustainable energy principles, functionality and practices to reduce the incidents of accidents and minimise waste are incorporated into the network fault solution in accordance with requirements and/or established procedures.</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2.3</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Network fault management decisions are made on the basis of safety and effective outcomes according to requirements and/or established procedures.</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2.4</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Stakeholders/customers are kept informed of current status regarding plan progress and recent developm</w:t>
            </w:r>
            <w:r w:rsidRPr="00D579A3">
              <w:t>ents.</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2.5</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Technical advice is given regarding potential hazards, safety risks and control measures so that monitoring and preventative action can be undertaken and/or appropriate authorities consulted, where necessary, in accordance with requirements an</w:t>
            </w:r>
            <w:r w:rsidRPr="00D579A3">
              <w:t>d established procedures.</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2.6</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Essential knowledge and associated skills are applied to analyse specific data and compare it with compliance specifications to ensure completion of the project within an agreed timeframe according to requirements.</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2.7</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Testing of critical event management procedures is undertaken according to requirements and established procedures.</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2.8</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Work teams/groups are arranged/coordinated/evaluated to ensure planned goals are met according to established procedures.</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2.9</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Solu</w:t>
            </w:r>
            <w:r w:rsidRPr="00D579A3">
              <w:t>tions to non-routine problems are identified and actioned, using acquired essential knowledge and associated skills, according to requirements.</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2.10</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Q</w:t>
            </w:r>
            <w:r w:rsidRPr="00D579A3">
              <w:t>uality of work is monitored against personal performance agreement and/or established organisational and professional standards.</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2.11</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Strategic plans are developed incorporating organisation initiatives as per established procedures.</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3</w:t>
            </w:r>
          </w:p>
        </w:tc>
        <w:tc>
          <w:tcPr>
            <w:tcW w:w="2296"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Complete the man</w:t>
            </w:r>
            <w:r w:rsidRPr="00D579A3">
              <w:t>agement of a critical event</w:t>
            </w: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3.1</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 xml:space="preserve">Strategic plans are developed incorporating organisation initiatives as per established procedures. </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3.2</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Final review of the management procedures of the critical event are undertaken to ensure they comply with all requir</w:t>
            </w:r>
            <w:r w:rsidRPr="00D579A3">
              <w:t>ements and include all specifications and documentations needed to complete the project.</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3.3</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Appropriate personnel are notified of completion and reports and/or completion documents are finalised/commissioned.</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3.4</w:t>
            </w:r>
          </w:p>
        </w:tc>
        <w:tc>
          <w:tcPr>
            <w:tcW w:w="50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Reports and/or completion documents are submitted to relevant personnel/organisations for approval and, where applicable, statutory or regulatory approval.</w:t>
            </w:r>
          </w:p>
        </w:tc>
      </w:tr>
      <w:tr w:rsidTr="00FF56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3.5</w:t>
            </w:r>
          </w:p>
        </w:tc>
        <w:tc>
          <w:tcPr>
            <w:tcW w:w="5040" w:type="dxa"/>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t xml:space="preserve">Approved copies of critical event management documents are issued and records are updated in </w:t>
            </w:r>
            <w:r w:rsidRPr="00D579A3">
              <w:t>accordance with established procedures.</w:t>
            </w:r>
          </w:p>
        </w:tc>
      </w:tr>
    </w:tbl>
    <w:p w:rsidR="00FF56F6" w:rsidP="00D579A3">
      <w:pPr>
        <w:pStyle w:val="BodyText"/>
      </w:pPr>
    </w:p>
    <w:p w:rsidR="00FF56F6" w:rsidP="00D579A3">
      <w:pPr>
        <w:pStyle w:val="BodyText"/>
      </w:pPr>
    </w:p>
    <w:p w:rsidR="00000000" w:rsidRPr="00D579A3" w:rsidP="00D579A3">
      <w:pPr>
        <w:pStyle w:val="Heading1"/>
      </w:pPr>
      <w:bookmarkStart w:id="9" w:name="O_264043"/>
      <w:bookmarkEnd w:id="9"/>
      <w:r w:rsidRPr="00D579A3">
        <w:t>Required Skills and Knowledge</w:t>
      </w:r>
    </w:p>
    <w:tbl>
      <w:tblPr>
        <w:tblW w:w="0" w:type="auto"/>
        <w:tblLayout w:type="fixed"/>
        <w:tblCellMar>
          <w:left w:w="62" w:type="dxa"/>
          <w:right w:w="62" w:type="dxa"/>
        </w:tblCellMar>
        <w:tblLook w:val="0000"/>
      </w:tblPr>
      <w:tblGrid>
        <w:gridCol w:w="2700"/>
        <w:gridCol w:w="1080"/>
        <w:gridCol w:w="4860"/>
      </w:tblGrid>
      <w:tr w:rsidTr="00FF56F6">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rPr>
                <w:rStyle w:val="SpecialBold"/>
              </w:rPr>
              <w:t>REQUIRED SKILLS AND KNOWLEDGE</w:t>
            </w:r>
          </w:p>
        </w:tc>
      </w:tr>
      <w:tr w:rsidTr="00FF56F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rPr>
                <w:rStyle w:val="SpecialBold"/>
              </w:rPr>
              <w:t>7</w:t>
            </w:r>
            <w:r w:rsidRPr="00D579A3">
              <w:t xml:space="preserve">) </w:t>
            </w:r>
            <w:r w:rsidRPr="00D579A3">
              <w:rPr>
                <w:rStyle w:val="SpecialBold"/>
              </w:rPr>
              <w:t>Essential Knowledge and Associated Skills</w:t>
            </w:r>
            <w:r w:rsidRPr="00D579A3">
              <w:t xml:space="preserve"> (</w:t>
            </w:r>
            <w:r w:rsidRPr="00D579A3">
              <w:rPr>
                <w:rStyle w:val="SpecialBold"/>
              </w:rPr>
              <w:t>EKAS</w:t>
            </w:r>
            <w:r w:rsidRPr="00D579A3">
              <w:t>): This describes the essential skills and knowledge and their level, required for this unit.</w:t>
            </w:r>
          </w:p>
        </w:tc>
      </w:tr>
      <w:tr w:rsidTr="00FF56F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t xml:space="preserve">Evidence shall show that knowledge has been acquired of managing critical events. </w:t>
            </w:r>
          </w:p>
          <w:p w:rsidR="00000000" w:rsidRPr="00D579A3" w:rsidP="00D579A3">
            <w:pPr>
              <w:pStyle w:val="BodyText"/>
            </w:pPr>
            <w:r w:rsidRPr="00D579A3">
              <w:t>All knowledge and skills detailed in this unit should be contextualised to c</w:t>
            </w:r>
            <w:r w:rsidRPr="00D579A3">
              <w:t>urrent industry practices and technologies.</w:t>
            </w:r>
          </w:p>
          <w:p w:rsidR="00000000" w:rsidP="00D579A3">
            <w:pPr>
              <w:pStyle w:val="BodyText"/>
              <w:rPr>
                <w:lang w:val="en-NZ"/>
              </w:rPr>
            </w:pPr>
            <w:r w:rsidRPr="00D579A3">
              <w:t>The extent of the essential knowledge and associated skills (EKAS) required is given in Volume 2 - Part 2.2 EKAS. It forms an integral part of this unit.</w:t>
            </w:r>
          </w:p>
        </w:tc>
      </w:tr>
      <w:tr w:rsidTr="00FF56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 xml:space="preserve">E2.18.1 </w:t>
            </w:r>
          </w:p>
        </w:tc>
        <w:tc>
          <w:tcPr>
            <w:tcW w:w="486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Occupational Health and Safety principles</w:t>
            </w:r>
          </w:p>
        </w:tc>
      </w:tr>
      <w:tr w:rsidTr="00FF56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E2.18.2</w:t>
            </w:r>
          </w:p>
        </w:tc>
        <w:tc>
          <w:tcPr>
            <w:tcW w:w="486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Electrical safe working practice</w:t>
            </w:r>
          </w:p>
        </w:tc>
      </w:tr>
      <w:tr w:rsidTr="00FF56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T2.8.14</w:t>
            </w:r>
          </w:p>
        </w:tc>
        <w:tc>
          <w:tcPr>
            <w:tcW w:w="4860" w:type="dxa"/>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t>Enterprise specific  procedures and work practices relating to critical events</w:t>
            </w:r>
          </w:p>
        </w:tc>
      </w:tr>
    </w:tbl>
    <w:p w:rsidR="00FF56F6" w:rsidP="00D579A3">
      <w:pPr>
        <w:pStyle w:val="BodyText"/>
      </w:pPr>
    </w:p>
    <w:p w:rsidR="00FF56F6" w:rsidP="00D579A3">
      <w:pPr>
        <w:pStyle w:val="BodyText"/>
      </w:pPr>
    </w:p>
    <w:p w:rsidR="00000000" w:rsidRPr="00D579A3" w:rsidP="00D579A3">
      <w:pPr>
        <w:pStyle w:val="Heading1"/>
      </w:pPr>
      <w:bookmarkStart w:id="10" w:name="O_248235"/>
      <w:bookmarkEnd w:id="10"/>
      <w:r w:rsidRPr="00D579A3">
        <w:t>Evidence Guide</w:t>
      </w:r>
    </w:p>
    <w:tbl>
      <w:tblPr>
        <w:tblW w:w="0" w:type="auto"/>
        <w:tblLayout w:type="fixed"/>
        <w:tblCellMar>
          <w:left w:w="62" w:type="dxa"/>
          <w:right w:w="62" w:type="dxa"/>
        </w:tblCellMar>
        <w:tblLook w:val="0000"/>
      </w:tblPr>
      <w:tblGrid>
        <w:gridCol w:w="2160"/>
        <w:gridCol w:w="720"/>
        <w:gridCol w:w="900"/>
        <w:gridCol w:w="1620"/>
        <w:gridCol w:w="3240"/>
      </w:tblGrid>
      <w:tr w:rsidTr="00FF56F6">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rPr>
                <w:rStyle w:val="SpecialBold"/>
              </w:rPr>
              <w:t>EVIDENCE GUIDE</w:t>
            </w:r>
          </w:p>
        </w:tc>
      </w:tr>
      <w:tr w:rsidTr="00FF56F6">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rPr>
                <w:rStyle w:val="SpecialBold"/>
              </w:rPr>
              <w:t>9</w:t>
            </w:r>
            <w:r w:rsidRPr="00D579A3">
              <w:t>) This provides essential advice for assessment of the com</w:t>
            </w:r>
            <w:r w:rsidRPr="00D579A3">
              <w:t>petency standard unit and must be read in conjunction with the Performance Criteria and the Range Statement of the competency standard unit and the Training Package Assessment Guidelines.</w:t>
            </w:r>
          </w:p>
          <w:p w:rsidR="00000000" w:rsidP="00D579A3">
            <w:pPr>
              <w:pStyle w:val="BodyText"/>
              <w:rPr>
                <w:lang w:val="en-NZ"/>
              </w:rPr>
            </w:pPr>
            <w:r w:rsidRPr="00D579A3">
              <w:t>The Evidence Guide forms an integral part of this Competency Standar</w:t>
            </w:r>
            <w:r w:rsidRPr="00D579A3">
              <w:t>d Unit and shall be used in conjunction with all component parts of this unit and, performed in accordance with the Assessment Guidelines of this Training Package.</w:t>
            </w:r>
          </w:p>
        </w:tc>
      </w:tr>
      <w:tr w:rsidTr="00FF56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rPr>
                <w:rStyle w:val="SpecialBold"/>
              </w:rPr>
              <w:t>Overview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rPr>
                <w:rStyle w:val="SpecialBold"/>
              </w:rPr>
              <w:t>9</w:t>
            </w:r>
            <w:r w:rsidRPr="00D579A3">
              <w:t>.</w:t>
            </w:r>
            <w:r w:rsidRPr="00D579A3">
              <w:rPr>
                <w:rStyle w:val="SpecialBold"/>
              </w:rPr>
              <w:t>1</w:t>
            </w:r>
            <w:r w:rsidRPr="00D579A3">
              <w:t xml:space="preserve">) </w:t>
            </w:r>
          </w:p>
          <w:p w:rsidR="00000000" w:rsidRPr="00D579A3" w:rsidP="00D579A3">
            <w:pPr>
              <w:pStyle w:val="BodyText"/>
            </w:pPr>
            <w:r w:rsidRPr="00D579A3">
              <w:t>Longitudinal competency development approaches to assessme</w:t>
            </w:r>
            <w:r w:rsidRPr="00D579A3">
              <w:t>nt, such as Profiling, require data to be reliably gathered in a form that can be consistently interpreted over time. This approach is best utilised in Apprenticeship programs and reduces assessment intervention. It is the Industry's preferred model for ap</w:t>
            </w:r>
            <w:r w:rsidRPr="00D579A3">
              <w:t>prenticeships. However, where summative (or final) assessment is used it is to include the application of the competency in the normal work environment or, at a minimum, the application of the competency in a realistically simulated work environment. It is</w:t>
            </w:r>
            <w:r w:rsidRPr="00D579A3">
              <w:t xml:space="preserve"> recognised that, in some circumstances, assessment in part or full can occur outside the workplace. However, it must be in accord with Industry and, Regulatory policy in this regard.</w:t>
            </w:r>
          </w:p>
          <w:p w:rsidR="00000000" w:rsidRPr="00D579A3" w:rsidP="00D579A3">
            <w:pPr>
              <w:pStyle w:val="BodyText"/>
            </w:pPr>
            <w:r w:rsidRPr="00D579A3">
              <w:t>Methods chosen for a particular assessment will be influenced by various</w:t>
            </w:r>
            <w:r w:rsidRPr="00D579A3">
              <w:t xml:space="preserve"> factors. These include the extent of the assessment, the most effective locations for the assessment activities to take place, access to physical resources, additional safety measures that may be required and the critical nature of the competencies being </w:t>
            </w:r>
            <w:r w:rsidRPr="00D579A3">
              <w:t>assessed.</w:t>
            </w:r>
          </w:p>
          <w:p w:rsidR="00000000" w:rsidRPr="00D579A3" w:rsidP="00D579A3">
            <w:pPr>
              <w:pStyle w:val="BodyText"/>
            </w:pPr>
            <w:r w:rsidRPr="00D579A3">
              <w:t>The critical safety nature of working with electricity, electrical equipment, gas or any other hazardous substance/material carries risk in deeming a person competent. Hence, sources of evidence need to be 'rich' in nature so as to minimise error</w:t>
            </w:r>
            <w:r w:rsidRPr="00D579A3">
              <w:t xml:space="preserve"> in judgment.</w:t>
            </w:r>
          </w:p>
          <w:p w:rsidR="00000000" w:rsidP="00D579A3">
            <w:pPr>
              <w:pStyle w:val="BodyText"/>
              <w:rPr>
                <w:lang w:val="en-NZ"/>
              </w:rPr>
            </w:pPr>
            <w:r w:rsidRPr="00D579A3">
              <w:t>Activities associated with normal every day work have a bearing on the decision as to how much and how detailed the data gathered will contribute to its 'richness'. Some skills are more critical to safety and operational requirements while th</w:t>
            </w:r>
            <w:r w:rsidRPr="00D579A3">
              <w:t>e same skills may be more or less frequently practiced. These points are raised for the assessors to consider when choosing an assessment method and developing assessment instruments. Sample assessment instruments are included for Assessors in the Assessme</w:t>
            </w:r>
            <w:r w:rsidRPr="00D579A3">
              <w:t>nt Guidelines of this Training Package.</w:t>
            </w:r>
          </w:p>
        </w:tc>
      </w:tr>
      <w:tr w:rsidTr="00FF56F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rPr>
                <w:rStyle w:val="SpecialBold"/>
              </w:rPr>
              <w:t>Critical aspects of evidence required to demonstrate competency in this unit</w:t>
            </w:r>
          </w:p>
        </w:tc>
        <w:tc>
          <w:tcPr>
            <w:tcW w:w="6480" w:type="dxa"/>
            <w:gridSpan w:val="4"/>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rPr>
                <w:rStyle w:val="SpecialBold"/>
              </w:rPr>
              <w:t>9</w:t>
            </w:r>
            <w:r w:rsidRPr="00D579A3">
              <w:t>.</w:t>
            </w:r>
            <w:r w:rsidRPr="00D579A3">
              <w:rPr>
                <w:rStyle w:val="SpecialBold"/>
              </w:rPr>
              <w:t>2</w:t>
            </w:r>
            <w:r w:rsidRPr="00D579A3">
              <w:t xml:space="preserve">) </w:t>
            </w:r>
          </w:p>
          <w:p w:rsidR="00000000" w:rsidP="00D579A3">
            <w:pPr>
              <w:pStyle w:val="BodyText"/>
              <w:rPr>
                <w:lang w:val="en-NZ"/>
              </w:rPr>
            </w:pPr>
            <w:r w:rsidRPr="00D579A3">
              <w:t>Before the critical aspects of evidence are considered all prerequisites shall be met.</w:t>
            </w:r>
          </w:p>
        </w:tc>
      </w:tr>
      <w:tr w:rsidTr="00FF56F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D579A3">
            <w:pPr>
              <w:pStyle w:val="ListBullet"/>
              <w:rPr>
                <w:lang w:val="en-NZ"/>
              </w:rPr>
            </w:pPr>
            <w:r w:rsidRPr="00D579A3">
              <w:t>A</w:t>
            </w:r>
            <w:r w:rsidRPr="00D579A3">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FF56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D579A3" w:rsidP="00D579A3">
            <w:pPr>
              <w:pStyle w:val="ListBullet2"/>
            </w:pPr>
            <w:r w:rsidRPr="00D579A3">
              <w:t>Implement Occupational Health and Safety workplace procedures and practices including the use of risk control measures as specified in the Performance Criteria and range; and</w:t>
            </w:r>
          </w:p>
          <w:p w:rsidR="00000000" w:rsidRPr="00D579A3" w:rsidP="00D579A3">
            <w:pPr>
              <w:pStyle w:val="ListBullet2"/>
            </w:pPr>
            <w:r w:rsidRPr="00D579A3">
              <w:t>Apply sustainable energy principles and practices as specified in the Performance Criteria and range; and</w:t>
            </w:r>
          </w:p>
          <w:p w:rsidR="00000000" w:rsidRPr="00D579A3" w:rsidP="00D579A3">
            <w:pPr>
              <w:pStyle w:val="ListBullet2"/>
            </w:pPr>
            <w:r w:rsidRPr="00D579A3">
              <w:t xml:space="preserve">Demonstrate an understanding of the essential knowledge and associated skills described in this unit to such an extent that the learner's performance </w:t>
            </w:r>
            <w:r w:rsidRPr="00D579A3">
              <w:t>outcome is reported in accordance with the preferred approach; namely a percentile graded result, where required by the regulated environment; and</w:t>
            </w:r>
          </w:p>
          <w:p w:rsidR="00000000" w:rsidRPr="00D579A3" w:rsidP="00D579A3">
            <w:pPr>
              <w:pStyle w:val="ListBullet2"/>
            </w:pPr>
            <w:r w:rsidRPr="00D579A3">
              <w:t>Demonstrate an appropriate level of employability skills; and</w:t>
            </w:r>
          </w:p>
          <w:p w:rsidR="00000000" w:rsidP="00D579A3">
            <w:pPr>
              <w:pStyle w:val="ListBullet2"/>
              <w:rPr>
                <w:lang w:val="en-NZ"/>
              </w:rPr>
            </w:pPr>
            <w:r w:rsidRPr="00D579A3">
              <w:t>Conduct work observing the relevant Anti Discri</w:t>
            </w:r>
            <w:r w:rsidRPr="00D579A3">
              <w:t>mination legislation, regulations, policies and workplace procedures; and</w:t>
            </w:r>
          </w:p>
        </w:tc>
      </w:tr>
      <w:tr w:rsidTr="00FF56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D579A3">
            <w:pPr>
              <w:pStyle w:val="ListBullet"/>
              <w:rPr>
                <w:lang w:val="en-NZ"/>
              </w:rPr>
            </w:pPr>
            <w:r w:rsidRPr="00D579A3">
              <w:t>Demonstrated performance across a representative range of contexts from the prescribed items below:</w:t>
            </w:r>
          </w:p>
        </w:tc>
      </w:tr>
      <w:tr w:rsidTr="00FF56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D579A3">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9A3">
            <w:pPr>
              <w:pStyle w:val="BodyText"/>
              <w:rPr>
                <w:lang w:val="en-NZ"/>
              </w:rPr>
            </w:pPr>
            <w:r w:rsidRPr="00D579A3">
              <w:rPr>
                <w:rStyle w:val="SpecialBold"/>
              </w:rPr>
              <w:t>Range of tools</w:t>
            </w:r>
            <w:r w:rsidRPr="00D579A3">
              <w:t>/</w:t>
            </w:r>
            <w:r w:rsidRPr="00D579A3">
              <w:rPr>
                <w:rStyle w:val="SpecialBold"/>
              </w:rPr>
              <w:t>equipment</w:t>
            </w:r>
            <w:r w:rsidRPr="00D579A3">
              <w:t>/</w:t>
            </w:r>
            <w:r w:rsidRPr="00D579A3">
              <w:rPr>
                <w:rStyle w:val="SpecialBold"/>
              </w:rPr>
              <w:t>materials</w:t>
            </w:r>
            <w:r w:rsidRPr="00D579A3">
              <w:t>/</w:t>
            </w:r>
            <w:r w:rsidRPr="00D579A3">
              <w:rPr>
                <w:rStyle w:val="SpecialBold"/>
              </w:rPr>
              <w:t>procedures</w:t>
            </w:r>
            <w:r w:rsidRPr="00D579A3">
              <w:t>/</w:t>
            </w:r>
            <w:r w:rsidRPr="00D579A3">
              <w:rPr>
                <w:rStyle w:val="SpecialBold"/>
              </w:rPr>
              <w:t>workplaces</w:t>
            </w:r>
            <w:r w:rsidRPr="00D579A3">
              <w:t>/</w:t>
            </w:r>
            <w:r w:rsidRPr="00D579A3">
              <w:rPr>
                <w:rStyle w:val="SpecialBold"/>
              </w:rPr>
              <w:t>other variables</w:t>
            </w:r>
          </w:p>
        </w:tc>
      </w:tr>
      <w:tr w:rsidTr="00FF56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9A3">
            <w:pPr>
              <w:pStyle w:val="BodyText"/>
              <w:rPr>
                <w:lang w:val="en-NZ"/>
              </w:rPr>
            </w:pPr>
            <w:r w:rsidRPr="00D579A3">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9A3">
            <w:pPr>
              <w:pStyle w:val="BodyText"/>
              <w:rPr>
                <w:lang w:val="en-NZ"/>
              </w:rPr>
            </w:pPr>
            <w:r w:rsidRPr="00D579A3">
              <w:t>The minimum number of items on which skill is to be demonstrated</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9A3">
            <w:pPr>
              <w:pStyle w:val="BodyText"/>
              <w:rPr>
                <w:lang w:val="en-NZ"/>
              </w:rPr>
            </w:pPr>
            <w:r w:rsidRPr="00D579A3">
              <w:t>Item List</w:t>
            </w:r>
          </w:p>
        </w:tc>
      </w:tr>
      <w:tr w:rsidTr="00FF56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9A3">
            <w:pPr>
              <w:pStyle w:val="BodyText"/>
              <w:rPr>
                <w:lang w:val="en-NZ"/>
              </w:rPr>
            </w:pPr>
            <w:r w:rsidRPr="00D579A3">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9A3">
            <w:pPr>
              <w:pStyle w:val="BodyText"/>
              <w:rPr>
                <w:lang w:val="en-NZ"/>
              </w:rPr>
            </w:pPr>
            <w:r w:rsidRPr="00D579A3">
              <w:t>Manage a Critical Event within including all of the following:</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9A3" w:rsidP="00D579A3">
            <w:pPr>
              <w:pStyle w:val="BodyText"/>
            </w:pPr>
            <w:r w:rsidRPr="00D579A3">
              <w:t>Identify a critical event.</w:t>
            </w:r>
          </w:p>
          <w:p w:rsidR="00000000" w:rsidRPr="00D579A3" w:rsidP="00D579A3">
            <w:pPr>
              <w:pStyle w:val="BodyText"/>
            </w:pPr>
            <w:r w:rsidRPr="00D579A3">
              <w:t>Develop a plan to enable management of a critical event.</w:t>
            </w:r>
          </w:p>
          <w:p w:rsidR="00000000" w:rsidRPr="00D579A3" w:rsidP="00D579A3">
            <w:pPr>
              <w:pStyle w:val="BodyText"/>
            </w:pPr>
            <w:r w:rsidRPr="00D579A3">
              <w:t>Implement plans in order that the network be restored after the critical event has occurred.</w:t>
            </w:r>
          </w:p>
          <w:p w:rsidR="00000000" w:rsidRPr="00D579A3" w:rsidP="00D579A3">
            <w:pPr>
              <w:pStyle w:val="BodyText"/>
            </w:pPr>
            <w:r w:rsidRPr="00D579A3">
              <w:t>Effectively liaise with operating authorities and field crews to restore the network after a critical event has occurred.</w:t>
            </w:r>
          </w:p>
          <w:p w:rsidR="00000000" w:rsidP="00D579A3">
            <w:pPr>
              <w:pStyle w:val="BodyText"/>
              <w:rPr>
                <w:lang w:val="en-NZ"/>
              </w:rPr>
            </w:pPr>
            <w:r w:rsidRPr="00D579A3">
              <w:t>Document/De-brief actions upon restorati</w:t>
            </w:r>
            <w:r w:rsidRPr="00D579A3">
              <w:t>on of the network.</w:t>
            </w:r>
          </w:p>
        </w:tc>
      </w:tr>
      <w:tr w:rsidTr="00FF56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9A3">
            <w:pPr>
              <w:pStyle w:val="BodyText"/>
              <w:rPr>
                <w:lang w:val="en-NZ"/>
              </w:rPr>
            </w:pPr>
            <w:r w:rsidRPr="00D579A3">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9A3">
            <w:pPr>
              <w:pStyle w:val="BodyText"/>
              <w:rPr>
                <w:lang w:val="en-NZ"/>
              </w:rPr>
            </w:pPr>
            <w:r w:rsidRPr="00D579A3">
              <w:t>At least one occasion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9A3">
            <w:pPr>
              <w:pStyle w:val="BodyText"/>
              <w:rPr>
                <w:lang w:val="en-NZ"/>
              </w:rPr>
            </w:pPr>
            <w:r w:rsidRPr="00D579A3">
              <w:t>Dealing with an unplanned event by drawing on essential knowledge and associated skills to provide appropriate solutions incorporated in the holistic assessment with the above listed items.</w:t>
            </w:r>
          </w:p>
        </w:tc>
      </w:tr>
      <w:tr w:rsidTr="00FF56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rPr>
                <w:rStyle w:val="SpecialBold"/>
              </w:rPr>
              <w:t>Context of and spec</w:t>
            </w:r>
            <w:r w:rsidRPr="00D579A3">
              <w:rPr>
                <w:rStyle w:val="SpecialBold"/>
              </w:rPr>
              <w:t>ific resources for assessment</w:t>
            </w:r>
          </w:p>
        </w:tc>
        <w:tc>
          <w:tcPr>
            <w:tcW w:w="6480" w:type="dxa"/>
            <w:gridSpan w:val="4"/>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rPr>
                <w:rStyle w:val="SpecialBold"/>
              </w:rPr>
              <w:t>9</w:t>
            </w:r>
            <w:r w:rsidRPr="00D579A3">
              <w:t>.</w:t>
            </w:r>
            <w:r w:rsidRPr="00D579A3">
              <w:rPr>
                <w:rStyle w:val="SpecialBold"/>
              </w:rPr>
              <w:t>3</w:t>
            </w:r>
            <w:r w:rsidRPr="00D579A3">
              <w:t xml:space="preserve">) </w:t>
            </w:r>
          </w:p>
          <w:p w:rsidR="00000000" w:rsidRPr="00D579A3" w:rsidP="00D579A3">
            <w:pPr>
              <w:pStyle w:val="BodyText"/>
            </w:pPr>
            <w:r w:rsidRPr="00D579A3">
              <w:t>This unit should be assessed as it relates to normal work practice using procedures, information and resources typical of a workplace. This should include:</w:t>
            </w:r>
          </w:p>
          <w:p w:rsidR="00000000" w:rsidRPr="00D579A3" w:rsidP="00D579A3">
            <w:pPr>
              <w:pStyle w:val="ListBullet"/>
            </w:pPr>
            <w:r w:rsidRPr="00D579A3">
              <w:t>OHS policy and work procedures and instructions.</w:t>
            </w:r>
          </w:p>
          <w:p w:rsidR="00000000" w:rsidRPr="00D579A3" w:rsidP="00D579A3">
            <w:pPr>
              <w:pStyle w:val="ListBullet"/>
            </w:pPr>
            <w:r w:rsidRPr="00D579A3">
              <w:t>Suitable work environment, facilities, equipment and materials to undertake actual for management of a critical event.</w:t>
            </w:r>
          </w:p>
          <w:p w:rsidR="00000000" w:rsidRPr="00D579A3" w:rsidP="00D579A3">
            <w:pPr>
              <w:pStyle w:val="BodyText"/>
            </w:pPr>
            <w:r w:rsidRPr="00D579A3">
              <w:t>Note:</w:t>
            </w:r>
          </w:p>
          <w:p w:rsidR="00000000" w:rsidP="00D579A3">
            <w:pPr>
              <w:pStyle w:val="BodyText"/>
              <w:rPr>
                <w:lang w:val="en-NZ"/>
              </w:rPr>
            </w:pPr>
            <w:r w:rsidRPr="00D579A3">
              <w:t>Access will be needed to: relevant protection, control, metering, and alarm equipment, network drawings, computerised electrical pl</w:t>
            </w:r>
            <w:r w:rsidRPr="00D579A3">
              <w:t>ant control and monitoring facilities, operational event data, enterprise operational policies, procedures and work practices and enterprise crisis management procedures.</w:t>
            </w:r>
          </w:p>
        </w:tc>
      </w:tr>
      <w:tr w:rsidTr="00FF56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 xml:space="preserve">In addition to the resources listed above, in Context of and specific resources </w:t>
            </w:r>
            <w:r w:rsidRPr="00D579A3">
              <w:t xml:space="preserve">for assessment, evidence should show demonstrated competency working in realistic environment and a variety of conditions </w:t>
            </w:r>
          </w:p>
        </w:tc>
      </w:tr>
      <w:tr w:rsidTr="00FF56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rPr>
                <w:rStyle w:val="SpecialBold"/>
              </w:rPr>
              <w:t>Method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rPr>
                <w:rStyle w:val="SpecialBold"/>
              </w:rPr>
              <w:t>9</w:t>
            </w:r>
            <w:r w:rsidRPr="00D579A3">
              <w:t>.</w:t>
            </w:r>
            <w:r w:rsidRPr="00D579A3">
              <w:rPr>
                <w:rStyle w:val="SpecialBold"/>
              </w:rPr>
              <w:t>4</w:t>
            </w:r>
            <w:r w:rsidRPr="00D579A3">
              <w:t xml:space="preserve">) </w:t>
            </w:r>
          </w:p>
          <w:p w:rsidR="00000000" w:rsidRPr="00D579A3" w:rsidP="00D579A3">
            <w:pPr>
              <w:pStyle w:val="BodyText"/>
            </w:pPr>
            <w:r w:rsidRPr="00D579A3">
              <w:t>This Competency Standard Unit shall be assessed by methods given in Volume 1, Part 3 "Assessment Guidelines".</w:t>
            </w:r>
          </w:p>
          <w:p w:rsidR="00000000" w:rsidP="00D579A3">
            <w:pPr>
              <w:pStyle w:val="BodyText"/>
              <w:rPr>
                <w:lang w:val="en-NZ"/>
              </w:rPr>
            </w:pPr>
            <w:r w:rsidRPr="00D579A3">
              <w:t>Note:</w:t>
            </w:r>
            <w:r w:rsidRPr="00D579A3">
              <w:br/>
              <w:t>Competent performance with inherent safe working practices is expected in the Transmission, Distribution and Rail Traction Industry. This re</w:t>
            </w:r>
            <w:r w:rsidRPr="00D579A3">
              <w:t>quires that the specified essential knowledge and associated skills are assessed in a structured environment which is primarily intended for learning/assessment and incorporates all necessary equipment and facilities for learners to develop and demonstrate</w:t>
            </w:r>
            <w:r w:rsidRPr="00D579A3">
              <w:t xml:space="preserve"> the essential knowledge and associated skills described in this unit.</w:t>
            </w:r>
          </w:p>
        </w:tc>
      </w:tr>
      <w:tr w:rsidTr="00FF56F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rPr>
                <w:rStyle w:val="SpecialBold"/>
              </w:rPr>
              <w:t>Concurrent assessment and relationship with other units</w:t>
            </w:r>
          </w:p>
        </w:tc>
        <w:tc>
          <w:tcPr>
            <w:tcW w:w="6480" w:type="dxa"/>
            <w:gridSpan w:val="4"/>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rPr>
                <w:rStyle w:val="SpecialBold"/>
              </w:rPr>
              <w:t>9</w:t>
            </w:r>
            <w:r w:rsidRPr="00D579A3">
              <w:t>.</w:t>
            </w:r>
            <w:r w:rsidRPr="00D579A3">
              <w:rPr>
                <w:rStyle w:val="SpecialBold"/>
              </w:rPr>
              <w:t>5</w:t>
            </w:r>
            <w:r w:rsidRPr="00D579A3">
              <w:t>)</w:t>
            </w:r>
          </w:p>
        </w:tc>
      </w:tr>
      <w:tr w:rsidTr="00FF56F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t>There are no concurrent assessment recommendations for this unit.</w:t>
            </w:r>
          </w:p>
        </w:tc>
      </w:tr>
    </w:tbl>
    <w:p w:rsidR="00FF56F6" w:rsidP="00D579A3">
      <w:pPr>
        <w:pStyle w:val="BodyText"/>
      </w:pPr>
    </w:p>
    <w:p w:rsidR="00FF56F6" w:rsidP="00D579A3">
      <w:pPr>
        <w:pStyle w:val="BodyText"/>
      </w:pPr>
    </w:p>
    <w:p w:rsidR="00000000" w:rsidRPr="00D579A3" w:rsidP="00D579A3">
      <w:pPr>
        <w:pStyle w:val="Heading1"/>
      </w:pPr>
      <w:bookmarkStart w:id="11" w:name="O_256219"/>
      <w:bookmarkEnd w:id="11"/>
      <w:r w:rsidRPr="00D579A3">
        <w:t>Range Statement</w:t>
      </w:r>
    </w:p>
    <w:tbl>
      <w:tblPr>
        <w:tblW w:w="0" w:type="auto"/>
        <w:tblLayout w:type="fixed"/>
        <w:tblCellMar>
          <w:left w:w="62" w:type="dxa"/>
          <w:right w:w="62" w:type="dxa"/>
        </w:tblCellMar>
        <w:tblLook w:val="0000"/>
      </w:tblPr>
      <w:tblGrid>
        <w:gridCol w:w="2160"/>
        <w:gridCol w:w="6480"/>
      </w:tblGrid>
      <w:tr w:rsidTr="00FF56F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rPr>
                <w:rStyle w:val="SpecialBold"/>
              </w:rPr>
              <w:t>RANGE STATEMENT</w:t>
            </w:r>
          </w:p>
        </w:tc>
      </w:tr>
      <w:tr w:rsidTr="00FF56F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rPr>
                <w:rStyle w:val="SpecialBold"/>
              </w:rPr>
              <w:t>8</w:t>
            </w:r>
            <w:r w:rsidRPr="00D579A3">
              <w:t>) This relates to the competency standard unit as a whole providing the range of contexts and conditions to which the Performance Criteria apply. It allows for different work environments and situations that will affect performance.</w:t>
            </w:r>
          </w:p>
        </w:tc>
      </w:tr>
      <w:tr w:rsidTr="00FF56F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t>This Competency Standard Unit shall/may be demonstrated in relation to the management of critical event operations such as simultaneous multiple network faults and storm events of various magnitudes and shall/may be demonstrated using the following:</w:t>
            </w:r>
          </w:p>
          <w:p w:rsidR="00000000" w:rsidRPr="00D579A3" w:rsidP="00D579A3">
            <w:pPr>
              <w:pStyle w:val="BodyText"/>
            </w:pPr>
            <w:r w:rsidRPr="00D579A3">
              <w:t>Equipm</w:t>
            </w:r>
            <w:r w:rsidRPr="00D579A3">
              <w:t xml:space="preserve">ent includes; sectionalisers, security, sensitive earth fault protection, communication bearers, local trip circuits, inter-trip circuits, remote control supervisory circuits, frequency injection units, under frequency circuits, voice frequency protection </w:t>
            </w:r>
            <w:r w:rsidRPr="00D579A3">
              <w:t>signalling, micro-controllers, RDC and MUX units, pilot cables, telephone lines, microwave bearers, cossonay earthwire carriers and optical fibre cables.</w:t>
            </w:r>
          </w:p>
          <w:p w:rsidR="00000000" w:rsidRPr="00D579A3" w:rsidP="00D579A3">
            <w:pPr>
              <w:pStyle w:val="BodyText"/>
            </w:pPr>
            <w:r w:rsidRPr="00D579A3">
              <w:t>Equipment also includes; LV fuses, links and bridges, HV links, fuses, reclosers, ring main units, cir</w:t>
            </w:r>
            <w:r w:rsidRPr="00D579A3">
              <w:t>cuit breakers, isolators, earth switches, sectionalisers, air break switches, capacitor banks, transformer taps, metering and protection equipment, data communication systems. Primary and secondary voltage and current injection equipment; time delay measur</w:t>
            </w:r>
            <w:r w:rsidRPr="00D579A3">
              <w:t>ing equipment; current transformers; voltage transformers; power transformers; tapchangers; circuit breakers; capacitor banks; ring main units; audio frequency load control; circuit breaker auxiliary systems; substation and metal structure earthing systems</w:t>
            </w:r>
            <w:r w:rsidRPr="00D579A3">
              <w:t>; SCADA interfaces and transducer inputs; local opto-isolated alarms: PLC programs; auto reclosers (ACRS); protection relays; metering; control circuits; statistical metering systems; frame leakage relays; distance relays; pilot wire relays; transformer di</w:t>
            </w:r>
            <w:r w:rsidRPr="00D579A3">
              <w:t xml:space="preserve">fferential relays; busbar differential relays; impedance bus zone relays; overcurrent and earth fault relays; transformer neutral check relays; circuit breaker fail relays; multi-trip relays; auto recloser relays; voltage transformer failure relays; surge </w:t>
            </w:r>
            <w:r w:rsidRPr="00D579A3">
              <w:t>protection relays; buchholz relays; winding temperature relays; sensitive earth fault relays; phase failure relays; frequency relays; load shedding relays; general protection LV devices; oil temperature protection devices; oil surge protection devices; pow</w:t>
            </w:r>
            <w:r w:rsidRPr="00D579A3">
              <w:t>er supplies. differential relays; power systems; multi-facetted schemes; interactive overload schemes, distance protection (incorporating relay selection, switched/non-switched schemes; mutual coupling and teed feeder systems); protection signalling (incor</w:t>
            </w:r>
            <w:r w:rsidRPr="00D579A3">
              <w:t>porating series, direct, permissive, distance acceleration, block interruption); telecommunication circuits and equipment; alternators; generator differential protection; over/under speed protection; over/under flux protection; synchroscopes; excitation ci</w:t>
            </w:r>
            <w:r w:rsidRPr="00D579A3">
              <w:t>rcuits; governors.</w:t>
            </w:r>
          </w:p>
          <w:p w:rsidR="00000000" w:rsidRPr="00D579A3" w:rsidP="00D579A3">
            <w:pPr>
              <w:pStyle w:val="BodyText"/>
            </w:pPr>
            <w:r w:rsidRPr="00D579A3">
              <w:t>Communication equipment may include: Fixed radio; mobile radio; satellite; sacs controllers; computer hardware and software; programmable controllers; modems; digital line drivers (low and high speed); fibre optic line drivers (low and h</w:t>
            </w:r>
            <w:r w:rsidRPr="00D579A3">
              <w:t>igh speed); radio links including voice link and digital bearer; wave trap.</w:t>
            </w:r>
          </w:p>
          <w:p w:rsidR="00000000" w:rsidP="00D579A3">
            <w:pPr>
              <w:pStyle w:val="BodyText"/>
              <w:rPr>
                <w:lang w:val="en-NZ"/>
              </w:rPr>
            </w:pPr>
            <w:r w:rsidRPr="00D579A3">
              <w:t>The following constants and variables included in the Element/Performance Criteria in this unit are fully described in the Definitions Section 1 of this volume and form an integral</w:t>
            </w:r>
            <w:r w:rsidRPr="00D579A3">
              <w:t xml:space="preserve"> part of the Range Statement of this unit:</w:t>
            </w:r>
          </w:p>
        </w:tc>
      </w:tr>
      <w:tr w:rsidTr="00FF56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D579A3" w:rsidP="00D579A3">
            <w:pPr>
              <w:pStyle w:val="ListBullet"/>
            </w:pPr>
            <w:r w:rsidRPr="00D579A3">
              <w:t>Appropriate and relevant persons (see Personnel)</w:t>
            </w:r>
          </w:p>
          <w:p w:rsidR="00000000" w:rsidRPr="00D579A3" w:rsidP="00D579A3">
            <w:pPr>
              <w:pStyle w:val="ListBullet"/>
            </w:pPr>
            <w:r w:rsidRPr="00D579A3">
              <w:t>Appropriate authorities</w:t>
            </w:r>
          </w:p>
          <w:p w:rsidR="00000000" w:rsidRPr="00D579A3" w:rsidP="00D579A3">
            <w:pPr>
              <w:pStyle w:val="ListBullet"/>
            </w:pPr>
            <w:r w:rsidRPr="00D579A3">
              <w:t>Appropriate work platform</w:t>
            </w:r>
          </w:p>
          <w:p w:rsidR="00000000" w:rsidRPr="00D579A3" w:rsidP="00D579A3">
            <w:pPr>
              <w:pStyle w:val="ListBullet"/>
            </w:pPr>
            <w:r w:rsidRPr="00D579A3">
              <w:t>Assessing risk</w:t>
            </w:r>
          </w:p>
          <w:p w:rsidR="00000000" w:rsidRPr="00D579A3" w:rsidP="00D579A3">
            <w:pPr>
              <w:pStyle w:val="ListBullet"/>
            </w:pPr>
            <w:r w:rsidRPr="00D579A3">
              <w:t>Assessment</w:t>
            </w:r>
          </w:p>
          <w:p w:rsidR="00000000" w:rsidRPr="00D579A3" w:rsidP="00D579A3">
            <w:pPr>
              <w:pStyle w:val="ListBullet"/>
            </w:pPr>
            <w:r w:rsidRPr="00D579A3">
              <w:t xml:space="preserve">Authorisation </w:t>
            </w:r>
          </w:p>
          <w:p w:rsidR="00000000" w:rsidRPr="00D579A3" w:rsidP="00D579A3">
            <w:pPr>
              <w:pStyle w:val="ListBullet"/>
            </w:pPr>
            <w:r w:rsidRPr="00D579A3">
              <w:t>Confined space</w:t>
            </w:r>
          </w:p>
          <w:p w:rsidR="00000000" w:rsidRPr="00D579A3" w:rsidP="00D579A3">
            <w:pPr>
              <w:pStyle w:val="ListBullet"/>
            </w:pPr>
            <w:r w:rsidRPr="00D579A3">
              <w:t>Diagnostic, testing and restoration</w:t>
            </w:r>
          </w:p>
          <w:p w:rsidR="00000000" w:rsidRPr="00D579A3" w:rsidP="00D579A3">
            <w:pPr>
              <w:pStyle w:val="ListBullet"/>
            </w:pPr>
            <w:r w:rsidRPr="00D579A3">
              <w:t>Documenting detail work events, record keeping and or storage of information</w:t>
            </w:r>
          </w:p>
          <w:p w:rsidR="00000000" w:rsidRPr="00D579A3" w:rsidP="00D579A3">
            <w:pPr>
              <w:pStyle w:val="ListBullet"/>
            </w:pPr>
            <w:r w:rsidRPr="00D579A3">
              <w:t>Drawings and specifications</w:t>
            </w:r>
          </w:p>
          <w:p w:rsidR="00000000" w:rsidRPr="00D579A3" w:rsidP="00D579A3">
            <w:pPr>
              <w:pStyle w:val="ListBullet"/>
            </w:pPr>
            <w:r w:rsidRPr="00D579A3">
              <w:t>Emergency</w:t>
            </w:r>
          </w:p>
          <w:p w:rsidR="00000000" w:rsidRPr="00D579A3" w:rsidP="00D579A3">
            <w:pPr>
              <w:pStyle w:val="ListBullet"/>
            </w:pPr>
            <w:r w:rsidRPr="00D579A3">
              <w:t>Environmental and sustainable energy procedures</w:t>
            </w:r>
          </w:p>
          <w:p w:rsidR="00000000" w:rsidRPr="00D579A3" w:rsidP="00D579A3">
            <w:pPr>
              <w:pStyle w:val="ListBullet"/>
            </w:pPr>
            <w:r w:rsidRPr="00D579A3">
              <w:t>Environmental legislation</w:t>
            </w:r>
          </w:p>
          <w:p w:rsidR="00000000" w:rsidRPr="00D579A3" w:rsidP="00D579A3">
            <w:pPr>
              <w:pStyle w:val="ListBullet"/>
            </w:pPr>
            <w:r w:rsidRPr="00D579A3">
              <w:t>Environmental management documentation</w:t>
            </w:r>
          </w:p>
          <w:p w:rsidR="00000000" w:rsidRPr="00D579A3" w:rsidP="00D579A3">
            <w:pPr>
              <w:pStyle w:val="ListBullet"/>
            </w:pPr>
            <w:r w:rsidRPr="00D579A3">
              <w:t>Established procedures</w:t>
            </w:r>
          </w:p>
          <w:p w:rsidR="00000000" w:rsidRPr="00D579A3" w:rsidP="00D579A3">
            <w:pPr>
              <w:pStyle w:val="ListBullet"/>
            </w:pPr>
            <w:r w:rsidRPr="00D579A3">
              <w:t xml:space="preserve">Fall </w:t>
            </w:r>
            <w:r w:rsidRPr="00D579A3">
              <w:t>prevention</w:t>
            </w:r>
          </w:p>
          <w:p w:rsidR="00000000" w:rsidRPr="00D579A3" w:rsidP="00D579A3">
            <w:pPr>
              <w:pStyle w:val="ListBullet"/>
            </w:pPr>
            <w:r w:rsidRPr="00D579A3">
              <w:t>Hazards</w:t>
            </w:r>
          </w:p>
          <w:p w:rsidR="00000000" w:rsidRPr="00D579A3" w:rsidP="00D579A3">
            <w:pPr>
              <w:pStyle w:val="ListBullet"/>
            </w:pPr>
            <w:r w:rsidRPr="00D579A3">
              <w:t>Identifying hazards</w:t>
            </w:r>
          </w:p>
          <w:p w:rsidR="00000000" w:rsidRPr="00D579A3" w:rsidP="00D579A3">
            <w:pPr>
              <w:pStyle w:val="ListBullet"/>
            </w:pPr>
            <w:r w:rsidRPr="00D579A3">
              <w:t>Inspect</w:t>
            </w:r>
          </w:p>
          <w:p w:rsidR="00000000" w:rsidRPr="00D579A3" w:rsidP="00D579A3">
            <w:pPr>
              <w:pStyle w:val="ListBullet"/>
            </w:pPr>
            <w:r w:rsidRPr="00D579A3">
              <w:t>Legislation</w:t>
            </w:r>
          </w:p>
          <w:p w:rsidR="00000000" w:rsidRPr="00D579A3" w:rsidP="00D579A3">
            <w:pPr>
              <w:pStyle w:val="ListBullet"/>
            </w:pPr>
            <w:r w:rsidRPr="00D579A3">
              <w:t>MSDS</w:t>
            </w:r>
          </w:p>
          <w:p w:rsidR="00000000" w:rsidRPr="00D579A3" w:rsidP="00D579A3">
            <w:pPr>
              <w:pStyle w:val="ListBullet"/>
            </w:pPr>
            <w:r w:rsidRPr="00D579A3">
              <w:t>Notification.</w:t>
            </w:r>
          </w:p>
          <w:p w:rsidR="00000000" w:rsidRPr="00D579A3" w:rsidP="00D579A3">
            <w:pPr>
              <w:pStyle w:val="ListBullet"/>
            </w:pPr>
            <w:r w:rsidRPr="00D579A3">
              <w:t>OHS practices</w:t>
            </w:r>
          </w:p>
          <w:p w:rsidR="00000000" w:rsidRPr="00D579A3" w:rsidP="00D579A3">
            <w:pPr>
              <w:pStyle w:val="ListBullet"/>
            </w:pPr>
            <w:r w:rsidRPr="00D579A3">
              <w:t>OHS issues</w:t>
            </w:r>
          </w:p>
          <w:p w:rsidR="00000000" w:rsidRPr="00D579A3" w:rsidP="00D579A3">
            <w:pPr>
              <w:pStyle w:val="ListBullet"/>
            </w:pPr>
            <w:r w:rsidRPr="00D579A3">
              <w:t>Permits and/or permits to work</w:t>
            </w:r>
          </w:p>
          <w:p w:rsidR="00000000" w:rsidRPr="00D579A3" w:rsidP="00D579A3">
            <w:pPr>
              <w:pStyle w:val="ListBullet"/>
            </w:pPr>
            <w:r w:rsidRPr="00D579A3">
              <w:t>Personnel</w:t>
            </w:r>
          </w:p>
          <w:p w:rsidR="00000000" w:rsidRPr="00D579A3" w:rsidP="00D579A3">
            <w:pPr>
              <w:pStyle w:val="ListBullet"/>
            </w:pPr>
            <w:r w:rsidRPr="00D579A3">
              <w:t>Quality assurance systems</w:t>
            </w:r>
          </w:p>
          <w:p w:rsidR="00000000" w:rsidRPr="00D579A3" w:rsidP="00D579A3">
            <w:pPr>
              <w:pStyle w:val="ListBullet"/>
            </w:pPr>
            <w:r w:rsidRPr="00D579A3">
              <w:t>Requirements</w:t>
            </w:r>
          </w:p>
          <w:p w:rsidR="00000000" w:rsidRPr="00D579A3" w:rsidP="00D579A3">
            <w:pPr>
              <w:pStyle w:val="ListBullet"/>
            </w:pPr>
            <w:r w:rsidRPr="00D579A3">
              <w:t>Testing procedures</w:t>
            </w:r>
          </w:p>
          <w:p w:rsidR="00000000" w:rsidRPr="00D579A3" w:rsidP="00D579A3">
            <w:pPr>
              <w:pStyle w:val="ListBullet"/>
            </w:pPr>
            <w:r w:rsidRPr="00D579A3">
              <w:t>Work clearance systems</w:t>
            </w:r>
          </w:p>
        </w:tc>
      </w:tr>
    </w:tbl>
    <w:p w:rsidR="00FF56F6" w:rsidP="00D579A3">
      <w:pPr>
        <w:pStyle w:val="BodyText"/>
      </w:pPr>
    </w:p>
    <w:p w:rsidR="00FF56F6" w:rsidP="00D579A3">
      <w:pPr>
        <w:pStyle w:val="BodyText"/>
      </w:pPr>
    </w:p>
    <w:p w:rsidR="00000000" w:rsidRPr="00D579A3" w:rsidP="00D579A3">
      <w:pPr>
        <w:pStyle w:val="Heading1"/>
      </w:pPr>
      <w:bookmarkStart w:id="12" w:name="O_297232"/>
      <w:bookmarkEnd w:id="12"/>
      <w:r w:rsidRPr="00D579A3">
        <w:t>Unit Sector(s)</w:t>
      </w:r>
    </w:p>
    <w:p w:rsidR="00000000" w:rsidRPr="00D579A3" w:rsidP="00D579A3">
      <w:pPr>
        <w:pStyle w:val="BodyText"/>
      </w:pPr>
      <w:r w:rsidRPr="00D579A3">
        <w:t>Not Applicable</w:t>
      </w:r>
    </w:p>
    <w:p w:rsidR="00000000" w:rsidRPr="00D579A3" w:rsidP="00D579A3">
      <w:pPr>
        <w:pStyle w:val="AllowPageBreak"/>
      </w:pPr>
    </w:p>
    <w:p w:rsidR="00000000" w:rsidRPr="00D579A3" w:rsidP="00D579A3">
      <w:pPr>
        <w:pStyle w:val="Heading1"/>
      </w:pPr>
      <w:bookmarkStart w:id="13" w:name="O_231917"/>
      <w:bookmarkEnd w:id="13"/>
      <w:r w:rsidRPr="00D579A3">
        <w:t>Custom Content Section</w:t>
      </w:r>
    </w:p>
    <w:tbl>
      <w:tblPr>
        <w:tblW w:w="0" w:type="auto"/>
        <w:tblLayout w:type="fixed"/>
        <w:tblCellMar>
          <w:left w:w="62" w:type="dxa"/>
          <w:right w:w="62" w:type="dxa"/>
        </w:tblCellMar>
        <w:tblLook w:val="0000"/>
      </w:tblPr>
      <w:tblGrid>
        <w:gridCol w:w="1438"/>
        <w:gridCol w:w="1171"/>
        <w:gridCol w:w="1722"/>
        <w:gridCol w:w="1171"/>
        <w:gridCol w:w="1705"/>
        <w:gridCol w:w="1433"/>
      </w:tblGrid>
      <w:tr w:rsidTr="00FF56F6">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rPr>
                <w:rStyle w:val="SpecialBold"/>
              </w:rPr>
              <w:t>2</w:t>
            </w:r>
            <w:r w:rsidRPr="00D579A3">
              <w:t>.</w:t>
            </w:r>
            <w:r w:rsidRPr="00D579A3">
              <w:rPr>
                <w:rStyle w:val="SpecialBold"/>
              </w:rPr>
              <w:t>2</w:t>
            </w:r>
            <w:r w:rsidRPr="00D579A3">
              <w:t xml:space="preserve">) </w:t>
            </w:r>
            <w:r w:rsidRPr="00D579A3">
              <w:rPr>
                <w:rStyle w:val="SpecialBold"/>
              </w:rPr>
              <w:t>Literacy and numeracy skills</w:t>
            </w:r>
          </w:p>
          <w:p w:rsidR="00000000" w:rsidP="00D579A3">
            <w:pPr>
              <w:pStyle w:val="BodyText"/>
              <w:rPr>
                <w:lang w:val="en-NZ"/>
              </w:rPr>
            </w:pPr>
            <w:r w:rsidRPr="00D579A3">
              <w:t>Participants are best equipped to achieve this unit if they have reading, writing and numeracy skills indicated by the following scales. Description of each scale is given in Volume 2, Part 3 "Literacy and Numeracy"</w:t>
            </w:r>
          </w:p>
        </w:tc>
      </w:tr>
      <w:tr w:rsidTr="00FF56F6">
        <w:tblPrEx>
          <w:tblW w:w="0" w:type="auto"/>
          <w:tblLayout w:type="fixed"/>
          <w:tblCellMar>
            <w:left w:w="62" w:type="dxa"/>
            <w:right w:w="62" w:type="dxa"/>
          </w:tblCellMar>
          <w:tblLook w:val="0000"/>
        </w:tblPrEx>
        <w:tc>
          <w:tcPr>
            <w:tcW w:w="1438"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Reading</w:t>
            </w:r>
          </w:p>
        </w:tc>
        <w:tc>
          <w:tcPr>
            <w:tcW w:w="1171"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5</w:t>
            </w:r>
          </w:p>
        </w:tc>
        <w:tc>
          <w:tcPr>
            <w:tcW w:w="1722"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Writing</w:t>
            </w:r>
          </w:p>
        </w:tc>
        <w:tc>
          <w:tcPr>
            <w:tcW w:w="1171"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5</w:t>
            </w:r>
          </w:p>
        </w:tc>
        <w:tc>
          <w:tcPr>
            <w:tcW w:w="1705"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t>Numeracy</w:t>
            </w:r>
          </w:p>
        </w:tc>
        <w:tc>
          <w:tcPr>
            <w:tcW w:w="1433" w:type="dxa"/>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t>5</w:t>
            </w:r>
          </w:p>
        </w:tc>
      </w:tr>
    </w:tbl>
    <w:p w:rsidR="00FF56F6" w:rsidP="00D579A3">
      <w:pPr>
        <w:pStyle w:val="BodyText"/>
      </w:pPr>
    </w:p>
    <w:p w:rsidR="00FF56F6" w:rsidP="00D579A3">
      <w:pPr>
        <w:pStyle w:val="BodyText"/>
      </w:pPr>
    </w:p>
    <w:p w:rsidR="00000000" w:rsidRPr="00D579A3" w:rsidP="00D579A3">
      <w:pPr>
        <w:pStyle w:val="Heading1"/>
      </w:pPr>
      <w:bookmarkStart w:id="14" w:name="O_231920"/>
      <w:bookmarkEnd w:id="14"/>
      <w:r w:rsidRPr="00D579A3">
        <w:t>Competency Field</w:t>
      </w:r>
    </w:p>
    <w:tbl>
      <w:tblPr>
        <w:tblW w:w="0" w:type="auto"/>
        <w:tblLayout w:type="fixed"/>
        <w:tblCellMar>
          <w:left w:w="62" w:type="dxa"/>
          <w:right w:w="62" w:type="dxa"/>
        </w:tblCellMar>
        <w:tblLook w:val="0000"/>
      </w:tblPr>
      <w:tblGrid>
        <w:gridCol w:w="2700"/>
        <w:gridCol w:w="5940"/>
      </w:tblGrid>
      <w:tr w:rsidTr="00FF56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rPr>
                <w:rStyle w:val="SpecialBold"/>
              </w:rPr>
              <w:t>Competency Field</w:t>
            </w:r>
          </w:p>
        </w:tc>
        <w:tc>
          <w:tcPr>
            <w:tcW w:w="5940" w:type="dxa"/>
            <w:tcBorders>
              <w:top w:val="nil"/>
              <w:left w:val="nil"/>
              <w:bottom w:val="nil"/>
              <w:right w:val="nil"/>
            </w:tcBorders>
            <w:tcMar>
              <w:top w:w="0" w:type="dxa"/>
              <w:left w:w="62" w:type="dxa"/>
              <w:bottom w:w="0" w:type="dxa"/>
              <w:right w:w="62" w:type="dxa"/>
            </w:tcMar>
          </w:tcPr>
          <w:p w:rsidR="00000000" w:rsidP="00D579A3">
            <w:pPr>
              <w:pStyle w:val="BodyText"/>
              <w:rPr>
                <w:lang w:val="en-NZ"/>
              </w:rPr>
            </w:pPr>
            <w:r w:rsidRPr="00D579A3">
              <w:rPr>
                <w:rStyle w:val="SpecialBold"/>
              </w:rPr>
              <w:t>5</w:t>
            </w:r>
            <w:r w:rsidRPr="00D579A3">
              <w:t>)</w:t>
            </w:r>
          </w:p>
        </w:tc>
      </w:tr>
      <w:tr w:rsidTr="00FF56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D579A3" w:rsidP="00D579A3">
            <w:pPr>
              <w:pStyle w:val="BodyText"/>
            </w:pPr>
            <w:r w:rsidRPr="00D579A3">
              <w:t>System Operation Units</w:t>
            </w:r>
          </w:p>
        </w:tc>
      </w:tr>
    </w:tbl>
    <w:p w:rsidR="00FF56F6" w:rsidP="00D579A3">
      <w:pPr>
        <w:pStyle w:val="BodyText"/>
      </w:pPr>
    </w:p>
    <w:p w:rsidR="00FF56F6" w:rsidP="00D579A3">
      <w:pPr>
        <w:pStyle w:val="BodyText"/>
      </w:pPr>
    </w:p>
    <w:p w:rsidR="00000000" w:rsidRPr="00D579A3" w:rsidP="00D579A3"/>
    <w:sectPr w:rsidSect="00D579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56F6" w:rsidP="00FF56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6F6" w:rsidP="00D579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F56F6" w:rsidP="00D579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F56F6" w:rsidP="00D579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56F6" w:rsidP="00FF56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6F6" w:rsidP="00D579A3">
    <w:pPr>
      <w:pStyle w:val="Header"/>
      <w:framePr w:wrap="around"/>
    </w:pPr>
    <w:r>
      <w:fldChar w:fldCharType="begin"/>
    </w:r>
    <w:r>
      <w:instrText xml:space="preserve"> TITLE   \* MERGEFORMAT </w:instrText>
    </w:r>
    <w:r>
      <w:fldChar w:fldCharType="separate"/>
    </w:r>
    <w:r>
      <w:t>UETTDRSO03B Manage critical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F56F6" w:rsidP="00D579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9849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544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2804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9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79A3"/>
    <w:pPr>
      <w:spacing w:before="360" w:after="60"/>
      <w:outlineLvl w:val="0"/>
    </w:pPr>
    <w:rPr>
      <w:sz w:val="32"/>
    </w:rPr>
  </w:style>
  <w:style w:type="paragraph" w:styleId="Heading2">
    <w:name w:val="heading 2"/>
    <w:basedOn w:val="HeadingBase"/>
    <w:next w:val="BodyText"/>
    <w:link w:val="Heading2Char"/>
    <w:qFormat/>
    <w:rsid w:val="00D579A3"/>
    <w:pPr>
      <w:keepLines/>
      <w:spacing w:before="240" w:after="120"/>
      <w:outlineLvl w:val="1"/>
    </w:pPr>
    <w:rPr>
      <w:sz w:val="28"/>
      <w:szCs w:val="40"/>
    </w:rPr>
  </w:style>
  <w:style w:type="paragraph" w:styleId="Heading3">
    <w:name w:val="heading 3"/>
    <w:basedOn w:val="HeadingBase"/>
    <w:next w:val="BodyText"/>
    <w:link w:val="Heading3Char"/>
    <w:qFormat/>
    <w:rsid w:val="00D579A3"/>
    <w:pPr>
      <w:spacing w:before="180" w:after="120"/>
      <w:outlineLvl w:val="2"/>
    </w:pPr>
    <w:rPr>
      <w:spacing w:val="-10"/>
      <w:kern w:val="32"/>
    </w:rPr>
  </w:style>
  <w:style w:type="paragraph" w:styleId="Heading4">
    <w:name w:val="heading 4"/>
    <w:basedOn w:val="HeadingBase"/>
    <w:next w:val="BodyText"/>
    <w:link w:val="Heading4Char"/>
    <w:qFormat/>
    <w:rsid w:val="00D579A3"/>
    <w:pPr>
      <w:spacing w:before="160" w:after="120"/>
      <w:outlineLvl w:val="3"/>
    </w:pPr>
    <w:rPr>
      <w:sz w:val="22"/>
    </w:rPr>
  </w:style>
  <w:style w:type="paragraph" w:styleId="Heading5">
    <w:name w:val="heading 5"/>
    <w:basedOn w:val="HeadingBase"/>
    <w:next w:val="Normal"/>
    <w:link w:val="Heading5Char"/>
    <w:qFormat/>
    <w:rsid w:val="00D579A3"/>
    <w:pPr>
      <w:spacing w:before="80"/>
      <w:outlineLvl w:val="4"/>
    </w:pPr>
    <w:rPr>
      <w:color w:val="918585"/>
      <w:sz w:val="20"/>
    </w:rPr>
  </w:style>
  <w:style w:type="paragraph" w:styleId="Heading6">
    <w:name w:val="heading 6"/>
    <w:basedOn w:val="HeadingBase"/>
    <w:next w:val="Normal"/>
    <w:link w:val="Heading6Char"/>
    <w:qFormat/>
    <w:rsid w:val="00D579A3"/>
    <w:pPr>
      <w:spacing w:before="60"/>
      <w:outlineLvl w:val="5"/>
    </w:pPr>
    <w:rPr>
      <w:color w:val="918585"/>
      <w:sz w:val="20"/>
    </w:rPr>
  </w:style>
  <w:style w:type="paragraph" w:styleId="Heading7">
    <w:name w:val="heading 7"/>
    <w:basedOn w:val="Normal"/>
    <w:next w:val="Normal"/>
    <w:link w:val="Heading7Char"/>
    <w:qFormat/>
    <w:rsid w:val="00D579A3"/>
    <w:pPr>
      <w:ind w:left="720"/>
      <w:outlineLvl w:val="6"/>
    </w:pPr>
    <w:rPr>
      <w:i/>
    </w:rPr>
  </w:style>
  <w:style w:type="paragraph" w:styleId="Heading8">
    <w:name w:val="heading 8"/>
    <w:basedOn w:val="Normal"/>
    <w:next w:val="Normal"/>
    <w:link w:val="Heading8Char"/>
    <w:qFormat/>
    <w:rsid w:val="00D579A3"/>
    <w:pPr>
      <w:ind w:left="720"/>
      <w:outlineLvl w:val="7"/>
    </w:pPr>
    <w:rPr>
      <w:i/>
    </w:rPr>
  </w:style>
  <w:style w:type="paragraph" w:styleId="Heading9">
    <w:name w:val="heading 9"/>
    <w:basedOn w:val="Normal"/>
    <w:next w:val="Normal"/>
    <w:link w:val="Heading9Char"/>
    <w:qFormat/>
    <w:rsid w:val="00D579A3"/>
    <w:pPr>
      <w:ind w:left="720"/>
      <w:outlineLvl w:val="8"/>
    </w:pPr>
    <w:rPr>
      <w:i/>
    </w:rPr>
  </w:style>
  <w:style w:type="character" w:default="1" w:styleId="DefaultParagraphFont">
    <w:name w:val="Default Paragraph Font"/>
    <w:uiPriority w:val="1"/>
    <w:unhideWhenUsed/>
    <w:rsid w:val="00D579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9A3"/>
  </w:style>
  <w:style w:type="character" w:customStyle="1" w:styleId="Heading1Char">
    <w:name w:val="Heading 1 Char"/>
    <w:basedOn w:val="DefaultParagraphFont"/>
    <w:link w:val="Heading1"/>
    <w:rsid w:val="00D579A3"/>
    <w:rPr>
      <w:rFonts w:ascii="Times New Roman" w:eastAsia="Times New Roman" w:hAnsi="Times New Roman" w:cs="Times New Roman"/>
      <w:b/>
      <w:sz w:val="32"/>
      <w:szCs w:val="20"/>
      <w:lang w:eastAsia="en-US"/>
    </w:rPr>
  </w:style>
  <w:style w:type="paragraph" w:styleId="BodyText">
    <w:name w:val="Body Text"/>
    <w:basedOn w:val="Normal"/>
    <w:link w:val="BodyTextChar"/>
    <w:rsid w:val="00D579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79A3"/>
    <w:rPr>
      <w:rFonts w:ascii="Times New Roman" w:eastAsia="Times New Roman" w:hAnsi="Times New Roman" w:cs="Times New Roman"/>
      <w:sz w:val="24"/>
      <w:lang w:val="en-US" w:eastAsia="en-US"/>
    </w:rPr>
  </w:style>
  <w:style w:type="paragraph" w:styleId="Footer">
    <w:name w:val="footer"/>
    <w:basedOn w:val="Normal"/>
    <w:link w:val="FooterChar"/>
    <w:rsid w:val="00D579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9A3"/>
    <w:rPr>
      <w:rFonts w:ascii="Times New Roman" w:eastAsia="Times New Roman" w:hAnsi="Times New Roman" w:cs="Times New Roman"/>
      <w:sz w:val="16"/>
      <w:lang w:val="en-US" w:eastAsia="en-US"/>
    </w:rPr>
  </w:style>
  <w:style w:type="paragraph" w:styleId="ListBullet">
    <w:name w:val="List Bullet"/>
    <w:basedOn w:val="List"/>
    <w:rsid w:val="00D579A3"/>
    <w:pPr>
      <w:numPr>
        <w:numId w:val="13"/>
      </w:numPr>
      <w:tabs>
        <w:tab w:val="clear" w:pos="340"/>
      </w:tabs>
      <w:spacing w:before="40" w:after="40"/>
    </w:pPr>
  </w:style>
  <w:style w:type="character" w:customStyle="1" w:styleId="SpecialBold">
    <w:name w:val="Special Bold"/>
    <w:basedOn w:val="DefaultParagraphFont"/>
    <w:rsid w:val="00D579A3"/>
    <w:rPr>
      <w:b/>
      <w:spacing w:val="0"/>
    </w:rPr>
  </w:style>
  <w:style w:type="paragraph" w:styleId="ListBullet2">
    <w:name w:val="List Bullet 2"/>
    <w:basedOn w:val="List2"/>
    <w:rsid w:val="00D579A3"/>
    <w:pPr>
      <w:numPr>
        <w:numId w:val="14"/>
      </w:numPr>
      <w:tabs>
        <w:tab w:val="clear" w:pos="680"/>
      </w:tabs>
    </w:pPr>
  </w:style>
  <w:style w:type="paragraph" w:styleId="Header">
    <w:name w:val="header"/>
    <w:basedOn w:val="Normal"/>
    <w:link w:val="HeaderChar"/>
    <w:rsid w:val="00D579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9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79A3"/>
    <w:pPr>
      <w:spacing w:before="240" w:after="120"/>
      <w:outlineLvl w:val="0"/>
    </w:pPr>
    <w:rPr>
      <w:rFonts w:ascii="Times New Roman" w:hAnsi="Times New Roman"/>
      <w:b/>
      <w:sz w:val="28"/>
    </w:rPr>
  </w:style>
  <w:style w:type="paragraph" w:customStyle="1" w:styleId="AllowPageBreak">
    <w:name w:val="AllowPageBreak"/>
    <w:rsid w:val="00D579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79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9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9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9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9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9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79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79A3"/>
    <w:rPr>
      <w:rFonts w:ascii="Courier New" w:eastAsia="Times New Roman" w:hAnsi="Courier New" w:cs="Times New Roman"/>
      <w:i/>
      <w:szCs w:val="20"/>
      <w:lang w:val="en-US" w:eastAsia="en-US"/>
    </w:rPr>
  </w:style>
  <w:style w:type="paragraph" w:customStyle="1" w:styleId="HeadingBase">
    <w:name w:val="Heading Base"/>
    <w:rsid w:val="00D579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9A3"/>
    <w:pPr>
      <w:tabs>
        <w:tab w:val="right" w:leader="dot" w:pos="9072"/>
      </w:tabs>
      <w:ind w:left="567"/>
    </w:pPr>
    <w:rPr>
      <w:szCs w:val="22"/>
    </w:rPr>
  </w:style>
  <w:style w:type="paragraph" w:customStyle="1" w:styleId="TOCBase">
    <w:name w:val="TOC Base"/>
    <w:rsid w:val="00D579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9A3"/>
    <w:pPr>
      <w:tabs>
        <w:tab w:val="right" w:leader="dot" w:pos="9072"/>
      </w:tabs>
      <w:spacing w:before="40" w:after="40"/>
      <w:ind w:left="284"/>
    </w:pPr>
    <w:rPr>
      <w:rFonts w:ascii="Times New Roman" w:hAnsi="Times New Roman"/>
    </w:rPr>
  </w:style>
  <w:style w:type="paragraph" w:styleId="TOC1">
    <w:name w:val="toc 1"/>
    <w:basedOn w:val="TOCBase"/>
    <w:next w:val="Normal"/>
    <w:rsid w:val="00D579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79A3"/>
    <w:pPr>
      <w:spacing w:before="5040"/>
      <w:jc w:val="center"/>
    </w:pPr>
    <w:rPr>
      <w:sz w:val="48"/>
      <w:szCs w:val="72"/>
      <w:lang w:val="en-US"/>
    </w:rPr>
  </w:style>
  <w:style w:type="character" w:customStyle="1" w:styleId="TitleChar">
    <w:name w:val="Title Char"/>
    <w:basedOn w:val="DefaultParagraphFont"/>
    <w:link w:val="Title"/>
    <w:rsid w:val="00D579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9A3"/>
    <w:pPr>
      <w:tabs>
        <w:tab w:val="left" w:pos="3600"/>
        <w:tab w:val="left" w:pos="3958"/>
      </w:tabs>
    </w:pPr>
  </w:style>
  <w:style w:type="paragraph" w:styleId="List">
    <w:name w:val="List"/>
    <w:basedOn w:val="BodyText"/>
    <w:next w:val="BodyText"/>
    <w:rsid w:val="00D579A3"/>
    <w:pPr>
      <w:tabs>
        <w:tab w:val="left" w:pos="340"/>
      </w:tabs>
      <w:spacing w:before="60" w:after="60"/>
      <w:ind w:left="340" w:hanging="340"/>
    </w:pPr>
  </w:style>
  <w:style w:type="paragraph" w:customStyle="1" w:styleId="Note">
    <w:name w:val="Note"/>
    <w:basedOn w:val="BodyText"/>
    <w:rsid w:val="00D579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9A3"/>
    <w:pPr>
      <w:framePr w:wrap="auto" w:hAnchor="text" w:y="6049"/>
    </w:pPr>
    <w:rPr>
      <w:color w:val="000000"/>
      <w:sz w:val="40"/>
    </w:rPr>
  </w:style>
  <w:style w:type="paragraph" w:customStyle="1" w:styleId="TOCTitle">
    <w:name w:val="TOCTitle"/>
    <w:basedOn w:val="Heading1"/>
    <w:rsid w:val="00D579A3"/>
    <w:pPr>
      <w:spacing w:after="240"/>
      <w:jc w:val="center"/>
      <w:outlineLvl w:val="9"/>
    </w:pPr>
    <w:rPr>
      <w:caps/>
    </w:rPr>
  </w:style>
  <w:style w:type="paragraph" w:customStyle="1" w:styleId="Version">
    <w:name w:val="Version"/>
    <w:rsid w:val="00D579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79A3"/>
    <w:pPr>
      <w:keepNext w:val="0"/>
      <w:tabs>
        <w:tab w:val="right" w:pos="4176"/>
      </w:tabs>
      <w:ind w:left="198" w:hanging="198"/>
    </w:pPr>
    <w:rPr>
      <w:rFonts w:ascii="Garamond" w:hAnsi="Garamond"/>
    </w:rPr>
  </w:style>
  <w:style w:type="paragraph" w:styleId="IndexHeading">
    <w:name w:val="index heading"/>
    <w:basedOn w:val="Normal"/>
    <w:next w:val="Index1"/>
    <w:semiHidden/>
    <w:rsid w:val="00D579A3"/>
    <w:pPr>
      <w:spacing w:before="120" w:after="120"/>
    </w:pPr>
    <w:rPr>
      <w:rFonts w:ascii="Arial" w:hAnsi="Arial"/>
      <w:b/>
      <w:color w:val="918585"/>
      <w:sz w:val="24"/>
    </w:rPr>
  </w:style>
  <w:style w:type="paragraph" w:customStyle="1" w:styleId="Chapter">
    <w:name w:val="Chapter"/>
    <w:basedOn w:val="Normal"/>
    <w:rsid w:val="00D579A3"/>
    <w:pPr>
      <w:spacing w:before="240"/>
    </w:pPr>
    <w:rPr>
      <w:rFonts w:ascii="Times New Roman" w:hAnsi="Times New Roman"/>
      <w:smallCaps/>
      <w:spacing w:val="80"/>
      <w:sz w:val="28"/>
    </w:rPr>
  </w:style>
  <w:style w:type="paragraph" w:customStyle="1" w:styleId="InChapter">
    <w:name w:val="InChapter"/>
    <w:basedOn w:val="Heading3"/>
    <w:rsid w:val="00D579A3"/>
    <w:pPr>
      <w:spacing w:after="240"/>
      <w:outlineLvl w:val="9"/>
    </w:pPr>
    <w:rPr>
      <w:noProof/>
    </w:rPr>
  </w:style>
  <w:style w:type="paragraph" w:styleId="Index2">
    <w:name w:val="index 2"/>
    <w:basedOn w:val="Normal"/>
    <w:next w:val="Normal"/>
    <w:semiHidden/>
    <w:rsid w:val="00D579A3"/>
    <w:pPr>
      <w:tabs>
        <w:tab w:val="right" w:pos="4176"/>
      </w:tabs>
      <w:ind w:left="568" w:hanging="284"/>
    </w:pPr>
    <w:rPr>
      <w:rFonts w:ascii="Garamond" w:hAnsi="Garamond"/>
    </w:rPr>
  </w:style>
  <w:style w:type="paragraph" w:customStyle="1" w:styleId="Byline">
    <w:name w:val="Byline"/>
    <w:rsid w:val="00D579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9A3"/>
    <w:pPr>
      <w:tabs>
        <w:tab w:val="clear" w:pos="3600"/>
        <w:tab w:val="clear" w:pos="3958"/>
      </w:tabs>
      <w:jc w:val="right"/>
    </w:pPr>
  </w:style>
  <w:style w:type="character" w:styleId="Emphasis">
    <w:name w:val="Emphasis"/>
    <w:basedOn w:val="DefaultParagraphFont"/>
    <w:qFormat/>
    <w:rsid w:val="00D579A3"/>
    <w:rPr>
      <w:i/>
    </w:rPr>
  </w:style>
  <w:style w:type="paragraph" w:styleId="Caption">
    <w:name w:val="caption"/>
    <w:basedOn w:val="BodyText"/>
    <w:next w:val="Normal"/>
    <w:qFormat/>
    <w:rsid w:val="00D579A3"/>
    <w:pPr>
      <w:framePr w:w="2268" w:hSpace="181" w:vSpace="181" w:wrap="around" w:vAnchor="text" w:hAnchor="page" w:x="1135" w:y="285" w:anchorLock="1"/>
    </w:pPr>
    <w:rPr>
      <w:i/>
    </w:rPr>
  </w:style>
  <w:style w:type="paragraph" w:customStyle="1" w:styleId="MiniTOCTitle">
    <w:name w:val="MiniTOCTitle"/>
    <w:basedOn w:val="Heading4"/>
    <w:rsid w:val="00D579A3"/>
    <w:pPr>
      <w:spacing w:before="240"/>
      <w:outlineLvl w:val="9"/>
    </w:pPr>
    <w:rPr>
      <w:noProof/>
      <w:sz w:val="24"/>
    </w:rPr>
  </w:style>
  <w:style w:type="paragraph" w:customStyle="1" w:styleId="MiniTOCItem">
    <w:name w:val="MiniTOCItem"/>
    <w:basedOn w:val="ListBullet"/>
    <w:rsid w:val="00D579A3"/>
    <w:pPr>
      <w:numPr>
        <w:numId w:val="0"/>
      </w:numPr>
      <w:tabs>
        <w:tab w:val="right" w:leader="dot" w:pos="6521"/>
      </w:tabs>
      <w:spacing w:before="0" w:after="0"/>
    </w:pPr>
  </w:style>
  <w:style w:type="paragraph" w:customStyle="1" w:styleId="TOFTitle">
    <w:name w:val="TOFTitle"/>
    <w:basedOn w:val="TOCTitle"/>
    <w:rsid w:val="00D579A3"/>
  </w:style>
  <w:style w:type="paragraph" w:styleId="TableofFigures">
    <w:name w:val="table of figures"/>
    <w:basedOn w:val="Normal"/>
    <w:next w:val="Normal"/>
    <w:semiHidden/>
    <w:rsid w:val="00D579A3"/>
    <w:pPr>
      <w:tabs>
        <w:tab w:val="right" w:leader="dot" w:pos="9072"/>
      </w:tabs>
      <w:ind w:left="970" w:hanging="403"/>
    </w:pPr>
    <w:rPr>
      <w:rFonts w:ascii="Times New Roman" w:hAnsi="Times New Roman"/>
      <w:b/>
    </w:rPr>
  </w:style>
  <w:style w:type="paragraph" w:styleId="ListNumber">
    <w:name w:val="List Number"/>
    <w:basedOn w:val="List"/>
    <w:rsid w:val="00D579A3"/>
    <w:pPr>
      <w:numPr>
        <w:numId w:val="11"/>
      </w:numPr>
    </w:pPr>
  </w:style>
  <w:style w:type="character" w:customStyle="1" w:styleId="WingdingSymbols">
    <w:name w:val="Wingding Symbols"/>
    <w:rsid w:val="00D579A3"/>
    <w:rPr>
      <w:rFonts w:ascii="Wingdings" w:hAnsi="Wingdings"/>
    </w:rPr>
  </w:style>
  <w:style w:type="paragraph" w:customStyle="1" w:styleId="TableHeading">
    <w:name w:val="Table Heading"/>
    <w:basedOn w:val="HeadingBase"/>
    <w:rsid w:val="00D579A3"/>
    <w:pPr>
      <w:keepLines/>
      <w:pBdr>
        <w:bottom w:val="single" w:sz="6" w:space="1" w:color="918585"/>
      </w:pBdr>
      <w:spacing w:before="240"/>
    </w:pPr>
  </w:style>
  <w:style w:type="character" w:customStyle="1" w:styleId="HotSpot">
    <w:name w:val="HotSpot"/>
    <w:rsid w:val="00D579A3"/>
    <w:rPr>
      <w:color w:val="0033CC"/>
      <w:u w:val="none"/>
    </w:rPr>
  </w:style>
  <w:style w:type="paragraph" w:customStyle="1" w:styleId="BodyTextRight">
    <w:name w:val="Body Text Right"/>
    <w:basedOn w:val="BodyText"/>
    <w:rsid w:val="00D579A3"/>
    <w:pPr>
      <w:spacing w:before="0" w:after="0"/>
      <w:jc w:val="right"/>
    </w:pPr>
  </w:style>
  <w:style w:type="paragraph" w:styleId="Index3">
    <w:name w:val="index 3"/>
    <w:basedOn w:val="ListNumber2"/>
    <w:next w:val="Normal"/>
    <w:semiHidden/>
    <w:rsid w:val="00D579A3"/>
    <w:pPr>
      <w:numPr>
        <w:numId w:val="0"/>
      </w:numPr>
      <w:tabs>
        <w:tab w:val="right" w:leader="dot" w:pos="4176"/>
      </w:tabs>
    </w:pPr>
  </w:style>
  <w:style w:type="paragraph" w:styleId="ListNumber2">
    <w:name w:val="List Number 2"/>
    <w:basedOn w:val="List2"/>
    <w:rsid w:val="00D579A3"/>
    <w:pPr>
      <w:numPr>
        <w:numId w:val="10"/>
      </w:numPr>
      <w:tabs>
        <w:tab w:val="clear" w:pos="1060"/>
      </w:tabs>
    </w:pPr>
  </w:style>
  <w:style w:type="paragraph" w:customStyle="1" w:styleId="MarginNote">
    <w:name w:val="Margin Note"/>
    <w:basedOn w:val="BodyText"/>
    <w:rsid w:val="00D579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9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9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79A3"/>
    <w:rPr>
      <w:sz w:val="32"/>
    </w:rPr>
  </w:style>
  <w:style w:type="paragraph" w:customStyle="1" w:styleId="HeadingProcedure">
    <w:name w:val="Heading Procedure"/>
    <w:basedOn w:val="HeadingBase"/>
    <w:next w:val="Normal"/>
    <w:rsid w:val="00D579A3"/>
    <w:pPr>
      <w:tabs>
        <w:tab w:val="left" w:pos="0"/>
      </w:tabs>
      <w:spacing w:before="120" w:after="60"/>
    </w:pPr>
    <w:rPr>
      <w:i/>
      <w:color w:val="918585"/>
      <w:sz w:val="22"/>
    </w:rPr>
  </w:style>
  <w:style w:type="paragraph" w:customStyle="1" w:styleId="TableBodyText">
    <w:name w:val="Table Body Text"/>
    <w:basedOn w:val="BodyText"/>
    <w:rsid w:val="00D579A3"/>
    <w:pPr>
      <w:spacing w:before="60" w:after="60"/>
    </w:pPr>
  </w:style>
  <w:style w:type="paragraph" w:styleId="ListContinue">
    <w:name w:val="List Continue"/>
    <w:basedOn w:val="List"/>
    <w:rsid w:val="00D579A3"/>
    <w:pPr>
      <w:ind w:firstLine="0"/>
    </w:pPr>
  </w:style>
  <w:style w:type="paragraph" w:customStyle="1" w:styleId="ListNote">
    <w:name w:val="List Note"/>
    <w:basedOn w:val="List"/>
    <w:rsid w:val="00D579A3"/>
    <w:pPr>
      <w:pBdr>
        <w:top w:val="single" w:sz="6" w:space="2" w:color="918585"/>
        <w:bottom w:val="single" w:sz="6" w:space="2" w:color="918585"/>
      </w:pBdr>
      <w:tabs>
        <w:tab w:val="left" w:pos="1021"/>
      </w:tabs>
      <w:ind w:firstLine="0"/>
    </w:pPr>
  </w:style>
  <w:style w:type="paragraph" w:customStyle="1" w:styleId="Warning">
    <w:name w:val="Warning"/>
    <w:basedOn w:val="BodyText"/>
    <w:rsid w:val="00D579A3"/>
    <w:pPr>
      <w:shd w:val="clear" w:color="auto" w:fill="D9D9D9"/>
      <w:tabs>
        <w:tab w:val="left" w:pos="992"/>
      </w:tabs>
      <w:ind w:left="119" w:right="119"/>
    </w:pPr>
    <w:rPr>
      <w:sz w:val="20"/>
    </w:rPr>
  </w:style>
  <w:style w:type="paragraph" w:customStyle="1" w:styleId="MarginIcons">
    <w:name w:val="Margin Icons"/>
    <w:basedOn w:val="BodyText"/>
    <w:rsid w:val="00D579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9A3"/>
    <w:rPr>
      <w:rFonts w:ascii="Courier New" w:hAnsi="Courier New"/>
    </w:rPr>
  </w:style>
  <w:style w:type="paragraph" w:customStyle="1" w:styleId="NoteBullet">
    <w:name w:val="Note Bullet"/>
    <w:basedOn w:val="Note"/>
    <w:rsid w:val="00D579A3"/>
    <w:pPr>
      <w:tabs>
        <w:tab w:val="clear" w:pos="680"/>
      </w:tabs>
      <w:spacing w:before="60" w:after="60"/>
    </w:pPr>
  </w:style>
  <w:style w:type="paragraph" w:customStyle="1" w:styleId="SubHeading2">
    <w:name w:val="SubHeading2"/>
    <w:basedOn w:val="HeadingBase"/>
    <w:rsid w:val="00D579A3"/>
    <w:pPr>
      <w:spacing w:before="240" w:after="60"/>
    </w:pPr>
    <w:rPr>
      <w:sz w:val="20"/>
    </w:rPr>
  </w:style>
  <w:style w:type="paragraph" w:customStyle="1" w:styleId="SubHeading1">
    <w:name w:val="SubHeading1"/>
    <w:basedOn w:val="HeadingBase"/>
    <w:rsid w:val="00D579A3"/>
    <w:pPr>
      <w:spacing w:before="240" w:after="60"/>
    </w:pPr>
    <w:rPr>
      <w:color w:val="918585"/>
      <w:sz w:val="22"/>
    </w:rPr>
  </w:style>
  <w:style w:type="paragraph" w:customStyle="1" w:styleId="SideHeading">
    <w:name w:val="Side Heading"/>
    <w:basedOn w:val="HeadingBase"/>
    <w:rsid w:val="00D579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9A3"/>
    <w:pPr>
      <w:numPr>
        <w:numId w:val="12"/>
      </w:numPr>
    </w:pPr>
  </w:style>
  <w:style w:type="paragraph" w:styleId="PlainText">
    <w:name w:val="Plain Text"/>
    <w:basedOn w:val="Normal"/>
    <w:link w:val="PlainTextChar"/>
    <w:rsid w:val="00D579A3"/>
    <w:rPr>
      <w:sz w:val="20"/>
    </w:rPr>
  </w:style>
  <w:style w:type="character" w:customStyle="1" w:styleId="PlainTextChar">
    <w:name w:val="Plain Text Char"/>
    <w:basedOn w:val="DefaultParagraphFont"/>
    <w:link w:val="PlainText"/>
    <w:rsid w:val="00D579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79A3"/>
    <w:rPr>
      <w:b/>
      <w:smallCaps/>
    </w:rPr>
  </w:style>
  <w:style w:type="paragraph" w:customStyle="1" w:styleId="TableListNumber">
    <w:name w:val="Table List Number"/>
    <w:basedOn w:val="ListNumber"/>
    <w:rsid w:val="00D579A3"/>
    <w:pPr>
      <w:numPr>
        <w:numId w:val="0"/>
      </w:numPr>
    </w:pPr>
  </w:style>
  <w:style w:type="paragraph" w:styleId="TOC4">
    <w:name w:val="toc 4"/>
    <w:basedOn w:val="TOCBase"/>
    <w:next w:val="Normal"/>
    <w:semiHidden/>
    <w:rsid w:val="00D579A3"/>
    <w:pPr>
      <w:tabs>
        <w:tab w:val="right" w:leader="dot" w:pos="9071"/>
      </w:tabs>
      <w:ind w:left="1701"/>
    </w:pPr>
  </w:style>
  <w:style w:type="paragraph" w:customStyle="1" w:styleId="ListAlpha">
    <w:name w:val="List Alpha"/>
    <w:basedOn w:val="List"/>
    <w:rsid w:val="00D579A3"/>
    <w:pPr>
      <w:numPr>
        <w:numId w:val="9"/>
      </w:numPr>
    </w:pPr>
  </w:style>
  <w:style w:type="paragraph" w:customStyle="1" w:styleId="ListAlpha2">
    <w:name w:val="List Alpha 2"/>
    <w:basedOn w:val="List2"/>
    <w:rsid w:val="00D579A3"/>
    <w:pPr>
      <w:numPr>
        <w:numId w:val="8"/>
      </w:numPr>
    </w:pPr>
  </w:style>
  <w:style w:type="paragraph" w:styleId="List2">
    <w:name w:val="List 2"/>
    <w:basedOn w:val="BodyText"/>
    <w:rsid w:val="00D579A3"/>
    <w:pPr>
      <w:tabs>
        <w:tab w:val="left" w:pos="680"/>
      </w:tabs>
      <w:spacing w:before="60" w:after="60"/>
      <w:ind w:left="680" w:hanging="340"/>
    </w:pPr>
  </w:style>
  <w:style w:type="paragraph" w:styleId="List3">
    <w:name w:val="List 3"/>
    <w:basedOn w:val="BodyText"/>
    <w:rsid w:val="00D579A3"/>
    <w:pPr>
      <w:tabs>
        <w:tab w:val="left" w:pos="1021"/>
      </w:tabs>
      <w:spacing w:before="60" w:after="60"/>
      <w:ind w:left="1020" w:hanging="340"/>
    </w:pPr>
  </w:style>
  <w:style w:type="paragraph" w:styleId="List4">
    <w:name w:val="List 4"/>
    <w:basedOn w:val="BodyText"/>
    <w:rsid w:val="00D579A3"/>
    <w:pPr>
      <w:tabs>
        <w:tab w:val="left" w:pos="1361"/>
      </w:tabs>
      <w:spacing w:before="60" w:after="60"/>
      <w:ind w:left="1361" w:hanging="340"/>
    </w:pPr>
  </w:style>
  <w:style w:type="paragraph" w:styleId="List5">
    <w:name w:val="List 5"/>
    <w:basedOn w:val="BodyText"/>
    <w:rsid w:val="00D579A3"/>
    <w:pPr>
      <w:tabs>
        <w:tab w:val="left" w:pos="1701"/>
      </w:tabs>
      <w:spacing w:before="60" w:after="60"/>
      <w:ind w:left="1701" w:hanging="340"/>
    </w:pPr>
  </w:style>
  <w:style w:type="paragraph" w:styleId="ListBullet3">
    <w:name w:val="List Bullet 3"/>
    <w:basedOn w:val="List3"/>
    <w:rsid w:val="00D579A3"/>
    <w:pPr>
      <w:numPr>
        <w:numId w:val="15"/>
      </w:numPr>
      <w:tabs>
        <w:tab w:val="clear" w:pos="1021"/>
      </w:tabs>
      <w:ind w:left="1037" w:hanging="357"/>
    </w:pPr>
  </w:style>
  <w:style w:type="paragraph" w:styleId="ListBullet4">
    <w:name w:val="List Bullet 4"/>
    <w:basedOn w:val="List4"/>
    <w:rsid w:val="00D579A3"/>
    <w:pPr>
      <w:numPr>
        <w:numId w:val="3"/>
      </w:numPr>
    </w:pPr>
  </w:style>
  <w:style w:type="paragraph" w:styleId="ListBullet5">
    <w:name w:val="List Bullet 5"/>
    <w:basedOn w:val="List5"/>
    <w:rsid w:val="00D579A3"/>
    <w:pPr>
      <w:numPr>
        <w:numId w:val="4"/>
      </w:numPr>
    </w:pPr>
  </w:style>
  <w:style w:type="paragraph" w:styleId="ListContinue2">
    <w:name w:val="List Continue 2"/>
    <w:basedOn w:val="List2"/>
    <w:rsid w:val="00D579A3"/>
    <w:pPr>
      <w:ind w:firstLine="0"/>
    </w:pPr>
  </w:style>
  <w:style w:type="paragraph" w:styleId="ListContinue3">
    <w:name w:val="List Continue 3"/>
    <w:basedOn w:val="List3"/>
    <w:rsid w:val="00D579A3"/>
    <w:pPr>
      <w:ind w:left="1021" w:firstLine="0"/>
    </w:pPr>
  </w:style>
  <w:style w:type="paragraph" w:styleId="ListContinue4">
    <w:name w:val="List Continue 4"/>
    <w:basedOn w:val="List4"/>
    <w:rsid w:val="00D579A3"/>
    <w:pPr>
      <w:ind w:firstLine="0"/>
    </w:pPr>
  </w:style>
  <w:style w:type="paragraph" w:styleId="ListContinue5">
    <w:name w:val="List Continue 5"/>
    <w:basedOn w:val="List5"/>
    <w:rsid w:val="00D579A3"/>
    <w:pPr>
      <w:ind w:firstLine="0"/>
    </w:pPr>
  </w:style>
  <w:style w:type="paragraph" w:styleId="ListNumber3">
    <w:name w:val="List Number 3"/>
    <w:basedOn w:val="List3"/>
    <w:rsid w:val="00D579A3"/>
    <w:pPr>
      <w:numPr>
        <w:numId w:val="5"/>
      </w:numPr>
    </w:pPr>
  </w:style>
  <w:style w:type="paragraph" w:styleId="ListNumber4">
    <w:name w:val="List Number 4"/>
    <w:basedOn w:val="List4"/>
    <w:rsid w:val="00D579A3"/>
    <w:pPr>
      <w:numPr>
        <w:numId w:val="6"/>
      </w:numPr>
    </w:pPr>
  </w:style>
  <w:style w:type="paragraph" w:styleId="ListNumber5">
    <w:name w:val="List Number 5"/>
    <w:basedOn w:val="List5"/>
    <w:rsid w:val="00D579A3"/>
    <w:pPr>
      <w:numPr>
        <w:numId w:val="7"/>
      </w:numPr>
    </w:pPr>
  </w:style>
  <w:style w:type="paragraph" w:styleId="BlockText">
    <w:name w:val="Block Text"/>
    <w:basedOn w:val="Normal"/>
    <w:rsid w:val="00D579A3"/>
    <w:pPr>
      <w:spacing w:after="120"/>
      <w:ind w:left="1440" w:right="1440"/>
    </w:pPr>
  </w:style>
  <w:style w:type="character" w:customStyle="1" w:styleId="Subscript">
    <w:name w:val="Subscript"/>
    <w:basedOn w:val="DefaultParagraphFont"/>
    <w:rsid w:val="00D579A3"/>
    <w:rPr>
      <w:sz w:val="16"/>
      <w:vertAlign w:val="subscript"/>
    </w:rPr>
  </w:style>
  <w:style w:type="character" w:customStyle="1" w:styleId="Superscript">
    <w:name w:val="Superscript"/>
    <w:basedOn w:val="DefaultParagraphFont"/>
    <w:rsid w:val="00D579A3"/>
    <w:rPr>
      <w:sz w:val="16"/>
      <w:vertAlign w:val="superscript"/>
    </w:rPr>
  </w:style>
  <w:style w:type="character" w:customStyle="1" w:styleId="Symbols">
    <w:name w:val="Symbols"/>
    <w:basedOn w:val="DefaultParagraphFont"/>
    <w:rsid w:val="00D579A3"/>
    <w:rPr>
      <w:rFonts w:ascii="Symbol" w:hAnsi="Symbol"/>
    </w:rPr>
  </w:style>
  <w:style w:type="character" w:customStyle="1" w:styleId="MenuOptions">
    <w:name w:val="Menu Options"/>
    <w:basedOn w:val="DefaultParagraphFont"/>
    <w:rsid w:val="00D579A3"/>
    <w:rPr>
      <w:rFonts w:ascii="Arial Narrow" w:hAnsi="Arial Narrow"/>
      <w:smallCaps/>
    </w:rPr>
  </w:style>
  <w:style w:type="character" w:customStyle="1" w:styleId="Buttons">
    <w:name w:val="Buttons"/>
    <w:basedOn w:val="DefaultParagraphFont"/>
    <w:rsid w:val="00D579A3"/>
    <w:rPr>
      <w:b/>
    </w:rPr>
  </w:style>
  <w:style w:type="character" w:customStyle="1" w:styleId="Underlined">
    <w:name w:val="Underlined"/>
    <w:basedOn w:val="DefaultParagraphFont"/>
    <w:rsid w:val="00D579A3"/>
    <w:rPr>
      <w:u w:val="single"/>
    </w:rPr>
  </w:style>
  <w:style w:type="paragraph" w:customStyle="1" w:styleId="TableBodyTextRight">
    <w:name w:val="Table Body Text Right"/>
    <w:basedOn w:val="TableBodyText"/>
    <w:rsid w:val="00D579A3"/>
    <w:pPr>
      <w:widowControl w:val="0"/>
      <w:autoSpaceDE w:val="0"/>
      <w:autoSpaceDN w:val="0"/>
      <w:adjustRightInd w:val="0"/>
      <w:jc w:val="right"/>
    </w:pPr>
    <w:rPr>
      <w:rFonts w:cs="Arial"/>
      <w:szCs w:val="18"/>
    </w:rPr>
  </w:style>
  <w:style w:type="paragraph" w:customStyle="1" w:styleId="CopyrightText">
    <w:name w:val="Copyright Text"/>
    <w:basedOn w:val="BodyText"/>
    <w:rsid w:val="00D579A3"/>
    <w:rPr>
      <w:sz w:val="18"/>
    </w:rPr>
  </w:style>
  <w:style w:type="paragraph" w:customStyle="1" w:styleId="BodySmallRight">
    <w:name w:val="Body Small Right"/>
    <w:basedOn w:val="BodyTextRight"/>
    <w:rsid w:val="00D579A3"/>
    <w:rPr>
      <w:sz w:val="18"/>
      <w:szCs w:val="18"/>
    </w:rPr>
  </w:style>
  <w:style w:type="paragraph" w:customStyle="1" w:styleId="MarginEdition">
    <w:name w:val="Margin Edition"/>
    <w:basedOn w:val="MarginNote"/>
    <w:rsid w:val="00D579A3"/>
    <w:pPr>
      <w:spacing w:before="0" w:after="0"/>
    </w:pPr>
    <w:rPr>
      <w:rFonts w:ascii="Times New Roman" w:hAnsi="Times New Roman"/>
      <w:color w:val="999999"/>
    </w:rPr>
  </w:style>
  <w:style w:type="paragraph" w:customStyle="1" w:styleId="Spacer">
    <w:name w:val="Spacer"/>
    <w:basedOn w:val="Normal"/>
    <w:rsid w:val="00D579A3"/>
    <w:rPr>
      <w:sz w:val="2"/>
      <w:szCs w:val="2"/>
    </w:rPr>
  </w:style>
  <w:style w:type="character" w:customStyle="1" w:styleId="Small">
    <w:name w:val="Small"/>
    <w:basedOn w:val="DefaultParagraphFont"/>
    <w:rsid w:val="00D579A3"/>
    <w:rPr>
      <w:sz w:val="16"/>
    </w:rPr>
  </w:style>
  <w:style w:type="paragraph" w:customStyle="1" w:styleId="WideTable">
    <w:name w:val="Wide Table"/>
    <w:basedOn w:val="Normal"/>
    <w:rsid w:val="00D579A3"/>
    <w:pPr>
      <w:ind w:left="-1418"/>
    </w:pPr>
    <w:rPr>
      <w:sz w:val="2"/>
      <w:szCs w:val="2"/>
    </w:rPr>
  </w:style>
  <w:style w:type="character" w:styleId="PageNumber">
    <w:name w:val="page number"/>
    <w:basedOn w:val="DefaultParagraphFont"/>
    <w:rsid w:val="00D579A3"/>
  </w:style>
  <w:style w:type="paragraph" w:styleId="Quote">
    <w:name w:val="Quote"/>
    <w:basedOn w:val="Heading1"/>
    <w:link w:val="QuoteChar"/>
    <w:qFormat/>
    <w:rsid w:val="00D579A3"/>
    <w:rPr>
      <w:b w:val="0"/>
      <w:sz w:val="72"/>
      <w:szCs w:val="72"/>
      <w:lang w:val="en-NZ"/>
    </w:rPr>
  </w:style>
  <w:style w:type="character" w:customStyle="1" w:styleId="QuoteChar">
    <w:name w:val="Quote Char"/>
    <w:basedOn w:val="DefaultParagraphFont"/>
    <w:link w:val="Quote"/>
    <w:rsid w:val="00D579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9A3"/>
    <w:pPr>
      <w:pageBreakBefore/>
    </w:pPr>
  </w:style>
  <w:style w:type="paragraph" w:customStyle="1" w:styleId="Border">
    <w:name w:val="Border"/>
    <w:basedOn w:val="Normal"/>
    <w:qFormat/>
    <w:rsid w:val="00D579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9A3"/>
    <w:rPr>
      <w:b/>
      <w:bCs/>
      <w:i/>
      <w:iCs/>
      <w:color w:val="auto"/>
    </w:rPr>
  </w:style>
  <w:style w:type="paragraph" w:styleId="IntenseQuote">
    <w:name w:val="Intense Quote"/>
    <w:basedOn w:val="Normal"/>
    <w:next w:val="Normal"/>
    <w:link w:val="IntenseQuoteChar"/>
    <w:uiPriority w:val="30"/>
    <w:qFormat/>
    <w:rsid w:val="00D579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9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79A3"/>
    <w:rPr>
      <w:smallCaps/>
      <w:color w:val="auto"/>
      <w:u w:val="single"/>
    </w:rPr>
  </w:style>
  <w:style w:type="character" w:styleId="IntenseReference">
    <w:name w:val="Intense Reference"/>
    <w:basedOn w:val="DefaultParagraphFont"/>
    <w:uiPriority w:val="32"/>
    <w:qFormat/>
    <w:rsid w:val="00D579A3"/>
    <w:rPr>
      <w:b/>
      <w:bCs/>
      <w:smallCaps/>
      <w:color w:val="auto"/>
      <w:spacing w:val="5"/>
      <w:u w:val="single"/>
    </w:rPr>
  </w:style>
  <w:style w:type="paragraph" w:customStyle="1" w:styleId="2ColumnHeading">
    <w:name w:val="2Column Heading"/>
    <w:basedOn w:val="BodyText"/>
    <w:qFormat/>
    <w:rsid w:val="00D579A3"/>
    <w:pPr>
      <w:spacing w:after="60"/>
      <w:ind w:left="-2268"/>
    </w:pPr>
    <w:rPr>
      <w:b/>
    </w:rPr>
  </w:style>
  <w:style w:type="paragraph" w:customStyle="1" w:styleId="Heading1TOC">
    <w:name w:val="Heading1 TOC"/>
    <w:basedOn w:val="Normal"/>
    <w:qFormat/>
    <w:rsid w:val="00D579A3"/>
    <w:pPr>
      <w:spacing w:before="240" w:after="120"/>
    </w:pPr>
    <w:rPr>
      <w:rFonts w:ascii="Times New Roman" w:hAnsi="Times New Roman"/>
      <w:b/>
      <w:sz w:val="32"/>
    </w:rPr>
  </w:style>
  <w:style w:type="paragraph" w:customStyle="1" w:styleId="Heading2TOC">
    <w:name w:val="Heading2 TOC"/>
    <w:basedOn w:val="Normal"/>
    <w:qFormat/>
    <w:rsid w:val="00D579A3"/>
    <w:pPr>
      <w:spacing w:before="240" w:after="60"/>
    </w:pPr>
    <w:rPr>
      <w:rFonts w:ascii="Times New Roman" w:hAnsi="Times New Roman"/>
      <w:b/>
      <w:sz w:val="28"/>
    </w:rPr>
  </w:style>
  <w:style w:type="character" w:customStyle="1" w:styleId="Underline">
    <w:name w:val="Underline"/>
    <w:basedOn w:val="DefaultParagraphFont"/>
    <w:qFormat/>
    <w:rsid w:val="00D579A3"/>
    <w:rPr>
      <w:u w:val="single"/>
    </w:rPr>
  </w:style>
  <w:style w:type="character" w:customStyle="1" w:styleId="BoldandItalics">
    <w:name w:val="Bold and Italics"/>
    <w:qFormat/>
    <w:rsid w:val="00D579A3"/>
    <w:rPr>
      <w:b/>
      <w:i/>
      <w:u w:val="none"/>
    </w:rPr>
  </w:style>
  <w:style w:type="paragraph" w:styleId="BalloonText">
    <w:name w:val="Balloon Text"/>
    <w:basedOn w:val="Normal"/>
    <w:link w:val="BalloonTextChar"/>
    <w:rsid w:val="00D579A3"/>
    <w:rPr>
      <w:rFonts w:ascii="Tahoma" w:hAnsi="Tahoma" w:cs="Tahoma"/>
      <w:sz w:val="16"/>
      <w:szCs w:val="16"/>
    </w:rPr>
  </w:style>
  <w:style w:type="character" w:customStyle="1" w:styleId="BalloonTextChar">
    <w:name w:val="Balloon Text Char"/>
    <w:basedOn w:val="DefaultParagraphFont"/>
    <w:link w:val="BalloonText"/>
    <w:rsid w:val="00D579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79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79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2471</Words>
  <Characters>15755</Characters>
  <Application>Microsoft Office Word</Application>
  <DocSecurity>0</DocSecurity>
  <Lines>569</Lines>
  <Paragraphs>212</Paragraphs>
  <ScaleCrop>false</ScaleCrop>
  <Company>Author-it Software Corporation Ltd.</Company>
  <LinksUpToDate>false</LinksUpToDate>
  <CharactersWithSpaces>18064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UETTDRSO03B Manage critical events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2012-05-26T12:20:00Z</dcterms:created>
  <dcterms:modified xsi:type="dcterms:W3CDTF">2012-05-26T12:20:00Z</dcterms:modified>
</cp:coreProperties>
</file>