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F38" w:rsidP="00897F38">
      <w:pPr>
        <w:pStyle w:val="Title"/>
      </w:pPr>
      <w:r>
        <w:fldChar w:fldCharType="begin"/>
      </w:r>
      <w:r>
        <w:instrText xml:space="preserve"> TITLE   \* MERGEFORMAT </w:instrText>
      </w:r>
      <w:r>
        <w:fldChar w:fldCharType="separate"/>
      </w:r>
      <w:r>
        <w:t>UETTDRSB18B Commission distribution field devices</w:t>
      </w:r>
      <w:r>
        <w:fldChar w:fldCharType="end"/>
      </w:r>
    </w:p>
    <w:p w:rsidR="00897F38" w:rsidP="00897F38">
      <w:pPr>
        <w:pStyle w:val="Version"/>
        <w:sectPr w:rsidSect="00A20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E05" w:rsidP="00A20E05">
      <w:pPr>
        <w:pStyle w:val="SuperHeading"/>
      </w:pPr>
      <w:r w:rsidRPr="00A20E05">
        <w:t>UETTDRSB18B Commission distribution field devices</w:t>
      </w:r>
    </w:p>
    <w:p w:rsidR="00000000" w:rsidRPr="00A20E05" w:rsidP="00A20E05">
      <w:pPr>
        <w:pStyle w:val="Heading1"/>
      </w:pPr>
      <w:bookmarkStart w:id="1" w:name="O_275536"/>
      <w:bookmarkEnd w:id="1"/>
      <w:r w:rsidRPr="00A20E05">
        <w:t>Modification History</w:t>
      </w:r>
    </w:p>
    <w:p w:rsidR="00000000" w:rsidRPr="00A20E05" w:rsidP="00A20E05">
      <w:pPr>
        <w:pStyle w:val="BodyText"/>
      </w:pPr>
      <w:r w:rsidRPr="00A20E05">
        <w:t>Not Applicable</w:t>
      </w:r>
    </w:p>
    <w:p w:rsidR="00000000" w:rsidRPr="00A20E05" w:rsidP="00A20E05">
      <w:pPr>
        <w:pStyle w:val="AllowPageBreak"/>
      </w:pPr>
    </w:p>
    <w:p w:rsidR="00000000" w:rsidRPr="00A20E05" w:rsidP="00A20E05">
      <w:pPr>
        <w:pStyle w:val="Heading1"/>
      </w:pPr>
      <w:bookmarkStart w:id="2" w:name="O_231900"/>
      <w:bookmarkEnd w:id="2"/>
      <w:r w:rsidRPr="00A20E05">
        <w:t>Unit Descriptor</w:t>
      </w:r>
    </w:p>
    <w:tbl>
      <w:tblPr>
        <w:tblW w:w="0" w:type="auto"/>
        <w:tblLayout w:type="fixed"/>
        <w:tblCellMar>
          <w:left w:w="62" w:type="dxa"/>
          <w:right w:w="62" w:type="dxa"/>
        </w:tblCellMar>
        <w:tblLook w:val="0000"/>
      </w:tblPr>
      <w:tblGrid>
        <w:gridCol w:w="2758"/>
        <w:gridCol w:w="5882"/>
      </w:tblGrid>
      <w:tr w:rsidTr="00897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1</w:t>
            </w:r>
            <w:r w:rsidRPr="00A20E05">
              <w:t xml:space="preserve">) </w:t>
            </w:r>
          </w:p>
          <w:p w:rsidR="00000000" w:rsidP="00A20E05">
            <w:pPr>
              <w:pStyle w:val="BodyText"/>
              <w:rPr>
                <w:lang w:val="en-NZ"/>
              </w:rPr>
            </w:pPr>
            <w:r w:rsidRPr="00A20E05">
              <w:rPr>
                <w:rStyle w:val="SpecialBold"/>
              </w:rPr>
              <w:t>1</w:t>
            </w:r>
            <w:r w:rsidRPr="00A20E05">
              <w:t>.</w:t>
            </w:r>
            <w:r w:rsidRPr="00A20E05">
              <w:rPr>
                <w:rStyle w:val="SpecialBold"/>
              </w:rPr>
              <w:t>1</w:t>
            </w:r>
            <w:r w:rsidRPr="00A20E05">
              <w:t xml:space="preserve">) </w:t>
            </w:r>
            <w:r w:rsidRPr="00A20E05">
              <w:rPr>
                <w:rStyle w:val="SpecialBold"/>
              </w:rPr>
              <w:t>Descriptor</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 xml:space="preserve">This Competency Standard Unit covers the commissioning of ACRs, gas switches, regulators and line capacitors, communication systems including mobile phones and TMR radio. It also includes communication with the Operating Authority, testing, clearing after </w:t>
            </w:r>
            <w:r w:rsidRPr="00A20E05">
              <w:t>test and energising using techniques that are acceptable to the Operating Authority.</w:t>
            </w:r>
          </w:p>
        </w:tc>
      </w:tr>
    </w:tbl>
    <w:p w:rsidR="00897F38" w:rsidP="00A20E05">
      <w:pPr>
        <w:pStyle w:val="BodyText"/>
      </w:pPr>
    </w:p>
    <w:p w:rsidR="00897F38" w:rsidP="00A20E05">
      <w:pPr>
        <w:pStyle w:val="BodyText"/>
      </w:pPr>
    </w:p>
    <w:p w:rsidR="00000000" w:rsidRPr="00A20E05" w:rsidP="00A20E05">
      <w:pPr>
        <w:pStyle w:val="Heading1"/>
      </w:pPr>
      <w:bookmarkStart w:id="3" w:name="O_231905"/>
      <w:bookmarkEnd w:id="3"/>
      <w:r w:rsidRPr="00A20E05">
        <w:t>Application of the Unit</w:t>
      </w:r>
    </w:p>
    <w:tbl>
      <w:tblPr>
        <w:tblW w:w="0" w:type="auto"/>
        <w:tblLayout w:type="fixed"/>
        <w:tblCellMar>
          <w:left w:w="62" w:type="dxa"/>
          <w:right w:w="62" w:type="dxa"/>
        </w:tblCellMar>
        <w:tblLook w:val="0000"/>
      </w:tblPr>
      <w:tblGrid>
        <w:gridCol w:w="2758"/>
        <w:gridCol w:w="5882"/>
      </w:tblGrid>
      <w:tr w:rsidTr="00897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4</w:t>
            </w:r>
            <w:r w:rsidRPr="00A20E05">
              <w:t>)</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This Competency Standard Unit is intended to augment formally acquired competencies. It is suitable for employment-based programs under an approved contract of training.</w:t>
            </w:r>
          </w:p>
        </w:tc>
      </w:tr>
    </w:tbl>
    <w:p w:rsidR="00897F38" w:rsidP="00A20E05">
      <w:pPr>
        <w:pStyle w:val="BodyText"/>
      </w:pPr>
    </w:p>
    <w:p w:rsidR="00897F38" w:rsidP="00A20E05">
      <w:pPr>
        <w:pStyle w:val="BodyText"/>
      </w:pPr>
    </w:p>
    <w:p w:rsidR="00000000" w:rsidRPr="00A20E05" w:rsidP="00A20E05">
      <w:pPr>
        <w:pStyle w:val="Heading1"/>
      </w:pPr>
      <w:bookmarkStart w:id="4" w:name="O_231901"/>
      <w:bookmarkEnd w:id="4"/>
      <w:r w:rsidRPr="00A20E05">
        <w:t>Licensing/Regulatory Information</w:t>
      </w:r>
    </w:p>
    <w:tbl>
      <w:tblPr>
        <w:tblW w:w="0" w:type="auto"/>
        <w:tblLayout w:type="fixed"/>
        <w:tblCellMar>
          <w:left w:w="62" w:type="dxa"/>
          <w:right w:w="62" w:type="dxa"/>
        </w:tblCellMar>
        <w:tblLook w:val="0000"/>
      </w:tblPr>
      <w:tblGrid>
        <w:gridCol w:w="8640"/>
      </w:tblGrid>
      <w:tr w:rsidTr="00897F3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1</w:t>
            </w:r>
            <w:r w:rsidRPr="00A20E05">
              <w:t>.</w:t>
            </w:r>
            <w:r w:rsidRPr="00A20E05">
              <w:rPr>
                <w:rStyle w:val="SpecialBold"/>
              </w:rPr>
              <w:t>2</w:t>
            </w:r>
            <w:r w:rsidRPr="00A20E05">
              <w:t xml:space="preserve">) </w:t>
            </w:r>
            <w:r w:rsidRPr="00A20E05">
              <w:rPr>
                <w:rStyle w:val="SpecialBold"/>
              </w:rPr>
              <w:t>License to practice</w:t>
            </w:r>
          </w:p>
        </w:tc>
      </w:tr>
      <w:tr w:rsidTr="00897F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The skills and knowledge described in this unit requires a licence/registration to practice in the work place subject to regulations for undertaking of electrical work. Practice in workplace and during training is also subject to regulations directly relat</w:t>
            </w:r>
            <w:r w:rsidRPr="00A20E05">
              <w:t>ed to Occupational Health and Safety, electricity/telecommunications/gas/water industry safety and compliance, industrial relations, environmental protection, anti discrimination and training. Commonwealth, State/Territory or Local Government legislation a</w:t>
            </w:r>
            <w:r w:rsidRPr="00A20E05">
              <w:t>nd regulations may exist that limits the age of operating certain equipment.</w:t>
            </w:r>
          </w:p>
        </w:tc>
      </w:tr>
    </w:tbl>
    <w:p w:rsidR="00897F38" w:rsidP="00A20E05">
      <w:pPr>
        <w:pStyle w:val="BodyText"/>
      </w:pPr>
    </w:p>
    <w:p w:rsidR="00897F38" w:rsidP="00A20E05">
      <w:pPr>
        <w:pStyle w:val="BodyText"/>
      </w:pPr>
    </w:p>
    <w:p w:rsidR="00000000" w:rsidRPr="00A20E05" w:rsidP="00A20E05">
      <w:pPr>
        <w:pStyle w:val="Heading1"/>
      </w:pPr>
      <w:bookmarkStart w:id="5" w:name="O_231902"/>
      <w:bookmarkEnd w:id="5"/>
      <w:r w:rsidRPr="00A20E05">
        <w:t>Pre-Requisites</w:t>
      </w:r>
    </w:p>
    <w:tbl>
      <w:tblPr>
        <w:tblW w:w="0" w:type="auto"/>
        <w:tblLayout w:type="fixed"/>
        <w:tblCellMar>
          <w:left w:w="62" w:type="dxa"/>
          <w:right w:w="62" w:type="dxa"/>
        </w:tblCellMar>
        <w:tblLook w:val="0000"/>
      </w:tblPr>
      <w:tblGrid>
        <w:gridCol w:w="2758"/>
        <w:gridCol w:w="5882"/>
      </w:tblGrid>
      <w:tr w:rsidTr="00897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Prerequisite Unit</w:t>
            </w:r>
            <w:r w:rsidRPr="00A20E05">
              <w:t>(</w:t>
            </w:r>
            <w:r w:rsidRPr="00A20E05">
              <w:rPr>
                <w:rStyle w:val="SpecialBold"/>
              </w:rPr>
              <w:t>s</w:t>
            </w:r>
            <w:r w:rsidRPr="00A20E05">
              <w:t>)</w:t>
            </w:r>
          </w:p>
        </w:tc>
        <w:tc>
          <w:tcPr>
            <w:tcW w:w="5882"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2</w:t>
            </w:r>
            <w:r w:rsidRPr="00A20E05">
              <w:t xml:space="preserve">) </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20E05">
            <w:pPr>
              <w:pStyle w:val="BodyText"/>
              <w:keepNext w:val="0"/>
              <w:keepLines w:val="0"/>
              <w:contextualSpacing w:val="0"/>
            </w:pPr>
          </w:p>
        </w:tc>
        <w:tc>
          <w:tcPr>
            <w:tcW w:w="5882"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2</w:t>
            </w:r>
            <w:r w:rsidRPr="00A20E05">
              <w:t>.</w:t>
            </w:r>
            <w:r w:rsidRPr="00A20E05">
              <w:rPr>
                <w:rStyle w:val="SpecialBold"/>
              </w:rPr>
              <w:t>1</w:t>
            </w:r>
            <w:r w:rsidRPr="00A20E05">
              <w:t xml:space="preserve">) </w:t>
            </w:r>
            <w:r w:rsidRPr="00A20E05">
              <w:rPr>
                <w:rStyle w:val="SpecialBold"/>
              </w:rPr>
              <w:t>Competencies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 xml:space="preserve">Entry into this unit requires a current 'Unrestricted Electrician's Licence' or equivalent issued in an Australian State or Territory or satisfaction of the ERAC requirements for the issue of an unrestricted electrician's licence. </w:t>
            </w:r>
          </w:p>
        </w:tc>
      </w:tr>
    </w:tbl>
    <w:p w:rsidR="00897F38" w:rsidP="00A20E05">
      <w:pPr>
        <w:pStyle w:val="BodyText"/>
      </w:pPr>
    </w:p>
    <w:p w:rsidR="00897F38" w:rsidP="00A20E05">
      <w:pPr>
        <w:pStyle w:val="BodyText"/>
      </w:pPr>
    </w:p>
    <w:p w:rsidR="00000000" w:rsidRPr="00A20E05" w:rsidP="00A20E05">
      <w:pPr>
        <w:pStyle w:val="Heading1"/>
      </w:pPr>
      <w:bookmarkStart w:id="6" w:name="O_231904"/>
      <w:bookmarkEnd w:id="6"/>
      <w:r w:rsidRPr="00A20E05">
        <w:t>Empl</w:t>
      </w:r>
      <w:r w:rsidRPr="00A20E05">
        <w:t>oyability Skills Information</w:t>
      </w:r>
    </w:p>
    <w:tbl>
      <w:tblPr>
        <w:tblW w:w="0" w:type="auto"/>
        <w:tblLayout w:type="fixed"/>
        <w:tblCellMar>
          <w:left w:w="62" w:type="dxa"/>
          <w:right w:w="62" w:type="dxa"/>
        </w:tblCellMar>
        <w:tblLook w:val="0000"/>
      </w:tblPr>
      <w:tblGrid>
        <w:gridCol w:w="2758"/>
        <w:gridCol w:w="5882"/>
      </w:tblGrid>
      <w:tr w:rsidTr="00897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3</w:t>
            </w:r>
            <w:r w:rsidRPr="00A20E05">
              <w:t>)</w:t>
            </w:r>
          </w:p>
          <w:p w:rsidR="00000000" w:rsidRPr="00A20E05" w:rsidP="00A20E05">
            <w:pPr>
              <w:pStyle w:val="BodyText"/>
            </w:pPr>
            <w:r w:rsidRPr="00A20E05">
              <w:t>The required outcomes described in this unit of competency contain applicable facets of Employability Skills. The Employability Skills Summary of the qualification in which this unit of competency is pac</w:t>
            </w:r>
            <w:r w:rsidRPr="00A20E05">
              <w:t>kaged will assist in identifying Employability Skill requirements.</w:t>
            </w:r>
          </w:p>
        </w:tc>
      </w:tr>
    </w:tbl>
    <w:p w:rsidR="00897F38" w:rsidP="00A20E05">
      <w:pPr>
        <w:pStyle w:val="BodyText"/>
      </w:pPr>
    </w:p>
    <w:p w:rsidR="00897F38" w:rsidP="00A20E05">
      <w:pPr>
        <w:pStyle w:val="BodyText"/>
      </w:pPr>
    </w:p>
    <w:p w:rsidR="00000000" w:rsidRPr="00A20E05" w:rsidP="00A20E05">
      <w:pPr>
        <w:pStyle w:val="Heading1"/>
      </w:pPr>
      <w:bookmarkStart w:id="7" w:name="O_293582"/>
      <w:bookmarkEnd w:id="7"/>
      <w:r w:rsidRPr="00A20E05">
        <w:t>Elements and Performance Criteria Pre-Content</w:t>
      </w:r>
    </w:p>
    <w:tbl>
      <w:tblPr>
        <w:tblW w:w="0" w:type="auto"/>
        <w:tblLayout w:type="fixed"/>
        <w:tblCellMar>
          <w:left w:w="62" w:type="dxa"/>
          <w:right w:w="62" w:type="dxa"/>
        </w:tblCellMar>
        <w:tblLook w:val="0000"/>
      </w:tblPr>
      <w:tblGrid>
        <w:gridCol w:w="2758"/>
        <w:gridCol w:w="5882"/>
      </w:tblGrid>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6</w:t>
            </w:r>
            <w:r w:rsidRPr="00A20E05">
              <w:t xml:space="preserve">) </w:t>
            </w:r>
            <w:r w:rsidRPr="00A20E05">
              <w:rPr>
                <w:rStyle w:val="SpecialBold"/>
              </w:rPr>
              <w:t>Elements</w:t>
            </w:r>
            <w:r w:rsidRPr="00A20E05">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Performance Criteria describe the required performance needed to demonstrate achievement of the element. Assessment of performance is to be consistent with the evidence guide.</w:t>
            </w:r>
          </w:p>
        </w:tc>
      </w:tr>
    </w:tbl>
    <w:p w:rsidR="00000000" w:rsidRPr="00A20E05" w:rsidP="00A20E05">
      <w:pPr>
        <w:pStyle w:val="BodyText"/>
      </w:pPr>
    </w:p>
    <w:p w:rsidR="00000000" w:rsidRPr="00A20E05" w:rsidP="00A20E05">
      <w:pPr>
        <w:pStyle w:val="AllowPageBreak"/>
      </w:pPr>
    </w:p>
    <w:p w:rsidR="00000000" w:rsidRPr="00A20E05" w:rsidP="00A20E05">
      <w:pPr>
        <w:pStyle w:val="Heading1"/>
      </w:pPr>
      <w:bookmarkStart w:id="8" w:name="O_240250"/>
      <w:bookmarkEnd w:id="8"/>
      <w:r w:rsidRPr="00A20E05">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897F3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PERFORMANCE CRITER</w:t>
            </w:r>
            <w:r w:rsidRPr="00A20E05">
              <w:rPr>
                <w:rStyle w:val="SpecialBold"/>
              </w:rPr>
              <w:t>IA</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w:t>
            </w:r>
          </w:p>
        </w:tc>
        <w:tc>
          <w:tcPr>
            <w:tcW w:w="2345"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Plan for the commissioning of distribution field devices</w:t>
            </w: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1.1</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Work schedules including drawings, plans, requirements procedures and material lists are acquired, analysed and the extent of work determined.</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1.2</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Relevant requirements and established procedures for the work are communicated to all personnel and identified for all work sites.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1.3</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Hazards are identified, OHS risks assessed and control measures are prioritised, implemented and monitored including e</w:t>
            </w:r>
            <w:r w:rsidRPr="00A20E05">
              <w:t>mergency exits kept clear, to ensure safe systems of work are followed and according to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1.4</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Work is prioritised and sequenced for the most efficient and effective outcome following consultation with others for completion within acceptable timeframes, to agreed quality standards and in accordance with established policies and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1.5</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Re</w:t>
            </w:r>
            <w:r w:rsidRPr="00A20E05">
              <w:t>sources including personnel, equipment, tools and personal protective equipment required for the job are identified, acquired and confirmed in safe/technical working order.</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1.6</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Liaison issues with other personnel and/or authorities are resolved and acti</w:t>
            </w:r>
            <w:r w:rsidRPr="00A20E05">
              <w:t>vities coordinated to facilitate the work.</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1.7</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Personnel participating in the work including plant operators and contractors are fully briefed, their respective responsibilities explained and coordinated and appropriate authorisation checked in accordan</w:t>
            </w:r>
            <w:r w:rsidRPr="00A20E05">
              <w:t>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1.8</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Work site is prepared according to the work schedule and to minimise risk and damage to property and personnel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w:t>
            </w:r>
          </w:p>
        </w:tc>
        <w:tc>
          <w:tcPr>
            <w:tcW w:w="2345"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Carry out the commissioning of distribution network field devices</w:t>
            </w: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2.1</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OHS and sustainable energy principles and practices to reduce the incidence of accidents and minimise waste are implemented and monitored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w:t>
            </w:r>
            <w:r w:rsidRPr="00A20E05">
              <w:t>2</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CPR, Rescue from live electrical apparatus and other related safety procedures are in place according to requirements and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2.3</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Safe working documentation is acquired and requirements completed in accordance with established proc</w:t>
            </w:r>
            <w:r w:rsidRPr="00A20E05">
              <w:t>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2.4</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Lifting, use of power tools/equipment techniques and practices are safely exercised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2.5</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Hazard warnings and safety signs are recognised and hazards and assessed OHS risks are monitored and preventive action taken and/or appropriate authorities consulted where necessary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2.6</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Commissioning, including</w:t>
            </w:r>
            <w:r w:rsidRPr="00A20E05">
              <w:t xml:space="preserve"> testing of distribution field devices is undertaken according to requirements and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2.7</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Data is analysed and compared with compliance specifications to ensure completion of the maintenance work is within an agreed timeframe and ac</w:t>
            </w:r>
            <w:r w:rsidRPr="00A20E05">
              <w:t>cording to requirements.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2.8</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Essential knowledge and associated skills are applied for the safe commissioning of distribution network field devices to ensure completion in an agreed timeframe and to quality standards with a minimum of waste according to</w:t>
            </w:r>
            <w:r w:rsidRPr="00A20E05">
              <w:t xml:space="preserve"> requirements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2.9</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Unplanned events or conditions are responded to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3</w:t>
            </w:r>
          </w:p>
        </w:tc>
        <w:tc>
          <w:tcPr>
            <w:tcW w:w="2345" w:type="dxa"/>
            <w:vMerge w:val="restart"/>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Complete the commissioning of distribution network field devices</w:t>
            </w: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3.1</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Functional checks of distribution field devices are completed and all wo</w:t>
            </w:r>
            <w:r w:rsidRPr="00A20E05">
              <w:t>rk checked against the requirements to ensure compliance.</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3.2</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Anomalies between the work schedule requirements and measured performance are reported and solutions identified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3.3</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Safe working documentation is surrendered and transformer made ready for service.</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3.4</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Work site is rehabilitated, cleaned up and confirmed safe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3.5</w:t>
            </w:r>
          </w:p>
        </w:tc>
        <w:tc>
          <w:tcPr>
            <w:tcW w:w="496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Tools, equipment and any surplus resources and materials ar</w:t>
            </w:r>
            <w:r w:rsidRPr="00A20E05">
              <w:t>e cleaned, checked and returned to storage in accordance with established procedures.</w:t>
            </w:r>
          </w:p>
        </w:tc>
      </w:tr>
      <w:tr w:rsidTr="00897F3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3.6</w:t>
            </w:r>
          </w:p>
        </w:tc>
        <w:tc>
          <w:tcPr>
            <w:tcW w:w="4963"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Documents and records related to the distribution field devices are updated in accordance with established procedures.</w:t>
            </w:r>
          </w:p>
        </w:tc>
      </w:tr>
    </w:tbl>
    <w:p w:rsidR="00897F38" w:rsidP="00A20E05">
      <w:pPr>
        <w:pStyle w:val="BodyText"/>
      </w:pPr>
    </w:p>
    <w:p w:rsidR="00897F38" w:rsidP="00A20E05">
      <w:pPr>
        <w:pStyle w:val="BodyText"/>
      </w:pPr>
    </w:p>
    <w:p w:rsidR="00000000" w:rsidRPr="00A20E05" w:rsidP="00A20E05">
      <w:pPr>
        <w:pStyle w:val="Heading1"/>
      </w:pPr>
      <w:bookmarkStart w:id="9" w:name="O_264041"/>
      <w:bookmarkEnd w:id="9"/>
      <w:r w:rsidRPr="00A20E05">
        <w:t>Required Skills and Knowledge</w:t>
      </w:r>
    </w:p>
    <w:tbl>
      <w:tblPr>
        <w:tblW w:w="0" w:type="auto"/>
        <w:tblLayout w:type="fixed"/>
        <w:tblCellMar>
          <w:left w:w="62" w:type="dxa"/>
          <w:right w:w="62" w:type="dxa"/>
        </w:tblCellMar>
        <w:tblLook w:val="0000"/>
      </w:tblPr>
      <w:tblGrid>
        <w:gridCol w:w="2758"/>
        <w:gridCol w:w="1103"/>
        <w:gridCol w:w="4779"/>
      </w:tblGrid>
      <w:tr w:rsidTr="00897F3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REQUIRED SKILLS AND KNOWLEDGE</w:t>
            </w:r>
          </w:p>
        </w:tc>
      </w:tr>
      <w:tr w:rsidTr="00897F3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7</w:t>
            </w:r>
            <w:r w:rsidRPr="00A20E05">
              <w:t xml:space="preserve">) </w:t>
            </w:r>
            <w:r w:rsidRPr="00A20E05">
              <w:rPr>
                <w:rStyle w:val="SpecialBold"/>
              </w:rPr>
              <w:t>Essential Knowledge and Associated Skills</w:t>
            </w:r>
            <w:r w:rsidRPr="00A20E05">
              <w:t xml:space="preserve"> (</w:t>
            </w:r>
            <w:r w:rsidRPr="00A20E05">
              <w:rPr>
                <w:rStyle w:val="SpecialBold"/>
              </w:rPr>
              <w:t>EKAS</w:t>
            </w:r>
            <w:r w:rsidRPr="00A20E05">
              <w:t>): This describes the essential skills and knowledge and their level, required for this unit.</w:t>
            </w:r>
          </w:p>
        </w:tc>
      </w:tr>
      <w:tr w:rsidTr="00897F3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 xml:space="preserve">Evidence shall show that knowledge has been acquired of commissioning distribution field devices. </w:t>
            </w:r>
          </w:p>
          <w:p w:rsidR="00000000" w:rsidRPr="00A20E05" w:rsidP="00A20E05">
            <w:pPr>
              <w:pStyle w:val="BodyText"/>
            </w:pPr>
            <w:r w:rsidRPr="00A20E05">
              <w:t>All knowledge and skills detailed in this unit should be contextualised to current industry practices and technologies.</w:t>
            </w:r>
          </w:p>
          <w:p w:rsidR="00000000" w:rsidP="00A20E05">
            <w:pPr>
              <w:pStyle w:val="BodyText"/>
              <w:rPr>
                <w:lang w:val="en-NZ"/>
              </w:rPr>
            </w:pPr>
            <w:r w:rsidRPr="00A20E05">
              <w:t>The extent of the essential knowledge</w:t>
            </w:r>
            <w:r w:rsidRPr="00A20E05">
              <w:t xml:space="preserve"> and associated skills (EKAS) required is given in Volume 2 - Part 2.2 EKAS. It forms an integral part of this unit.</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 xml:space="preserve">E2.18.1 </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Occupational Health and Safety principles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E2.18.2</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Electrical safe working practice</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T2.3.3</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Statutory and safety considerations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T2.3.4</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Electrical equipment - protection and control schemes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T2.3.5</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Discrete protection schemes - isolation and tagging procedures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T2.3.6</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Protection devices - maintenance and commission principles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T2.3.7</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Protecti</w:t>
            </w:r>
            <w:r w:rsidRPr="00A20E05">
              <w:t>on devices - manufacturer requirements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T2.7.6</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Disposal procedures for insulating materials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T2.10.1</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Visual inspection procedures -substations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T2.10.2</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Surge relay operation and maintenance - substations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T2.10.9</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Analyse and interpret results and measurements - substations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T2.10.25</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Commissioning of distribution protection and control systems - substations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T2.10.26</w:t>
            </w:r>
          </w:p>
        </w:tc>
        <w:tc>
          <w:tcPr>
            <w:tcW w:w="4779"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Voltage regulation scheme principles - substations</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T2.10.27</w:t>
            </w:r>
          </w:p>
        </w:tc>
        <w:tc>
          <w:tcPr>
            <w:tcW w:w="4779"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Use of test equipment on a discrete protection scheme - substations</w:t>
            </w:r>
          </w:p>
        </w:tc>
      </w:tr>
    </w:tbl>
    <w:p w:rsidR="00897F38" w:rsidP="00A20E05">
      <w:pPr>
        <w:pStyle w:val="BodyText"/>
      </w:pPr>
    </w:p>
    <w:p w:rsidR="00897F38" w:rsidP="00A20E05">
      <w:pPr>
        <w:pStyle w:val="BodyText"/>
      </w:pPr>
    </w:p>
    <w:p w:rsidR="00000000" w:rsidRPr="00A20E05" w:rsidP="00A20E05">
      <w:pPr>
        <w:pStyle w:val="Heading1"/>
      </w:pPr>
      <w:bookmarkStart w:id="10" w:name="O_248233"/>
      <w:bookmarkEnd w:id="10"/>
      <w:r w:rsidRPr="00A20E05">
        <w:t>Evidence Guide</w:t>
      </w:r>
    </w:p>
    <w:tbl>
      <w:tblPr>
        <w:tblW w:w="0" w:type="auto"/>
        <w:tblLayout w:type="fixed"/>
        <w:tblCellMar>
          <w:left w:w="62" w:type="dxa"/>
          <w:right w:w="62" w:type="dxa"/>
        </w:tblCellMar>
        <w:tblLook w:val="0000"/>
      </w:tblPr>
      <w:tblGrid>
        <w:gridCol w:w="2207"/>
        <w:gridCol w:w="735"/>
        <w:gridCol w:w="919"/>
        <w:gridCol w:w="1654"/>
        <w:gridCol w:w="3125"/>
      </w:tblGrid>
      <w:tr w:rsidTr="00897F3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EVIDENCE GUIDE</w:t>
            </w:r>
          </w:p>
        </w:tc>
      </w:tr>
      <w:tr w:rsidTr="00897F3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9</w:t>
            </w:r>
            <w:r w:rsidRPr="00A20E05">
              <w:t xml:space="preserve">) This provides essential advice for assessment of the competency standard unit and must be read </w:t>
            </w:r>
            <w:r w:rsidRPr="00A20E05">
              <w:t>in conjunction with the Performance Criteria and the Range Statement of the competency standard unit and the Training Package Assessment Guidelines.</w:t>
            </w:r>
          </w:p>
          <w:p w:rsidR="00000000" w:rsidP="00A20E05">
            <w:pPr>
              <w:pStyle w:val="BodyText"/>
              <w:rPr>
                <w:lang w:val="en-NZ"/>
              </w:rPr>
            </w:pPr>
            <w:r w:rsidRPr="00A20E05">
              <w:t>The Evidence Guide forms an integral part of this Competency Standard Unit and shall be used in conjunction</w:t>
            </w:r>
            <w:r w:rsidRPr="00A20E05">
              <w:t xml:space="preserve"> with all component parts of this unit and, performed in accordance with the Assessment Guidelines of this Training Package.</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9</w:t>
            </w:r>
            <w:r w:rsidRPr="00A20E05">
              <w:t>.</w:t>
            </w:r>
            <w:r w:rsidRPr="00A20E05">
              <w:rPr>
                <w:rStyle w:val="SpecialBold"/>
              </w:rPr>
              <w:t>1</w:t>
            </w:r>
            <w:r w:rsidRPr="00A20E05">
              <w:t xml:space="preserve">) </w:t>
            </w:r>
          </w:p>
          <w:p w:rsidR="00000000" w:rsidRPr="00A20E05" w:rsidP="00A20E05">
            <w:pPr>
              <w:pStyle w:val="BodyText"/>
            </w:pPr>
            <w:r w:rsidRPr="00A20E05">
              <w:t xml:space="preserve">Longitudinal competency development approaches to assessment, such as Profiling, require data to </w:t>
            </w:r>
            <w:r w:rsidRPr="00A20E05">
              <w:t>be reliably gathered in a form that can be consistently interpreted over time. This approach is best utilised in Apprenticeship programs and reduces assessment intervention. It is the Industry's preferred model for apprenticeships. However, where summative</w:t>
            </w:r>
            <w:r w:rsidRPr="00A20E05">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A20E05">
              <w:t>, assessment in part or full can occur outside the workplace. However, it must be in accord with Industry and, Regulatory policy in this regard.</w:t>
            </w:r>
          </w:p>
          <w:p w:rsidR="00000000" w:rsidRPr="00A20E05" w:rsidP="00A20E05">
            <w:pPr>
              <w:pStyle w:val="BodyText"/>
            </w:pPr>
            <w:r w:rsidRPr="00A20E05">
              <w:t>Methods chosen for a particular assessment will be influenced by various factors. These include the extent of t</w:t>
            </w:r>
            <w:r w:rsidRPr="00A20E05">
              <w:t>he assessment, the most effective locations for the assessment activities to take place, access to physical resources, additional safety measures that may be required and the critical nature of the competencies being assessed.</w:t>
            </w:r>
          </w:p>
          <w:p w:rsidR="00000000" w:rsidRPr="00A20E05" w:rsidP="00A20E05">
            <w:pPr>
              <w:pStyle w:val="BodyText"/>
            </w:pPr>
            <w:r w:rsidRPr="00A20E05">
              <w:t>The critical safety nature of</w:t>
            </w:r>
            <w:r w:rsidRPr="00A20E05">
              <w:t xml:space="preserve"> working with electricity, electrical equipment, gas or any other hazardous substance/material carries risk in deeming a person competent. Hence, sources of evidence need to be 'rich' in nature so as to minimise error in judgment.</w:t>
            </w:r>
          </w:p>
          <w:p w:rsidR="00000000" w:rsidP="00A20E05">
            <w:pPr>
              <w:pStyle w:val="BodyText"/>
              <w:rPr>
                <w:lang w:val="en-NZ"/>
              </w:rPr>
            </w:pPr>
            <w:r w:rsidRPr="00A20E05">
              <w:t>Activities associated wit</w:t>
            </w:r>
            <w:r w:rsidRPr="00A20E05">
              <w:t>h normal every day work have a bearing on the decision as to how much and how detailed the data gathered will contribute to its 'richness'. Some skills are more critical to safety and operational requirements while the same skills may be more or less frequ</w:t>
            </w:r>
            <w:r w:rsidRPr="00A20E05">
              <w:t>ently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897F3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9</w:t>
            </w:r>
            <w:r w:rsidRPr="00A20E05">
              <w:t>.</w:t>
            </w:r>
            <w:r w:rsidRPr="00A20E05">
              <w:rPr>
                <w:rStyle w:val="SpecialBold"/>
              </w:rPr>
              <w:t>2</w:t>
            </w:r>
            <w:r w:rsidRPr="00A20E05">
              <w:t xml:space="preserve">) </w:t>
            </w:r>
          </w:p>
          <w:p w:rsidR="00000000" w:rsidP="00A20E05">
            <w:pPr>
              <w:pStyle w:val="BodyText"/>
              <w:rPr>
                <w:lang w:val="en-NZ"/>
              </w:rPr>
            </w:pPr>
            <w:r w:rsidRPr="00A20E05">
              <w:t>Before the critical aspects of evidence are considered all prerequisites shall be met.</w:t>
            </w:r>
          </w:p>
        </w:tc>
      </w:tr>
      <w:tr w:rsidTr="00897F3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A20E05">
            <w:pPr>
              <w:pStyle w:val="ListBullet"/>
              <w:rPr>
                <w:lang w:val="en-NZ"/>
              </w:rPr>
            </w:pPr>
            <w:r w:rsidRPr="00A20E05">
              <w:t>A</w:t>
            </w:r>
            <w:r w:rsidRPr="00A20E05">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20E05" w:rsidP="00A20E05">
            <w:pPr>
              <w:pStyle w:val="ListBullet2"/>
            </w:pPr>
            <w:r w:rsidRPr="00A20E05">
              <w:t>Implement Occupational Health and Safety workplace procedures and practices including the use of risk control measures as specified in the Performance Criteria and range; and</w:t>
            </w:r>
          </w:p>
          <w:p w:rsidR="00000000" w:rsidRPr="00A20E05" w:rsidP="00A20E05">
            <w:pPr>
              <w:pStyle w:val="ListBullet2"/>
            </w:pPr>
            <w:r w:rsidRPr="00A20E05">
              <w:t>Apply sustainable energy principles and practices as specified in the Performance Criteria and range; and</w:t>
            </w:r>
          </w:p>
          <w:p w:rsidR="00000000" w:rsidRPr="00A20E05" w:rsidP="00A20E05">
            <w:pPr>
              <w:pStyle w:val="ListBullet2"/>
            </w:pPr>
            <w:r w:rsidRPr="00A20E05">
              <w:t>Demonstrate an understanding of the essential knowledge and associated skills as described in this unit to such an extent that the learner's performan</w:t>
            </w:r>
            <w:r w:rsidRPr="00A20E05">
              <w:t>ce outcome is reported in accordance with the preferred approach; namely a percentile graded result, where required by the regulated environment; and</w:t>
            </w:r>
          </w:p>
          <w:p w:rsidR="00000000" w:rsidRPr="00A20E05" w:rsidP="00A20E05">
            <w:pPr>
              <w:pStyle w:val="ListBullet2"/>
            </w:pPr>
            <w:r w:rsidRPr="00A20E05">
              <w:t>Demonstrate an appropriate level of employability skills; and</w:t>
            </w:r>
          </w:p>
          <w:p w:rsidR="00000000" w:rsidP="00A20E05">
            <w:pPr>
              <w:pStyle w:val="ListBullet2"/>
              <w:rPr>
                <w:lang w:val="en-NZ"/>
              </w:rPr>
            </w:pPr>
            <w:r w:rsidRPr="00A20E05">
              <w:t>Conduct work observing the relevant Anti Dis</w:t>
            </w:r>
            <w:r w:rsidRPr="00A20E05">
              <w:t>crimination legislation, regulations, policies and workplace procedures; and</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20E05">
            <w:pPr>
              <w:pStyle w:val="ListBullet"/>
              <w:rPr>
                <w:lang w:val="en-NZ"/>
              </w:rPr>
            </w:pPr>
            <w:r w:rsidRPr="00A20E05">
              <w:t xml:space="preserve">Demonstrated performance across a representative range of contexts from the prescribed items below: </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20E05">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rPr>
                <w:rStyle w:val="SpecialBold"/>
              </w:rPr>
              <w:t>Range of tools</w:t>
            </w:r>
            <w:r w:rsidRPr="00A20E05">
              <w:t>/</w:t>
            </w:r>
            <w:r w:rsidRPr="00A20E05">
              <w:rPr>
                <w:rStyle w:val="SpecialBold"/>
              </w:rPr>
              <w:t>equipment</w:t>
            </w:r>
            <w:r w:rsidRPr="00A20E05">
              <w:t>/</w:t>
            </w:r>
            <w:r w:rsidRPr="00A20E05">
              <w:rPr>
                <w:rStyle w:val="SpecialBold"/>
              </w:rPr>
              <w:t>materials</w:t>
            </w:r>
            <w:r w:rsidRPr="00A20E05">
              <w:t>/</w:t>
            </w:r>
            <w:r w:rsidRPr="00A20E05">
              <w:rPr>
                <w:rStyle w:val="SpecialBold"/>
              </w:rPr>
              <w:t>procedures</w:t>
            </w:r>
            <w:r w:rsidRPr="00A20E05">
              <w:t>/</w:t>
            </w:r>
            <w:r w:rsidRPr="00A20E05">
              <w:rPr>
                <w:rStyle w:val="SpecialBold"/>
              </w:rPr>
              <w:t>workplaces</w:t>
            </w:r>
            <w:r w:rsidRPr="00A20E05">
              <w:t>/</w:t>
            </w:r>
            <w:r w:rsidRPr="00A20E05">
              <w:rPr>
                <w:rStyle w:val="SpecialBold"/>
              </w:rPr>
              <w:t>other variables</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20E05">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E05" w:rsidP="00A20E05">
            <w:pPr>
              <w:pStyle w:val="BodyText"/>
            </w:pPr>
            <w:r w:rsidRPr="00A20E05">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E05" w:rsidP="00A20E05">
            <w:pPr>
              <w:pStyle w:val="BodyText"/>
            </w:pPr>
            <w:r w:rsidRPr="00A20E05">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rPr>
                <w:rStyle w:val="SpecialBold"/>
              </w:rPr>
              <w:t>Item List</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E05" w:rsidP="00A20E05">
            <w:pPr>
              <w:pStyle w:val="BodyText"/>
            </w:pPr>
            <w:r w:rsidRPr="00A20E05">
              <w:t>Assembly</w:t>
            </w:r>
          </w:p>
          <w:p w:rsidR="00000000" w:rsidRPr="00A20E05" w:rsidP="00A20E05">
            <w:pPr>
              <w:pStyle w:val="BodyText"/>
            </w:pPr>
            <w:r w:rsidRPr="00A20E05">
              <w:t>Functional checks</w:t>
            </w:r>
          </w:p>
          <w:p w:rsidR="00000000" w:rsidRPr="00A20E05" w:rsidP="00A20E05">
            <w:pPr>
              <w:pStyle w:val="BodyText"/>
            </w:pPr>
            <w:r w:rsidRPr="00A20E05">
              <w:t>Applying device settings</w:t>
            </w:r>
          </w:p>
          <w:p w:rsidR="00000000" w:rsidRPr="00A20E05" w:rsidP="00A20E05">
            <w:pPr>
              <w:pStyle w:val="BodyText"/>
            </w:pPr>
            <w:r w:rsidRPr="00A20E05">
              <w:t>Secondary injections</w:t>
            </w:r>
          </w:p>
          <w:p w:rsidR="00000000" w:rsidRPr="00A20E05" w:rsidP="00A20E05">
            <w:pPr>
              <w:pStyle w:val="BodyText"/>
            </w:pPr>
            <w:r w:rsidRPr="00A20E05">
              <w:t>Timing</w:t>
            </w:r>
          </w:p>
          <w:p w:rsidR="00000000" w:rsidRPr="00A20E05" w:rsidP="00A20E05">
            <w:pPr>
              <w:pStyle w:val="BodyText"/>
            </w:pPr>
            <w:r w:rsidRPr="00A20E05">
              <w:t>Remote operations</w:t>
            </w:r>
          </w:p>
          <w:p w:rsidR="00000000" w:rsidRPr="00A20E05" w:rsidP="00A20E05">
            <w:pPr>
              <w:pStyle w:val="BodyText"/>
            </w:pPr>
            <w:r w:rsidRPr="00A20E05">
              <w:t>Earthing checks</w:t>
            </w:r>
          </w:p>
          <w:p w:rsidR="00000000" w:rsidP="00A20E05">
            <w:pPr>
              <w:pStyle w:val="BodyText"/>
              <w:rPr>
                <w:lang w:val="en-NZ"/>
              </w:rPr>
            </w:pPr>
            <w:r w:rsidRPr="00A20E05">
              <w:t>Calibrations</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E05" w:rsidP="00A20E05">
            <w:pPr>
              <w:pStyle w:val="BodyText"/>
            </w:pPr>
            <w:r w:rsidRPr="00A20E05">
              <w:t>ACRs</w:t>
            </w:r>
          </w:p>
          <w:p w:rsidR="00000000" w:rsidRPr="00A20E05" w:rsidP="00A20E05">
            <w:pPr>
              <w:pStyle w:val="BodyText"/>
            </w:pPr>
            <w:r w:rsidRPr="00A20E05">
              <w:t>Gas switches</w:t>
            </w:r>
          </w:p>
          <w:p w:rsidR="00000000" w:rsidRPr="00A20E05" w:rsidP="00A20E05">
            <w:pPr>
              <w:pStyle w:val="BodyText"/>
            </w:pPr>
            <w:r w:rsidRPr="00A20E05">
              <w:t>Regulators</w:t>
            </w:r>
          </w:p>
          <w:p w:rsidR="00000000" w:rsidRPr="00A20E05" w:rsidP="00A20E05">
            <w:pPr>
              <w:pStyle w:val="BodyText"/>
            </w:pPr>
            <w:r w:rsidRPr="00A20E05">
              <w:t>Line capacitors</w:t>
            </w:r>
          </w:p>
          <w:p w:rsidR="00000000" w:rsidRPr="00A20E05" w:rsidP="00A20E05">
            <w:pPr>
              <w:pStyle w:val="BodyText"/>
            </w:pPr>
            <w:r w:rsidRPr="00A20E05">
              <w:t>Mobile phone systems</w:t>
            </w:r>
          </w:p>
          <w:p w:rsidR="00000000" w:rsidP="00A20E05">
            <w:pPr>
              <w:pStyle w:val="BodyText"/>
              <w:rPr>
                <w:lang w:val="en-NZ"/>
              </w:rPr>
            </w:pPr>
            <w:r w:rsidRPr="00A20E05">
              <w:t>TMR radio systems</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E05">
            <w:pPr>
              <w:pStyle w:val="BodyText"/>
              <w:rPr>
                <w:lang w:val="en-NZ"/>
              </w:rPr>
            </w:pPr>
            <w:r w:rsidRPr="00A20E05">
              <w:t>Dealing with an unplanned event by drawing on essential knowledge and associated skills to provide appropriate solutions incorporated in the holistic assessment with the above listed items.</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9</w:t>
            </w:r>
            <w:r w:rsidRPr="00A20E05">
              <w:t>.</w:t>
            </w:r>
            <w:r w:rsidRPr="00A20E05">
              <w:rPr>
                <w:rStyle w:val="SpecialBold"/>
              </w:rPr>
              <w:t>3</w:t>
            </w:r>
            <w:r w:rsidRPr="00A20E05">
              <w:t xml:space="preserve">) </w:t>
            </w:r>
          </w:p>
          <w:p w:rsidR="00000000" w:rsidRPr="00A20E05" w:rsidP="00A20E05">
            <w:pPr>
              <w:pStyle w:val="BodyText"/>
            </w:pPr>
            <w:r w:rsidRPr="00A20E05">
              <w:t xml:space="preserve">This unit </w:t>
            </w:r>
            <w:r w:rsidRPr="00A20E05">
              <w:t>should be assessed as it relates to normal work practice using procedures, information and resources typical of a workplace. This should include:</w:t>
            </w:r>
          </w:p>
          <w:p w:rsidR="00000000" w:rsidRPr="00A20E05" w:rsidP="00A20E05">
            <w:pPr>
              <w:pStyle w:val="ListBullet"/>
            </w:pPr>
            <w:r w:rsidRPr="00A20E05">
              <w:t>OHS policy and work procedures and instructions.</w:t>
            </w:r>
          </w:p>
          <w:p w:rsidR="00000000" w:rsidP="00A20E05">
            <w:pPr>
              <w:pStyle w:val="ListBullet"/>
              <w:rPr>
                <w:lang w:val="en-NZ"/>
              </w:rPr>
            </w:pPr>
            <w:r w:rsidRPr="00A20E05">
              <w:t>Suitable work environment, facilities, equipment and materials to undertake actual commissioning of distribution field devices</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In addition to the resources listed above, in Context of and specific resources for assessment, evidence should show demonst</w:t>
            </w:r>
            <w:r w:rsidRPr="00A20E05">
              <w:t xml:space="preserve">rated competency working: </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At realistic heights above ground i.e. above 3 metres, in limited spaces, with different structural/construction types and method and in a variety of environments.</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9</w:t>
            </w:r>
            <w:r w:rsidRPr="00A20E05">
              <w:t>.</w:t>
            </w:r>
            <w:r w:rsidRPr="00A20E05">
              <w:rPr>
                <w:rStyle w:val="SpecialBold"/>
              </w:rPr>
              <w:t>4</w:t>
            </w:r>
            <w:r w:rsidRPr="00A20E05">
              <w:t xml:space="preserve">) </w:t>
            </w:r>
          </w:p>
          <w:p w:rsidR="00000000" w:rsidRPr="00A20E05" w:rsidP="00A20E05">
            <w:pPr>
              <w:pStyle w:val="BodyText"/>
            </w:pPr>
            <w:r w:rsidRPr="00A20E05">
              <w:t>This Competency Standard Unit shall be assessed by methods given in Volume 1, Part 3 "Assessment Guidelines".</w:t>
            </w:r>
          </w:p>
          <w:p w:rsidR="00000000" w:rsidP="00A20E05">
            <w:pPr>
              <w:pStyle w:val="BodyText"/>
              <w:rPr>
                <w:lang w:val="en-NZ"/>
              </w:rPr>
            </w:pPr>
            <w:r w:rsidRPr="00A20E05">
              <w:t>Note:</w:t>
            </w:r>
            <w:r w:rsidRPr="00A20E05">
              <w:br/>
              <w:t>Competent performance with inherent safe working practices is expected in the Transmission, Distribution and Rail Traction Industry. This re</w:t>
            </w:r>
            <w:r w:rsidRPr="00A20E05">
              <w:t>quires that the specified essential knowledge and associated skills are assessed in a structured environment which is primarily intended for learning/assessment and incorporates all necessary equipment and facilities for learners to develop and demonstrate</w:t>
            </w:r>
            <w:r w:rsidRPr="00A20E05">
              <w:t xml:space="preserve"> the essential knowledge and associated skills described in this unit.</w:t>
            </w:r>
          </w:p>
        </w:tc>
      </w:tr>
      <w:tr w:rsidTr="00897F3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9</w:t>
            </w:r>
            <w:r w:rsidRPr="00A20E05">
              <w:t>.</w:t>
            </w:r>
            <w:r w:rsidRPr="00A20E05">
              <w:rPr>
                <w:rStyle w:val="SpecialBold"/>
              </w:rPr>
              <w:t>5</w:t>
            </w:r>
            <w:r w:rsidRPr="00A20E05">
              <w:t>)</w:t>
            </w:r>
          </w:p>
        </w:tc>
      </w:tr>
      <w:tr w:rsidTr="00897F3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There are no concurrent assessment recommendations for this unit.</w:t>
            </w:r>
          </w:p>
        </w:tc>
      </w:tr>
    </w:tbl>
    <w:p w:rsidR="00897F38" w:rsidP="00A20E05">
      <w:pPr>
        <w:pStyle w:val="BodyText"/>
      </w:pPr>
    </w:p>
    <w:p w:rsidR="00897F38" w:rsidP="00A20E05">
      <w:pPr>
        <w:pStyle w:val="BodyText"/>
      </w:pPr>
    </w:p>
    <w:p w:rsidR="00000000" w:rsidRPr="00A20E05" w:rsidP="00A20E05">
      <w:pPr>
        <w:pStyle w:val="Heading1"/>
      </w:pPr>
      <w:bookmarkStart w:id="11" w:name="O_256217"/>
      <w:bookmarkEnd w:id="11"/>
      <w:r w:rsidRPr="00A20E05">
        <w:t>Range Statement</w:t>
      </w:r>
    </w:p>
    <w:tbl>
      <w:tblPr>
        <w:tblW w:w="0" w:type="auto"/>
        <w:tblLayout w:type="fixed"/>
        <w:tblCellMar>
          <w:left w:w="62" w:type="dxa"/>
          <w:right w:w="62" w:type="dxa"/>
        </w:tblCellMar>
        <w:tblLook w:val="0000"/>
      </w:tblPr>
      <w:tblGrid>
        <w:gridCol w:w="2207"/>
        <w:gridCol w:w="6433"/>
      </w:tblGrid>
      <w:tr w:rsidTr="00897F3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RANGE STATEMENT</w:t>
            </w:r>
          </w:p>
        </w:tc>
      </w:tr>
      <w:tr w:rsidTr="00897F3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8</w:t>
            </w:r>
            <w:r w:rsidRPr="00A20E05">
              <w:t>) This relates to the competency standard unit as a whole providing the range of contexts and conditions to which the Performance Criteria apply. It allows for different work environments and situations that will affect performance.</w:t>
            </w:r>
          </w:p>
        </w:tc>
      </w:tr>
      <w:tr w:rsidTr="00897F3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This Competency Standard Unit shall/may be demonstrated in relation to the commissioning of distribution field devices. These devices may include:</w:t>
            </w:r>
          </w:p>
          <w:p w:rsidR="00000000" w:rsidRPr="00A20E05" w:rsidP="00A20E05">
            <w:pPr>
              <w:pStyle w:val="BodyText"/>
            </w:pPr>
            <w:r w:rsidRPr="00A20E05">
              <w:t>Automatic circuit reclosers (ACRs), gas switches, secondary injection tests, primary injection tests, TMR rad</w:t>
            </w:r>
            <w:r w:rsidRPr="00A20E05">
              <w:t>io's, SCADA, remote control, overcurrent, earth fault, sensitive earth fault, inverse time curves, definite time curves, tripping, reclose, DC supplies, AC supplies, alarms.</w:t>
            </w:r>
          </w:p>
          <w:p w:rsidR="00000000" w:rsidP="00A20E05">
            <w:pPr>
              <w:pStyle w:val="BodyText"/>
              <w:rPr>
                <w:lang w:val="en-NZ"/>
              </w:rPr>
            </w:pPr>
            <w:r w:rsidRPr="00A20E05">
              <w:t>The following constants and variables included in the element/Performance Criteria</w:t>
            </w:r>
            <w:r w:rsidRPr="00A20E05">
              <w:t xml:space="preserve"> in this unit are fully described in the Definitions Section 1 of this volume and form an integral part of the Range Statement of this unit:</w:t>
            </w:r>
          </w:p>
        </w:tc>
      </w:tr>
      <w:tr w:rsidTr="00897F3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A20E05" w:rsidP="00A20E05">
            <w:pPr>
              <w:pStyle w:val="ListBullet"/>
            </w:pPr>
            <w:r w:rsidRPr="00A20E05">
              <w:t>Appropriate and relevant persons (see Personnel)</w:t>
            </w:r>
          </w:p>
          <w:p w:rsidR="00000000" w:rsidRPr="00A20E05" w:rsidP="00A20E05">
            <w:pPr>
              <w:pStyle w:val="ListBullet"/>
            </w:pPr>
            <w:r w:rsidRPr="00A20E05">
              <w:t>Appropriate authorities</w:t>
            </w:r>
          </w:p>
          <w:p w:rsidR="00000000" w:rsidRPr="00A20E05" w:rsidP="00A20E05">
            <w:pPr>
              <w:pStyle w:val="ListBullet"/>
            </w:pPr>
            <w:r w:rsidRPr="00A20E05">
              <w:t>Appropriate work platform</w:t>
            </w:r>
          </w:p>
          <w:p w:rsidR="00000000" w:rsidRPr="00A20E05" w:rsidP="00A20E05">
            <w:pPr>
              <w:pStyle w:val="ListBullet"/>
            </w:pPr>
            <w:r w:rsidRPr="00A20E05">
              <w:t>Assessing risk</w:t>
            </w:r>
          </w:p>
          <w:p w:rsidR="00000000" w:rsidRPr="00A20E05" w:rsidP="00A20E05">
            <w:pPr>
              <w:pStyle w:val="ListBullet"/>
            </w:pPr>
            <w:r w:rsidRPr="00A20E05">
              <w:t>Assessment</w:t>
            </w:r>
          </w:p>
          <w:p w:rsidR="00000000" w:rsidRPr="00A20E05" w:rsidP="00A20E05">
            <w:pPr>
              <w:pStyle w:val="ListBullet"/>
            </w:pPr>
            <w:r w:rsidRPr="00A20E05">
              <w:t>Authorisation</w:t>
            </w:r>
          </w:p>
          <w:p w:rsidR="00000000" w:rsidRPr="00A20E05" w:rsidP="00A20E05">
            <w:pPr>
              <w:pStyle w:val="ListBullet"/>
            </w:pPr>
            <w:r w:rsidRPr="00A20E05">
              <w:t>Confined space</w:t>
            </w:r>
          </w:p>
          <w:p w:rsidR="00000000" w:rsidRPr="00A20E05" w:rsidP="00A20E05">
            <w:pPr>
              <w:pStyle w:val="ListBullet"/>
            </w:pPr>
            <w:r w:rsidRPr="00A20E05">
              <w:t>Diagnostic, testing and restoration</w:t>
            </w:r>
          </w:p>
          <w:p w:rsidR="00000000" w:rsidRPr="00A20E05" w:rsidP="00A20E05">
            <w:pPr>
              <w:pStyle w:val="ListBullet"/>
            </w:pPr>
            <w:r w:rsidRPr="00A20E05">
              <w:t>Documenting detail work events, record keeping and or storage of information</w:t>
            </w:r>
          </w:p>
          <w:p w:rsidR="00000000" w:rsidRPr="00A20E05" w:rsidP="00A20E05">
            <w:pPr>
              <w:pStyle w:val="ListBullet"/>
            </w:pPr>
            <w:r w:rsidRPr="00A20E05">
              <w:t>Drawings and specifications</w:t>
            </w:r>
          </w:p>
          <w:p w:rsidR="00000000" w:rsidRPr="00A20E05" w:rsidP="00A20E05">
            <w:pPr>
              <w:pStyle w:val="ListBullet"/>
            </w:pPr>
            <w:r w:rsidRPr="00A20E05">
              <w:t>Emergency</w:t>
            </w:r>
          </w:p>
          <w:p w:rsidR="00000000" w:rsidRPr="00A20E05" w:rsidP="00A20E05">
            <w:pPr>
              <w:pStyle w:val="ListBullet"/>
            </w:pPr>
            <w:r w:rsidRPr="00A20E05">
              <w:t>Environmental and sustainable energy procedures</w:t>
            </w:r>
          </w:p>
          <w:p w:rsidR="00000000" w:rsidRPr="00A20E05" w:rsidP="00A20E05">
            <w:pPr>
              <w:pStyle w:val="ListBullet"/>
            </w:pPr>
            <w:r w:rsidRPr="00A20E05">
              <w:t>En</w:t>
            </w:r>
            <w:r w:rsidRPr="00A20E05">
              <w:t>vironmental legislation</w:t>
            </w:r>
          </w:p>
          <w:p w:rsidR="00000000" w:rsidRPr="00A20E05" w:rsidP="00A20E05">
            <w:pPr>
              <w:pStyle w:val="ListBullet"/>
            </w:pPr>
            <w:r w:rsidRPr="00A20E05">
              <w:t>Environmental management documentation</w:t>
            </w:r>
          </w:p>
          <w:p w:rsidR="00000000" w:rsidRPr="00A20E05" w:rsidP="00A20E05">
            <w:pPr>
              <w:pStyle w:val="ListBullet"/>
            </w:pPr>
            <w:r w:rsidRPr="00A20E05">
              <w:t>Established procedures</w:t>
            </w:r>
          </w:p>
          <w:p w:rsidR="00000000" w:rsidRPr="00A20E05" w:rsidP="00A20E05">
            <w:pPr>
              <w:pStyle w:val="ListBullet"/>
            </w:pPr>
            <w:r w:rsidRPr="00A20E05">
              <w:t>Fall prevention</w:t>
            </w:r>
          </w:p>
          <w:p w:rsidR="00000000" w:rsidRPr="00A20E05" w:rsidP="00A20E05">
            <w:pPr>
              <w:pStyle w:val="ListBullet"/>
            </w:pPr>
            <w:r w:rsidRPr="00A20E05">
              <w:t>Hazards</w:t>
            </w:r>
          </w:p>
          <w:p w:rsidR="00000000" w:rsidRPr="00A20E05" w:rsidP="00A20E05">
            <w:pPr>
              <w:pStyle w:val="ListBullet"/>
            </w:pPr>
            <w:r w:rsidRPr="00A20E05">
              <w:t>Identifying hazards</w:t>
            </w:r>
          </w:p>
          <w:p w:rsidR="00000000" w:rsidRPr="00A20E05" w:rsidP="00A20E05">
            <w:pPr>
              <w:pStyle w:val="ListBullet"/>
            </w:pPr>
            <w:r w:rsidRPr="00A20E05">
              <w:t>Inspect</w:t>
            </w:r>
          </w:p>
          <w:p w:rsidR="00000000" w:rsidRPr="00A20E05" w:rsidP="00A20E05">
            <w:pPr>
              <w:pStyle w:val="ListBullet"/>
            </w:pPr>
            <w:r w:rsidRPr="00A20E05">
              <w:t>Legislation</w:t>
            </w:r>
          </w:p>
          <w:p w:rsidR="00000000" w:rsidRPr="00A20E05" w:rsidP="00A20E05">
            <w:pPr>
              <w:pStyle w:val="ListBullet"/>
            </w:pPr>
            <w:r w:rsidRPr="00A20E05">
              <w:t>MSDS</w:t>
            </w:r>
          </w:p>
          <w:p w:rsidR="00000000" w:rsidRPr="00A20E05" w:rsidP="00A20E05">
            <w:pPr>
              <w:pStyle w:val="ListBullet"/>
            </w:pPr>
            <w:r w:rsidRPr="00A20E05">
              <w:t>Notification</w:t>
            </w:r>
          </w:p>
          <w:p w:rsidR="00000000" w:rsidRPr="00A20E05" w:rsidP="00A20E05">
            <w:pPr>
              <w:pStyle w:val="ListBullet"/>
            </w:pPr>
            <w:r w:rsidRPr="00A20E05">
              <w:t>OHS practices</w:t>
            </w:r>
          </w:p>
          <w:p w:rsidR="00000000" w:rsidRPr="00A20E05" w:rsidP="00A20E05">
            <w:pPr>
              <w:pStyle w:val="ListBullet"/>
            </w:pPr>
            <w:r w:rsidRPr="00A20E05">
              <w:t>OHS issues</w:t>
            </w:r>
          </w:p>
          <w:p w:rsidR="00000000" w:rsidRPr="00A20E05" w:rsidP="00A20E05">
            <w:pPr>
              <w:pStyle w:val="ListBullet"/>
            </w:pPr>
            <w:r w:rsidRPr="00A20E05">
              <w:t>Permits and/or permits to work</w:t>
            </w:r>
          </w:p>
          <w:p w:rsidR="00000000" w:rsidRPr="00A20E05" w:rsidP="00A20E05">
            <w:pPr>
              <w:pStyle w:val="ListBullet"/>
            </w:pPr>
            <w:r w:rsidRPr="00A20E05">
              <w:t>Personnel</w:t>
            </w:r>
          </w:p>
          <w:p w:rsidR="00000000" w:rsidRPr="00A20E05" w:rsidP="00A20E05">
            <w:pPr>
              <w:pStyle w:val="ListBullet"/>
            </w:pPr>
            <w:r w:rsidRPr="00A20E05">
              <w:t>Quality assurance</w:t>
            </w:r>
            <w:r w:rsidRPr="00A20E05">
              <w:t xml:space="preserve"> systems</w:t>
            </w:r>
          </w:p>
          <w:p w:rsidR="00000000" w:rsidRPr="00A20E05" w:rsidP="00A20E05">
            <w:pPr>
              <w:pStyle w:val="ListBullet"/>
            </w:pPr>
            <w:r w:rsidRPr="00A20E05">
              <w:t>Requirements</w:t>
            </w:r>
          </w:p>
          <w:p w:rsidR="00000000" w:rsidRPr="00A20E05" w:rsidP="00A20E05">
            <w:pPr>
              <w:pStyle w:val="ListBullet"/>
            </w:pPr>
            <w:r w:rsidRPr="00A20E05">
              <w:t>Testing procedures</w:t>
            </w:r>
          </w:p>
          <w:p w:rsidR="00000000" w:rsidRPr="00A20E05" w:rsidP="00A20E05">
            <w:pPr>
              <w:pStyle w:val="ListBullet"/>
            </w:pPr>
            <w:r w:rsidRPr="00A20E05">
              <w:t>Work clearance systems</w:t>
            </w:r>
          </w:p>
        </w:tc>
      </w:tr>
    </w:tbl>
    <w:p w:rsidR="00897F38" w:rsidP="00A20E05">
      <w:pPr>
        <w:pStyle w:val="BodyText"/>
      </w:pPr>
    </w:p>
    <w:p w:rsidR="00897F38" w:rsidP="00A20E05">
      <w:pPr>
        <w:pStyle w:val="BodyText"/>
      </w:pPr>
    </w:p>
    <w:p w:rsidR="00000000" w:rsidRPr="00A20E05" w:rsidP="00A20E05">
      <w:pPr>
        <w:pStyle w:val="Heading1"/>
      </w:pPr>
      <w:bookmarkStart w:id="12" w:name="O_297230"/>
      <w:bookmarkEnd w:id="12"/>
      <w:r w:rsidRPr="00A20E05">
        <w:t>Unit Sector(s)</w:t>
      </w:r>
    </w:p>
    <w:p w:rsidR="00000000" w:rsidRPr="00A20E05" w:rsidP="00A20E05">
      <w:pPr>
        <w:pStyle w:val="BodyText"/>
      </w:pPr>
      <w:r w:rsidRPr="00A20E05">
        <w:t>Not Applicable</w:t>
      </w:r>
    </w:p>
    <w:p w:rsidR="00000000" w:rsidRPr="00A20E05" w:rsidP="00A20E05">
      <w:pPr>
        <w:pStyle w:val="AllowPageBreak"/>
      </w:pPr>
    </w:p>
    <w:p w:rsidR="00000000" w:rsidRPr="00A20E05" w:rsidP="00A20E05">
      <w:pPr>
        <w:pStyle w:val="Heading1"/>
      </w:pPr>
      <w:bookmarkStart w:id="13" w:name="O_231903"/>
      <w:bookmarkEnd w:id="13"/>
      <w:r w:rsidRPr="00A20E05">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897F3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2</w:t>
            </w:r>
            <w:r w:rsidRPr="00A20E05">
              <w:t>.</w:t>
            </w:r>
            <w:r w:rsidRPr="00A20E05">
              <w:rPr>
                <w:rStyle w:val="SpecialBold"/>
              </w:rPr>
              <w:t>2</w:t>
            </w:r>
            <w:r w:rsidRPr="00A20E05">
              <w:t xml:space="preserve">) </w:t>
            </w:r>
            <w:r w:rsidRPr="00A20E05">
              <w:rPr>
                <w:rStyle w:val="SpecialBold"/>
              </w:rPr>
              <w:t>Literacy and numeracy skills</w:t>
            </w:r>
          </w:p>
          <w:p w:rsidR="00000000" w:rsidP="00A20E05">
            <w:pPr>
              <w:pStyle w:val="BodyText"/>
              <w:rPr>
                <w:lang w:val="en-NZ"/>
              </w:rPr>
            </w:pPr>
            <w:r w:rsidRPr="00A20E05">
              <w:t>Participants are best equipped to achieve this unit if they have reading, writing and numeracy skills indicated by the following scales. Description of each scale is given in Volume 2, Part 3 "Literacy and Numeracy"</w:t>
            </w:r>
          </w:p>
        </w:tc>
      </w:tr>
      <w:tr w:rsidTr="00897F3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Reading</w:t>
            </w:r>
          </w:p>
        </w:tc>
        <w:tc>
          <w:tcPr>
            <w:tcW w:w="1207"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4</w:t>
            </w:r>
          </w:p>
        </w:tc>
        <w:tc>
          <w:tcPr>
            <w:tcW w:w="1776"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Writing</w:t>
            </w:r>
          </w:p>
        </w:tc>
        <w:tc>
          <w:tcPr>
            <w:tcW w:w="1207"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4</w:t>
            </w:r>
          </w:p>
        </w:tc>
        <w:tc>
          <w:tcPr>
            <w:tcW w:w="1758"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t>Numeracy</w:t>
            </w:r>
          </w:p>
        </w:tc>
        <w:tc>
          <w:tcPr>
            <w:tcW w:w="1207"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4</w:t>
            </w:r>
          </w:p>
        </w:tc>
      </w:tr>
    </w:tbl>
    <w:p w:rsidR="00897F38" w:rsidP="00A20E05">
      <w:pPr>
        <w:pStyle w:val="BodyText"/>
      </w:pPr>
    </w:p>
    <w:p w:rsidR="00897F38" w:rsidP="00A20E05">
      <w:pPr>
        <w:pStyle w:val="BodyText"/>
      </w:pPr>
    </w:p>
    <w:p w:rsidR="00000000" w:rsidRPr="00A20E05" w:rsidP="00A20E05">
      <w:pPr>
        <w:pStyle w:val="Heading1"/>
      </w:pPr>
      <w:bookmarkStart w:id="14" w:name="O_231906"/>
      <w:bookmarkEnd w:id="14"/>
      <w:r w:rsidRPr="00A20E05">
        <w:t>Competency Field</w:t>
      </w:r>
    </w:p>
    <w:tbl>
      <w:tblPr>
        <w:tblW w:w="0" w:type="auto"/>
        <w:tblLayout w:type="fixed"/>
        <w:tblCellMar>
          <w:left w:w="62" w:type="dxa"/>
          <w:right w:w="62" w:type="dxa"/>
        </w:tblCellMar>
        <w:tblLook w:val="0000"/>
      </w:tblPr>
      <w:tblGrid>
        <w:gridCol w:w="2758"/>
        <w:gridCol w:w="5882"/>
      </w:tblGrid>
      <w:tr w:rsidTr="00897F3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20E05">
            <w:pPr>
              <w:pStyle w:val="BodyText"/>
              <w:rPr>
                <w:lang w:val="en-NZ"/>
              </w:rPr>
            </w:pPr>
            <w:r w:rsidRPr="00A20E05">
              <w:rPr>
                <w:rStyle w:val="SpecialBold"/>
              </w:rPr>
              <w:t>5</w:t>
            </w:r>
            <w:r w:rsidRPr="00A20E05">
              <w:t>)</w:t>
            </w:r>
          </w:p>
        </w:tc>
      </w:tr>
      <w:tr w:rsidTr="00897F3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20E05" w:rsidP="00A20E05">
            <w:pPr>
              <w:pStyle w:val="BodyText"/>
            </w:pPr>
            <w:r w:rsidRPr="00A20E05">
              <w:t>Substation Units</w:t>
            </w:r>
          </w:p>
        </w:tc>
      </w:tr>
    </w:tbl>
    <w:p w:rsidR="00897F38" w:rsidP="00A20E05">
      <w:pPr>
        <w:pStyle w:val="BodyText"/>
      </w:pPr>
    </w:p>
    <w:p w:rsidR="00897F38" w:rsidP="00A20E05">
      <w:pPr>
        <w:pStyle w:val="BodyText"/>
      </w:pPr>
    </w:p>
    <w:p w:rsidR="00000000" w:rsidRPr="00A20E05" w:rsidP="00A20E05"/>
    <w:sectPr w:rsidSect="00A20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F38" w:rsidP="00897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38" w:rsidP="00A20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7F38" w:rsidP="00A20E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97F38" w:rsidP="00A20E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F38" w:rsidP="00897F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38" w:rsidP="00A20E05">
    <w:pPr>
      <w:pStyle w:val="Header"/>
      <w:framePr w:wrap="around"/>
    </w:pPr>
    <w:r>
      <w:fldChar w:fldCharType="begin"/>
    </w:r>
    <w:r>
      <w:instrText xml:space="preserve"> TITLE   \* MERGEFORMAT </w:instrText>
    </w:r>
    <w:r>
      <w:fldChar w:fldCharType="separate"/>
    </w:r>
    <w:r>
      <w:t>UETTDRSB18B Commission distribution field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7F38" w:rsidP="00A20E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68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A5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8C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E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0E05"/>
    <w:pPr>
      <w:spacing w:before="360" w:after="60"/>
      <w:outlineLvl w:val="0"/>
    </w:pPr>
    <w:rPr>
      <w:sz w:val="32"/>
    </w:rPr>
  </w:style>
  <w:style w:type="paragraph" w:styleId="Heading2">
    <w:name w:val="heading 2"/>
    <w:basedOn w:val="HeadingBase"/>
    <w:next w:val="BodyText"/>
    <w:link w:val="Heading2Char"/>
    <w:qFormat/>
    <w:rsid w:val="00A20E05"/>
    <w:pPr>
      <w:keepLines/>
      <w:spacing w:before="240" w:after="120"/>
      <w:outlineLvl w:val="1"/>
    </w:pPr>
    <w:rPr>
      <w:sz w:val="28"/>
      <w:szCs w:val="40"/>
    </w:rPr>
  </w:style>
  <w:style w:type="paragraph" w:styleId="Heading3">
    <w:name w:val="heading 3"/>
    <w:basedOn w:val="HeadingBase"/>
    <w:next w:val="BodyText"/>
    <w:link w:val="Heading3Char"/>
    <w:qFormat/>
    <w:rsid w:val="00A20E05"/>
    <w:pPr>
      <w:spacing w:before="180" w:after="120"/>
      <w:outlineLvl w:val="2"/>
    </w:pPr>
    <w:rPr>
      <w:spacing w:val="-10"/>
      <w:kern w:val="32"/>
    </w:rPr>
  </w:style>
  <w:style w:type="paragraph" w:styleId="Heading4">
    <w:name w:val="heading 4"/>
    <w:basedOn w:val="HeadingBase"/>
    <w:next w:val="BodyText"/>
    <w:link w:val="Heading4Char"/>
    <w:qFormat/>
    <w:rsid w:val="00A20E05"/>
    <w:pPr>
      <w:spacing w:before="160" w:after="120"/>
      <w:outlineLvl w:val="3"/>
    </w:pPr>
    <w:rPr>
      <w:sz w:val="22"/>
    </w:rPr>
  </w:style>
  <w:style w:type="paragraph" w:styleId="Heading5">
    <w:name w:val="heading 5"/>
    <w:basedOn w:val="HeadingBase"/>
    <w:next w:val="Normal"/>
    <w:link w:val="Heading5Char"/>
    <w:qFormat/>
    <w:rsid w:val="00A20E05"/>
    <w:pPr>
      <w:spacing w:before="80"/>
      <w:outlineLvl w:val="4"/>
    </w:pPr>
    <w:rPr>
      <w:color w:val="918585"/>
      <w:sz w:val="20"/>
    </w:rPr>
  </w:style>
  <w:style w:type="paragraph" w:styleId="Heading6">
    <w:name w:val="heading 6"/>
    <w:basedOn w:val="HeadingBase"/>
    <w:next w:val="Normal"/>
    <w:link w:val="Heading6Char"/>
    <w:qFormat/>
    <w:rsid w:val="00A20E05"/>
    <w:pPr>
      <w:spacing w:before="60"/>
      <w:outlineLvl w:val="5"/>
    </w:pPr>
    <w:rPr>
      <w:color w:val="918585"/>
      <w:sz w:val="20"/>
    </w:rPr>
  </w:style>
  <w:style w:type="paragraph" w:styleId="Heading7">
    <w:name w:val="heading 7"/>
    <w:basedOn w:val="Normal"/>
    <w:next w:val="Normal"/>
    <w:link w:val="Heading7Char"/>
    <w:qFormat/>
    <w:rsid w:val="00A20E05"/>
    <w:pPr>
      <w:ind w:left="720"/>
      <w:outlineLvl w:val="6"/>
    </w:pPr>
    <w:rPr>
      <w:i/>
    </w:rPr>
  </w:style>
  <w:style w:type="paragraph" w:styleId="Heading8">
    <w:name w:val="heading 8"/>
    <w:basedOn w:val="Normal"/>
    <w:next w:val="Normal"/>
    <w:link w:val="Heading8Char"/>
    <w:qFormat/>
    <w:rsid w:val="00A20E05"/>
    <w:pPr>
      <w:ind w:left="720"/>
      <w:outlineLvl w:val="7"/>
    </w:pPr>
    <w:rPr>
      <w:i/>
    </w:rPr>
  </w:style>
  <w:style w:type="paragraph" w:styleId="Heading9">
    <w:name w:val="heading 9"/>
    <w:basedOn w:val="Normal"/>
    <w:next w:val="Normal"/>
    <w:link w:val="Heading9Char"/>
    <w:qFormat/>
    <w:rsid w:val="00A20E05"/>
    <w:pPr>
      <w:ind w:left="720"/>
      <w:outlineLvl w:val="8"/>
    </w:pPr>
    <w:rPr>
      <w:i/>
    </w:rPr>
  </w:style>
  <w:style w:type="character" w:default="1" w:styleId="DefaultParagraphFont">
    <w:name w:val="Default Paragraph Font"/>
    <w:uiPriority w:val="1"/>
    <w:unhideWhenUsed/>
    <w:rsid w:val="00A20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E05"/>
  </w:style>
  <w:style w:type="character" w:customStyle="1" w:styleId="Heading1Char">
    <w:name w:val="Heading 1 Char"/>
    <w:basedOn w:val="DefaultParagraphFont"/>
    <w:link w:val="Heading1"/>
    <w:rsid w:val="00A20E05"/>
    <w:rPr>
      <w:rFonts w:ascii="Times New Roman" w:eastAsia="Times New Roman" w:hAnsi="Times New Roman" w:cs="Times New Roman"/>
      <w:b/>
      <w:sz w:val="32"/>
      <w:szCs w:val="20"/>
      <w:lang w:eastAsia="en-US"/>
    </w:rPr>
  </w:style>
  <w:style w:type="paragraph" w:styleId="BodyText">
    <w:name w:val="Body Text"/>
    <w:basedOn w:val="Normal"/>
    <w:link w:val="BodyTextChar"/>
    <w:rsid w:val="00A20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E05"/>
    <w:rPr>
      <w:rFonts w:ascii="Times New Roman" w:eastAsia="Times New Roman" w:hAnsi="Times New Roman" w:cs="Times New Roman"/>
      <w:sz w:val="24"/>
      <w:lang w:val="en-US" w:eastAsia="en-US"/>
    </w:rPr>
  </w:style>
  <w:style w:type="paragraph" w:styleId="Footer">
    <w:name w:val="footer"/>
    <w:basedOn w:val="Normal"/>
    <w:link w:val="FooterChar"/>
    <w:rsid w:val="00A20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E05"/>
    <w:rPr>
      <w:rFonts w:ascii="Times New Roman" w:eastAsia="Times New Roman" w:hAnsi="Times New Roman" w:cs="Times New Roman"/>
      <w:sz w:val="16"/>
      <w:lang w:val="en-US" w:eastAsia="en-US"/>
    </w:rPr>
  </w:style>
  <w:style w:type="paragraph" w:styleId="ListBullet">
    <w:name w:val="List Bullet"/>
    <w:basedOn w:val="List"/>
    <w:rsid w:val="00A20E05"/>
    <w:pPr>
      <w:numPr>
        <w:numId w:val="13"/>
      </w:numPr>
      <w:tabs>
        <w:tab w:val="clear" w:pos="340"/>
      </w:tabs>
      <w:spacing w:before="40" w:after="40"/>
    </w:pPr>
  </w:style>
  <w:style w:type="character" w:customStyle="1" w:styleId="SpecialBold">
    <w:name w:val="Special Bold"/>
    <w:basedOn w:val="DefaultParagraphFont"/>
    <w:rsid w:val="00A20E05"/>
    <w:rPr>
      <w:b/>
      <w:spacing w:val="0"/>
    </w:rPr>
  </w:style>
  <w:style w:type="paragraph" w:styleId="ListBullet2">
    <w:name w:val="List Bullet 2"/>
    <w:basedOn w:val="List2"/>
    <w:rsid w:val="00A20E05"/>
    <w:pPr>
      <w:numPr>
        <w:numId w:val="14"/>
      </w:numPr>
      <w:tabs>
        <w:tab w:val="clear" w:pos="680"/>
      </w:tabs>
    </w:pPr>
  </w:style>
  <w:style w:type="paragraph" w:styleId="Header">
    <w:name w:val="header"/>
    <w:basedOn w:val="Normal"/>
    <w:link w:val="HeaderChar"/>
    <w:rsid w:val="00A20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E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0E05"/>
    <w:pPr>
      <w:spacing w:before="240" w:after="120"/>
      <w:outlineLvl w:val="0"/>
    </w:pPr>
    <w:rPr>
      <w:rFonts w:ascii="Times New Roman" w:hAnsi="Times New Roman"/>
      <w:b/>
      <w:sz w:val="28"/>
    </w:rPr>
  </w:style>
  <w:style w:type="paragraph" w:customStyle="1" w:styleId="AllowPageBreak">
    <w:name w:val="AllowPageBreak"/>
    <w:rsid w:val="00A20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E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0E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0E05"/>
    <w:rPr>
      <w:rFonts w:ascii="Courier New" w:eastAsia="Times New Roman" w:hAnsi="Courier New" w:cs="Times New Roman"/>
      <w:i/>
      <w:szCs w:val="20"/>
      <w:lang w:val="en-US" w:eastAsia="en-US"/>
    </w:rPr>
  </w:style>
  <w:style w:type="paragraph" w:customStyle="1" w:styleId="HeadingBase">
    <w:name w:val="Heading Base"/>
    <w:rsid w:val="00A20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E05"/>
    <w:pPr>
      <w:tabs>
        <w:tab w:val="right" w:leader="dot" w:pos="9072"/>
      </w:tabs>
      <w:ind w:left="567"/>
    </w:pPr>
    <w:rPr>
      <w:szCs w:val="22"/>
    </w:rPr>
  </w:style>
  <w:style w:type="paragraph" w:customStyle="1" w:styleId="TOCBase">
    <w:name w:val="TOC Base"/>
    <w:rsid w:val="00A20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E05"/>
    <w:pPr>
      <w:tabs>
        <w:tab w:val="right" w:leader="dot" w:pos="9072"/>
      </w:tabs>
      <w:spacing w:before="40" w:after="40"/>
      <w:ind w:left="284"/>
    </w:pPr>
    <w:rPr>
      <w:rFonts w:ascii="Times New Roman" w:hAnsi="Times New Roman"/>
    </w:rPr>
  </w:style>
  <w:style w:type="paragraph" w:styleId="TOC1">
    <w:name w:val="toc 1"/>
    <w:basedOn w:val="TOCBase"/>
    <w:next w:val="Normal"/>
    <w:rsid w:val="00A20E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E05"/>
    <w:pPr>
      <w:spacing w:before="5040"/>
      <w:jc w:val="center"/>
    </w:pPr>
    <w:rPr>
      <w:sz w:val="48"/>
      <w:szCs w:val="72"/>
      <w:lang w:val="en-US"/>
    </w:rPr>
  </w:style>
  <w:style w:type="character" w:customStyle="1" w:styleId="TitleChar">
    <w:name w:val="Title Char"/>
    <w:basedOn w:val="DefaultParagraphFont"/>
    <w:link w:val="Title"/>
    <w:rsid w:val="00A20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E05"/>
    <w:pPr>
      <w:tabs>
        <w:tab w:val="left" w:pos="3600"/>
        <w:tab w:val="left" w:pos="3958"/>
      </w:tabs>
    </w:pPr>
  </w:style>
  <w:style w:type="paragraph" w:styleId="List">
    <w:name w:val="List"/>
    <w:basedOn w:val="BodyText"/>
    <w:next w:val="BodyText"/>
    <w:rsid w:val="00A20E05"/>
    <w:pPr>
      <w:tabs>
        <w:tab w:val="left" w:pos="340"/>
      </w:tabs>
      <w:spacing w:before="60" w:after="60"/>
      <w:ind w:left="340" w:hanging="340"/>
    </w:pPr>
  </w:style>
  <w:style w:type="paragraph" w:customStyle="1" w:styleId="Note">
    <w:name w:val="Note"/>
    <w:basedOn w:val="BodyText"/>
    <w:rsid w:val="00A20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E05"/>
    <w:pPr>
      <w:framePr w:wrap="auto" w:hAnchor="text" w:y="6049"/>
    </w:pPr>
    <w:rPr>
      <w:color w:val="000000"/>
      <w:sz w:val="40"/>
    </w:rPr>
  </w:style>
  <w:style w:type="paragraph" w:customStyle="1" w:styleId="TOCTitle">
    <w:name w:val="TOCTitle"/>
    <w:basedOn w:val="Heading1"/>
    <w:rsid w:val="00A20E05"/>
    <w:pPr>
      <w:spacing w:after="240"/>
      <w:jc w:val="center"/>
      <w:outlineLvl w:val="9"/>
    </w:pPr>
    <w:rPr>
      <w:caps/>
    </w:rPr>
  </w:style>
  <w:style w:type="paragraph" w:customStyle="1" w:styleId="Version">
    <w:name w:val="Version"/>
    <w:rsid w:val="00A20E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E05"/>
    <w:pPr>
      <w:keepNext w:val="0"/>
      <w:tabs>
        <w:tab w:val="right" w:pos="4176"/>
      </w:tabs>
      <w:ind w:left="198" w:hanging="198"/>
    </w:pPr>
    <w:rPr>
      <w:rFonts w:ascii="Garamond" w:hAnsi="Garamond"/>
    </w:rPr>
  </w:style>
  <w:style w:type="paragraph" w:styleId="IndexHeading">
    <w:name w:val="index heading"/>
    <w:basedOn w:val="Normal"/>
    <w:next w:val="Index1"/>
    <w:semiHidden/>
    <w:rsid w:val="00A20E05"/>
    <w:pPr>
      <w:spacing w:before="120" w:after="120"/>
    </w:pPr>
    <w:rPr>
      <w:rFonts w:ascii="Arial" w:hAnsi="Arial"/>
      <w:b/>
      <w:color w:val="918585"/>
      <w:sz w:val="24"/>
    </w:rPr>
  </w:style>
  <w:style w:type="paragraph" w:customStyle="1" w:styleId="Chapter">
    <w:name w:val="Chapter"/>
    <w:basedOn w:val="Normal"/>
    <w:rsid w:val="00A20E05"/>
    <w:pPr>
      <w:spacing w:before="240"/>
    </w:pPr>
    <w:rPr>
      <w:rFonts w:ascii="Times New Roman" w:hAnsi="Times New Roman"/>
      <w:smallCaps/>
      <w:spacing w:val="80"/>
      <w:sz w:val="28"/>
    </w:rPr>
  </w:style>
  <w:style w:type="paragraph" w:customStyle="1" w:styleId="InChapter">
    <w:name w:val="InChapter"/>
    <w:basedOn w:val="Heading3"/>
    <w:rsid w:val="00A20E05"/>
    <w:pPr>
      <w:spacing w:after="240"/>
      <w:outlineLvl w:val="9"/>
    </w:pPr>
    <w:rPr>
      <w:noProof/>
    </w:rPr>
  </w:style>
  <w:style w:type="paragraph" w:styleId="Index2">
    <w:name w:val="index 2"/>
    <w:basedOn w:val="Normal"/>
    <w:next w:val="Normal"/>
    <w:semiHidden/>
    <w:rsid w:val="00A20E05"/>
    <w:pPr>
      <w:tabs>
        <w:tab w:val="right" w:pos="4176"/>
      </w:tabs>
      <w:ind w:left="568" w:hanging="284"/>
    </w:pPr>
    <w:rPr>
      <w:rFonts w:ascii="Garamond" w:hAnsi="Garamond"/>
    </w:rPr>
  </w:style>
  <w:style w:type="paragraph" w:customStyle="1" w:styleId="Byline">
    <w:name w:val="Byline"/>
    <w:rsid w:val="00A20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E05"/>
    <w:pPr>
      <w:tabs>
        <w:tab w:val="clear" w:pos="3600"/>
        <w:tab w:val="clear" w:pos="3958"/>
      </w:tabs>
      <w:jc w:val="right"/>
    </w:pPr>
  </w:style>
  <w:style w:type="character" w:styleId="Emphasis">
    <w:name w:val="Emphasis"/>
    <w:basedOn w:val="DefaultParagraphFont"/>
    <w:qFormat/>
    <w:rsid w:val="00A20E05"/>
    <w:rPr>
      <w:i/>
    </w:rPr>
  </w:style>
  <w:style w:type="paragraph" w:styleId="Caption">
    <w:name w:val="caption"/>
    <w:basedOn w:val="BodyText"/>
    <w:next w:val="Normal"/>
    <w:qFormat/>
    <w:rsid w:val="00A20E05"/>
    <w:pPr>
      <w:framePr w:w="2268" w:hSpace="181" w:vSpace="181" w:wrap="around" w:vAnchor="text" w:hAnchor="page" w:x="1135" w:y="285" w:anchorLock="1"/>
    </w:pPr>
    <w:rPr>
      <w:i/>
    </w:rPr>
  </w:style>
  <w:style w:type="paragraph" w:customStyle="1" w:styleId="MiniTOCTitle">
    <w:name w:val="MiniTOCTitle"/>
    <w:basedOn w:val="Heading4"/>
    <w:rsid w:val="00A20E05"/>
    <w:pPr>
      <w:spacing w:before="240"/>
      <w:outlineLvl w:val="9"/>
    </w:pPr>
    <w:rPr>
      <w:noProof/>
      <w:sz w:val="24"/>
    </w:rPr>
  </w:style>
  <w:style w:type="paragraph" w:customStyle="1" w:styleId="MiniTOCItem">
    <w:name w:val="MiniTOCItem"/>
    <w:basedOn w:val="ListBullet"/>
    <w:rsid w:val="00A20E05"/>
    <w:pPr>
      <w:numPr>
        <w:numId w:val="0"/>
      </w:numPr>
      <w:tabs>
        <w:tab w:val="right" w:leader="dot" w:pos="6521"/>
      </w:tabs>
      <w:spacing w:before="0" w:after="0"/>
    </w:pPr>
  </w:style>
  <w:style w:type="paragraph" w:customStyle="1" w:styleId="TOFTitle">
    <w:name w:val="TOFTitle"/>
    <w:basedOn w:val="TOCTitle"/>
    <w:rsid w:val="00A20E05"/>
  </w:style>
  <w:style w:type="paragraph" w:styleId="TableofFigures">
    <w:name w:val="table of figures"/>
    <w:basedOn w:val="Normal"/>
    <w:next w:val="Normal"/>
    <w:semiHidden/>
    <w:rsid w:val="00A20E05"/>
    <w:pPr>
      <w:tabs>
        <w:tab w:val="right" w:leader="dot" w:pos="9072"/>
      </w:tabs>
      <w:ind w:left="970" w:hanging="403"/>
    </w:pPr>
    <w:rPr>
      <w:rFonts w:ascii="Times New Roman" w:hAnsi="Times New Roman"/>
      <w:b/>
    </w:rPr>
  </w:style>
  <w:style w:type="paragraph" w:styleId="ListNumber">
    <w:name w:val="List Number"/>
    <w:basedOn w:val="List"/>
    <w:rsid w:val="00A20E05"/>
    <w:pPr>
      <w:numPr>
        <w:numId w:val="11"/>
      </w:numPr>
    </w:pPr>
  </w:style>
  <w:style w:type="character" w:customStyle="1" w:styleId="WingdingSymbols">
    <w:name w:val="Wingding Symbols"/>
    <w:rsid w:val="00A20E05"/>
    <w:rPr>
      <w:rFonts w:ascii="Wingdings" w:hAnsi="Wingdings"/>
    </w:rPr>
  </w:style>
  <w:style w:type="paragraph" w:customStyle="1" w:styleId="TableHeading">
    <w:name w:val="Table Heading"/>
    <w:basedOn w:val="HeadingBase"/>
    <w:rsid w:val="00A20E05"/>
    <w:pPr>
      <w:keepLines/>
      <w:pBdr>
        <w:bottom w:val="single" w:sz="6" w:space="1" w:color="918585"/>
      </w:pBdr>
      <w:spacing w:before="240"/>
    </w:pPr>
  </w:style>
  <w:style w:type="character" w:customStyle="1" w:styleId="HotSpot">
    <w:name w:val="HotSpot"/>
    <w:rsid w:val="00A20E05"/>
    <w:rPr>
      <w:color w:val="0033CC"/>
      <w:u w:val="none"/>
    </w:rPr>
  </w:style>
  <w:style w:type="paragraph" w:customStyle="1" w:styleId="BodyTextRight">
    <w:name w:val="Body Text Right"/>
    <w:basedOn w:val="BodyText"/>
    <w:rsid w:val="00A20E05"/>
    <w:pPr>
      <w:spacing w:before="0" w:after="0"/>
      <w:jc w:val="right"/>
    </w:pPr>
  </w:style>
  <w:style w:type="paragraph" w:styleId="Index3">
    <w:name w:val="index 3"/>
    <w:basedOn w:val="ListNumber2"/>
    <w:next w:val="Normal"/>
    <w:semiHidden/>
    <w:rsid w:val="00A20E05"/>
    <w:pPr>
      <w:numPr>
        <w:numId w:val="0"/>
      </w:numPr>
      <w:tabs>
        <w:tab w:val="right" w:leader="dot" w:pos="4176"/>
      </w:tabs>
    </w:pPr>
  </w:style>
  <w:style w:type="paragraph" w:styleId="ListNumber2">
    <w:name w:val="List Number 2"/>
    <w:basedOn w:val="List2"/>
    <w:rsid w:val="00A20E05"/>
    <w:pPr>
      <w:numPr>
        <w:numId w:val="10"/>
      </w:numPr>
      <w:tabs>
        <w:tab w:val="clear" w:pos="1060"/>
      </w:tabs>
    </w:pPr>
  </w:style>
  <w:style w:type="paragraph" w:customStyle="1" w:styleId="MarginNote">
    <w:name w:val="Margin Note"/>
    <w:basedOn w:val="BodyText"/>
    <w:rsid w:val="00A20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E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0E05"/>
    <w:rPr>
      <w:sz w:val="32"/>
    </w:rPr>
  </w:style>
  <w:style w:type="paragraph" w:customStyle="1" w:styleId="HeadingProcedure">
    <w:name w:val="Heading Procedure"/>
    <w:basedOn w:val="HeadingBase"/>
    <w:next w:val="Normal"/>
    <w:rsid w:val="00A20E05"/>
    <w:pPr>
      <w:tabs>
        <w:tab w:val="left" w:pos="0"/>
      </w:tabs>
      <w:spacing w:before="120" w:after="60"/>
    </w:pPr>
    <w:rPr>
      <w:i/>
      <w:color w:val="918585"/>
      <w:sz w:val="22"/>
    </w:rPr>
  </w:style>
  <w:style w:type="paragraph" w:customStyle="1" w:styleId="TableBodyText">
    <w:name w:val="Table Body Text"/>
    <w:basedOn w:val="BodyText"/>
    <w:rsid w:val="00A20E05"/>
    <w:pPr>
      <w:spacing w:before="60" w:after="60"/>
    </w:pPr>
  </w:style>
  <w:style w:type="paragraph" w:styleId="ListContinue">
    <w:name w:val="List Continue"/>
    <w:basedOn w:val="List"/>
    <w:rsid w:val="00A20E05"/>
    <w:pPr>
      <w:ind w:firstLine="0"/>
    </w:pPr>
  </w:style>
  <w:style w:type="paragraph" w:customStyle="1" w:styleId="ListNote">
    <w:name w:val="List Note"/>
    <w:basedOn w:val="List"/>
    <w:rsid w:val="00A20E05"/>
    <w:pPr>
      <w:pBdr>
        <w:top w:val="single" w:sz="6" w:space="2" w:color="918585"/>
        <w:bottom w:val="single" w:sz="6" w:space="2" w:color="918585"/>
      </w:pBdr>
      <w:tabs>
        <w:tab w:val="left" w:pos="1021"/>
      </w:tabs>
      <w:ind w:firstLine="0"/>
    </w:pPr>
  </w:style>
  <w:style w:type="paragraph" w:customStyle="1" w:styleId="Warning">
    <w:name w:val="Warning"/>
    <w:basedOn w:val="BodyText"/>
    <w:rsid w:val="00A20E05"/>
    <w:pPr>
      <w:shd w:val="clear" w:color="auto" w:fill="D9D9D9"/>
      <w:tabs>
        <w:tab w:val="left" w:pos="992"/>
      </w:tabs>
      <w:ind w:left="119" w:right="119"/>
    </w:pPr>
    <w:rPr>
      <w:sz w:val="20"/>
    </w:rPr>
  </w:style>
  <w:style w:type="paragraph" w:customStyle="1" w:styleId="MarginIcons">
    <w:name w:val="Margin Icons"/>
    <w:basedOn w:val="BodyText"/>
    <w:rsid w:val="00A20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E05"/>
    <w:rPr>
      <w:rFonts w:ascii="Courier New" w:hAnsi="Courier New"/>
    </w:rPr>
  </w:style>
  <w:style w:type="paragraph" w:customStyle="1" w:styleId="NoteBullet">
    <w:name w:val="Note Bullet"/>
    <w:basedOn w:val="Note"/>
    <w:rsid w:val="00A20E05"/>
    <w:pPr>
      <w:tabs>
        <w:tab w:val="clear" w:pos="680"/>
      </w:tabs>
      <w:spacing w:before="60" w:after="60"/>
    </w:pPr>
  </w:style>
  <w:style w:type="paragraph" w:customStyle="1" w:styleId="SubHeading2">
    <w:name w:val="SubHeading2"/>
    <w:basedOn w:val="HeadingBase"/>
    <w:rsid w:val="00A20E05"/>
    <w:pPr>
      <w:spacing w:before="240" w:after="60"/>
    </w:pPr>
    <w:rPr>
      <w:sz w:val="20"/>
    </w:rPr>
  </w:style>
  <w:style w:type="paragraph" w:customStyle="1" w:styleId="SubHeading1">
    <w:name w:val="SubHeading1"/>
    <w:basedOn w:val="HeadingBase"/>
    <w:rsid w:val="00A20E05"/>
    <w:pPr>
      <w:spacing w:before="240" w:after="60"/>
    </w:pPr>
    <w:rPr>
      <w:color w:val="918585"/>
      <w:sz w:val="22"/>
    </w:rPr>
  </w:style>
  <w:style w:type="paragraph" w:customStyle="1" w:styleId="SideHeading">
    <w:name w:val="Side Heading"/>
    <w:basedOn w:val="HeadingBase"/>
    <w:rsid w:val="00A20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E05"/>
    <w:pPr>
      <w:numPr>
        <w:numId w:val="12"/>
      </w:numPr>
    </w:pPr>
  </w:style>
  <w:style w:type="paragraph" w:styleId="PlainText">
    <w:name w:val="Plain Text"/>
    <w:basedOn w:val="Normal"/>
    <w:link w:val="PlainTextChar"/>
    <w:rsid w:val="00A20E05"/>
    <w:rPr>
      <w:sz w:val="20"/>
    </w:rPr>
  </w:style>
  <w:style w:type="character" w:customStyle="1" w:styleId="PlainTextChar">
    <w:name w:val="Plain Text Char"/>
    <w:basedOn w:val="DefaultParagraphFont"/>
    <w:link w:val="PlainText"/>
    <w:rsid w:val="00A20E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0E05"/>
    <w:rPr>
      <w:b/>
      <w:smallCaps/>
    </w:rPr>
  </w:style>
  <w:style w:type="paragraph" w:customStyle="1" w:styleId="TableListNumber">
    <w:name w:val="Table List Number"/>
    <w:basedOn w:val="ListNumber"/>
    <w:rsid w:val="00A20E05"/>
    <w:pPr>
      <w:numPr>
        <w:numId w:val="0"/>
      </w:numPr>
    </w:pPr>
  </w:style>
  <w:style w:type="paragraph" w:styleId="TOC4">
    <w:name w:val="toc 4"/>
    <w:basedOn w:val="TOCBase"/>
    <w:next w:val="Normal"/>
    <w:semiHidden/>
    <w:rsid w:val="00A20E05"/>
    <w:pPr>
      <w:tabs>
        <w:tab w:val="right" w:leader="dot" w:pos="9071"/>
      </w:tabs>
      <w:ind w:left="1701"/>
    </w:pPr>
  </w:style>
  <w:style w:type="paragraph" w:customStyle="1" w:styleId="ListAlpha">
    <w:name w:val="List Alpha"/>
    <w:basedOn w:val="List"/>
    <w:rsid w:val="00A20E05"/>
    <w:pPr>
      <w:numPr>
        <w:numId w:val="9"/>
      </w:numPr>
    </w:pPr>
  </w:style>
  <w:style w:type="paragraph" w:customStyle="1" w:styleId="ListAlpha2">
    <w:name w:val="List Alpha 2"/>
    <w:basedOn w:val="List2"/>
    <w:rsid w:val="00A20E05"/>
    <w:pPr>
      <w:numPr>
        <w:numId w:val="8"/>
      </w:numPr>
    </w:pPr>
  </w:style>
  <w:style w:type="paragraph" w:styleId="List2">
    <w:name w:val="List 2"/>
    <w:basedOn w:val="BodyText"/>
    <w:rsid w:val="00A20E05"/>
    <w:pPr>
      <w:tabs>
        <w:tab w:val="left" w:pos="680"/>
      </w:tabs>
      <w:spacing w:before="60" w:after="60"/>
      <w:ind w:left="680" w:hanging="340"/>
    </w:pPr>
  </w:style>
  <w:style w:type="paragraph" w:styleId="List3">
    <w:name w:val="List 3"/>
    <w:basedOn w:val="BodyText"/>
    <w:rsid w:val="00A20E05"/>
    <w:pPr>
      <w:tabs>
        <w:tab w:val="left" w:pos="1021"/>
      </w:tabs>
      <w:spacing w:before="60" w:after="60"/>
      <w:ind w:left="1020" w:hanging="340"/>
    </w:pPr>
  </w:style>
  <w:style w:type="paragraph" w:styleId="List4">
    <w:name w:val="List 4"/>
    <w:basedOn w:val="BodyText"/>
    <w:rsid w:val="00A20E05"/>
    <w:pPr>
      <w:tabs>
        <w:tab w:val="left" w:pos="1361"/>
      </w:tabs>
      <w:spacing w:before="60" w:after="60"/>
      <w:ind w:left="1361" w:hanging="340"/>
    </w:pPr>
  </w:style>
  <w:style w:type="paragraph" w:styleId="List5">
    <w:name w:val="List 5"/>
    <w:basedOn w:val="BodyText"/>
    <w:rsid w:val="00A20E05"/>
    <w:pPr>
      <w:tabs>
        <w:tab w:val="left" w:pos="1701"/>
      </w:tabs>
      <w:spacing w:before="60" w:after="60"/>
      <w:ind w:left="1701" w:hanging="340"/>
    </w:pPr>
  </w:style>
  <w:style w:type="paragraph" w:styleId="ListBullet3">
    <w:name w:val="List Bullet 3"/>
    <w:basedOn w:val="List3"/>
    <w:rsid w:val="00A20E05"/>
    <w:pPr>
      <w:numPr>
        <w:numId w:val="15"/>
      </w:numPr>
      <w:tabs>
        <w:tab w:val="clear" w:pos="1021"/>
      </w:tabs>
      <w:ind w:left="1037" w:hanging="357"/>
    </w:pPr>
  </w:style>
  <w:style w:type="paragraph" w:styleId="ListBullet4">
    <w:name w:val="List Bullet 4"/>
    <w:basedOn w:val="List4"/>
    <w:rsid w:val="00A20E05"/>
    <w:pPr>
      <w:numPr>
        <w:numId w:val="3"/>
      </w:numPr>
    </w:pPr>
  </w:style>
  <w:style w:type="paragraph" w:styleId="ListBullet5">
    <w:name w:val="List Bullet 5"/>
    <w:basedOn w:val="List5"/>
    <w:rsid w:val="00A20E05"/>
    <w:pPr>
      <w:numPr>
        <w:numId w:val="4"/>
      </w:numPr>
    </w:pPr>
  </w:style>
  <w:style w:type="paragraph" w:styleId="ListContinue2">
    <w:name w:val="List Continue 2"/>
    <w:basedOn w:val="List2"/>
    <w:rsid w:val="00A20E05"/>
    <w:pPr>
      <w:ind w:firstLine="0"/>
    </w:pPr>
  </w:style>
  <w:style w:type="paragraph" w:styleId="ListContinue3">
    <w:name w:val="List Continue 3"/>
    <w:basedOn w:val="List3"/>
    <w:rsid w:val="00A20E05"/>
    <w:pPr>
      <w:ind w:left="1021" w:firstLine="0"/>
    </w:pPr>
  </w:style>
  <w:style w:type="paragraph" w:styleId="ListContinue4">
    <w:name w:val="List Continue 4"/>
    <w:basedOn w:val="List4"/>
    <w:rsid w:val="00A20E05"/>
    <w:pPr>
      <w:ind w:firstLine="0"/>
    </w:pPr>
  </w:style>
  <w:style w:type="paragraph" w:styleId="ListContinue5">
    <w:name w:val="List Continue 5"/>
    <w:basedOn w:val="List5"/>
    <w:rsid w:val="00A20E05"/>
    <w:pPr>
      <w:ind w:firstLine="0"/>
    </w:pPr>
  </w:style>
  <w:style w:type="paragraph" w:styleId="ListNumber3">
    <w:name w:val="List Number 3"/>
    <w:basedOn w:val="List3"/>
    <w:rsid w:val="00A20E05"/>
    <w:pPr>
      <w:numPr>
        <w:numId w:val="5"/>
      </w:numPr>
    </w:pPr>
  </w:style>
  <w:style w:type="paragraph" w:styleId="ListNumber4">
    <w:name w:val="List Number 4"/>
    <w:basedOn w:val="List4"/>
    <w:rsid w:val="00A20E05"/>
    <w:pPr>
      <w:numPr>
        <w:numId w:val="6"/>
      </w:numPr>
    </w:pPr>
  </w:style>
  <w:style w:type="paragraph" w:styleId="ListNumber5">
    <w:name w:val="List Number 5"/>
    <w:basedOn w:val="List5"/>
    <w:rsid w:val="00A20E05"/>
    <w:pPr>
      <w:numPr>
        <w:numId w:val="7"/>
      </w:numPr>
    </w:pPr>
  </w:style>
  <w:style w:type="paragraph" w:styleId="BlockText">
    <w:name w:val="Block Text"/>
    <w:basedOn w:val="Normal"/>
    <w:rsid w:val="00A20E05"/>
    <w:pPr>
      <w:spacing w:after="120"/>
      <w:ind w:left="1440" w:right="1440"/>
    </w:pPr>
  </w:style>
  <w:style w:type="character" w:customStyle="1" w:styleId="Subscript">
    <w:name w:val="Subscript"/>
    <w:basedOn w:val="DefaultParagraphFont"/>
    <w:rsid w:val="00A20E05"/>
    <w:rPr>
      <w:sz w:val="16"/>
      <w:vertAlign w:val="subscript"/>
    </w:rPr>
  </w:style>
  <w:style w:type="character" w:customStyle="1" w:styleId="Superscript">
    <w:name w:val="Superscript"/>
    <w:basedOn w:val="DefaultParagraphFont"/>
    <w:rsid w:val="00A20E05"/>
    <w:rPr>
      <w:sz w:val="16"/>
      <w:vertAlign w:val="superscript"/>
    </w:rPr>
  </w:style>
  <w:style w:type="character" w:customStyle="1" w:styleId="Symbols">
    <w:name w:val="Symbols"/>
    <w:basedOn w:val="DefaultParagraphFont"/>
    <w:rsid w:val="00A20E05"/>
    <w:rPr>
      <w:rFonts w:ascii="Symbol" w:hAnsi="Symbol"/>
    </w:rPr>
  </w:style>
  <w:style w:type="character" w:customStyle="1" w:styleId="MenuOptions">
    <w:name w:val="Menu Options"/>
    <w:basedOn w:val="DefaultParagraphFont"/>
    <w:rsid w:val="00A20E05"/>
    <w:rPr>
      <w:rFonts w:ascii="Arial Narrow" w:hAnsi="Arial Narrow"/>
      <w:smallCaps/>
    </w:rPr>
  </w:style>
  <w:style w:type="character" w:customStyle="1" w:styleId="Buttons">
    <w:name w:val="Buttons"/>
    <w:basedOn w:val="DefaultParagraphFont"/>
    <w:rsid w:val="00A20E05"/>
    <w:rPr>
      <w:b/>
    </w:rPr>
  </w:style>
  <w:style w:type="character" w:customStyle="1" w:styleId="Underlined">
    <w:name w:val="Underlined"/>
    <w:basedOn w:val="DefaultParagraphFont"/>
    <w:rsid w:val="00A20E05"/>
    <w:rPr>
      <w:u w:val="single"/>
    </w:rPr>
  </w:style>
  <w:style w:type="paragraph" w:customStyle="1" w:styleId="TableBodyTextRight">
    <w:name w:val="Table Body Text Right"/>
    <w:basedOn w:val="TableBodyText"/>
    <w:rsid w:val="00A20E05"/>
    <w:pPr>
      <w:widowControl w:val="0"/>
      <w:autoSpaceDE w:val="0"/>
      <w:autoSpaceDN w:val="0"/>
      <w:adjustRightInd w:val="0"/>
      <w:jc w:val="right"/>
    </w:pPr>
    <w:rPr>
      <w:rFonts w:cs="Arial"/>
      <w:szCs w:val="18"/>
    </w:rPr>
  </w:style>
  <w:style w:type="paragraph" w:customStyle="1" w:styleId="CopyrightText">
    <w:name w:val="Copyright Text"/>
    <w:basedOn w:val="BodyText"/>
    <w:rsid w:val="00A20E05"/>
    <w:rPr>
      <w:sz w:val="18"/>
    </w:rPr>
  </w:style>
  <w:style w:type="paragraph" w:customStyle="1" w:styleId="BodySmallRight">
    <w:name w:val="Body Small Right"/>
    <w:basedOn w:val="BodyTextRight"/>
    <w:rsid w:val="00A20E05"/>
    <w:rPr>
      <w:sz w:val="18"/>
      <w:szCs w:val="18"/>
    </w:rPr>
  </w:style>
  <w:style w:type="paragraph" w:customStyle="1" w:styleId="MarginEdition">
    <w:name w:val="Margin Edition"/>
    <w:basedOn w:val="MarginNote"/>
    <w:rsid w:val="00A20E05"/>
    <w:pPr>
      <w:spacing w:before="0" w:after="0"/>
    </w:pPr>
    <w:rPr>
      <w:rFonts w:ascii="Times New Roman" w:hAnsi="Times New Roman"/>
      <w:color w:val="999999"/>
    </w:rPr>
  </w:style>
  <w:style w:type="paragraph" w:customStyle="1" w:styleId="Spacer">
    <w:name w:val="Spacer"/>
    <w:basedOn w:val="Normal"/>
    <w:rsid w:val="00A20E05"/>
    <w:rPr>
      <w:sz w:val="2"/>
      <w:szCs w:val="2"/>
    </w:rPr>
  </w:style>
  <w:style w:type="character" w:customStyle="1" w:styleId="Small">
    <w:name w:val="Small"/>
    <w:basedOn w:val="DefaultParagraphFont"/>
    <w:rsid w:val="00A20E05"/>
    <w:rPr>
      <w:sz w:val="16"/>
    </w:rPr>
  </w:style>
  <w:style w:type="paragraph" w:customStyle="1" w:styleId="WideTable">
    <w:name w:val="Wide Table"/>
    <w:basedOn w:val="Normal"/>
    <w:rsid w:val="00A20E05"/>
    <w:pPr>
      <w:ind w:left="-1418"/>
    </w:pPr>
    <w:rPr>
      <w:sz w:val="2"/>
      <w:szCs w:val="2"/>
    </w:rPr>
  </w:style>
  <w:style w:type="character" w:styleId="PageNumber">
    <w:name w:val="page number"/>
    <w:basedOn w:val="DefaultParagraphFont"/>
    <w:rsid w:val="00A20E05"/>
  </w:style>
  <w:style w:type="paragraph" w:styleId="Quote">
    <w:name w:val="Quote"/>
    <w:basedOn w:val="Heading1"/>
    <w:link w:val="QuoteChar"/>
    <w:qFormat/>
    <w:rsid w:val="00A20E05"/>
    <w:rPr>
      <w:b w:val="0"/>
      <w:sz w:val="72"/>
      <w:szCs w:val="72"/>
      <w:lang w:val="en-NZ"/>
    </w:rPr>
  </w:style>
  <w:style w:type="character" w:customStyle="1" w:styleId="QuoteChar">
    <w:name w:val="Quote Char"/>
    <w:basedOn w:val="DefaultParagraphFont"/>
    <w:link w:val="Quote"/>
    <w:rsid w:val="00A20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E05"/>
    <w:pPr>
      <w:pageBreakBefore/>
    </w:pPr>
  </w:style>
  <w:style w:type="paragraph" w:customStyle="1" w:styleId="Border">
    <w:name w:val="Border"/>
    <w:basedOn w:val="Normal"/>
    <w:qFormat/>
    <w:rsid w:val="00A20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E05"/>
    <w:rPr>
      <w:b/>
      <w:bCs/>
      <w:i/>
      <w:iCs/>
      <w:color w:val="auto"/>
    </w:rPr>
  </w:style>
  <w:style w:type="paragraph" w:styleId="IntenseQuote">
    <w:name w:val="Intense Quote"/>
    <w:basedOn w:val="Normal"/>
    <w:next w:val="Normal"/>
    <w:link w:val="IntenseQuoteChar"/>
    <w:uiPriority w:val="30"/>
    <w:qFormat/>
    <w:rsid w:val="00A20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E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0E05"/>
    <w:rPr>
      <w:smallCaps/>
      <w:color w:val="auto"/>
      <w:u w:val="single"/>
    </w:rPr>
  </w:style>
  <w:style w:type="character" w:styleId="IntenseReference">
    <w:name w:val="Intense Reference"/>
    <w:basedOn w:val="DefaultParagraphFont"/>
    <w:uiPriority w:val="32"/>
    <w:qFormat/>
    <w:rsid w:val="00A20E05"/>
    <w:rPr>
      <w:b/>
      <w:bCs/>
      <w:smallCaps/>
      <w:color w:val="auto"/>
      <w:spacing w:val="5"/>
      <w:u w:val="single"/>
    </w:rPr>
  </w:style>
  <w:style w:type="paragraph" w:customStyle="1" w:styleId="2ColumnHeading">
    <w:name w:val="2Column Heading"/>
    <w:basedOn w:val="BodyText"/>
    <w:qFormat/>
    <w:rsid w:val="00A20E05"/>
    <w:pPr>
      <w:spacing w:after="60"/>
      <w:ind w:left="-2268"/>
    </w:pPr>
    <w:rPr>
      <w:b/>
    </w:rPr>
  </w:style>
  <w:style w:type="paragraph" w:customStyle="1" w:styleId="Heading1TOC">
    <w:name w:val="Heading1 TOC"/>
    <w:basedOn w:val="Normal"/>
    <w:qFormat/>
    <w:rsid w:val="00A20E05"/>
    <w:pPr>
      <w:spacing w:before="240" w:after="120"/>
    </w:pPr>
    <w:rPr>
      <w:rFonts w:ascii="Times New Roman" w:hAnsi="Times New Roman"/>
      <w:b/>
      <w:sz w:val="32"/>
    </w:rPr>
  </w:style>
  <w:style w:type="paragraph" w:customStyle="1" w:styleId="Heading2TOC">
    <w:name w:val="Heading2 TOC"/>
    <w:basedOn w:val="Normal"/>
    <w:qFormat/>
    <w:rsid w:val="00A20E05"/>
    <w:pPr>
      <w:spacing w:before="240" w:after="60"/>
    </w:pPr>
    <w:rPr>
      <w:rFonts w:ascii="Times New Roman" w:hAnsi="Times New Roman"/>
      <w:b/>
      <w:sz w:val="28"/>
    </w:rPr>
  </w:style>
  <w:style w:type="character" w:customStyle="1" w:styleId="Underline">
    <w:name w:val="Underline"/>
    <w:basedOn w:val="DefaultParagraphFont"/>
    <w:qFormat/>
    <w:rsid w:val="00A20E05"/>
    <w:rPr>
      <w:u w:val="single"/>
    </w:rPr>
  </w:style>
  <w:style w:type="character" w:customStyle="1" w:styleId="BoldandItalics">
    <w:name w:val="Bold and Italics"/>
    <w:qFormat/>
    <w:rsid w:val="00A20E05"/>
    <w:rPr>
      <w:b/>
      <w:i/>
      <w:u w:val="none"/>
    </w:rPr>
  </w:style>
  <w:style w:type="paragraph" w:styleId="BalloonText">
    <w:name w:val="Balloon Text"/>
    <w:basedOn w:val="Normal"/>
    <w:link w:val="BalloonTextChar"/>
    <w:rsid w:val="00A20E05"/>
    <w:rPr>
      <w:rFonts w:ascii="Tahoma" w:hAnsi="Tahoma" w:cs="Tahoma"/>
      <w:sz w:val="16"/>
      <w:szCs w:val="16"/>
    </w:rPr>
  </w:style>
  <w:style w:type="character" w:customStyle="1" w:styleId="BalloonTextChar">
    <w:name w:val="Balloon Text Char"/>
    <w:basedOn w:val="DefaultParagraphFont"/>
    <w:link w:val="BalloonText"/>
    <w:rsid w:val="00A20E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0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E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2172</Words>
  <Characters>13552</Characters>
  <Application>Microsoft Office Word</Application>
  <DocSecurity>0</DocSecurity>
  <Lines>556</Lines>
  <Paragraphs>229</Paragraphs>
  <ScaleCrop>false</ScaleCrop>
  <Company>Author-it Software Corporation Ltd.</Company>
  <LinksUpToDate>false</LinksUpToDate>
  <CharactersWithSpaces>15544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UETTDRSB18B Commission distribution field devices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2012-05-26T12:19:00Z</dcterms:created>
  <dcterms:modified xsi:type="dcterms:W3CDTF">2012-05-26T12:19:00Z</dcterms:modified>
</cp:coreProperties>
</file>