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222" w:rsidP="002E3222">
      <w:pPr>
        <w:pStyle w:val="Title"/>
      </w:pPr>
      <w:r>
        <w:fldChar w:fldCharType="begin"/>
      </w:r>
      <w:r>
        <w:instrText xml:space="preserve"> TITLE   \* MERGEFORMAT </w:instrText>
      </w:r>
      <w:r>
        <w:fldChar w:fldCharType="separate"/>
      </w:r>
      <w:r>
        <w:t>UETTDRSB15B Maintain discrete protection and control systems</w:t>
      </w:r>
      <w:r>
        <w:fldChar w:fldCharType="end"/>
      </w:r>
    </w:p>
    <w:p w:rsidR="002E3222" w:rsidP="002E3222">
      <w:pPr>
        <w:pStyle w:val="Version"/>
        <w:sectPr w:rsidSect="006507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07BE" w:rsidP="006507BE">
      <w:pPr>
        <w:pStyle w:val="SuperHeading"/>
      </w:pPr>
      <w:r w:rsidRPr="006507BE">
        <w:t>UETTDRSB15B Maintain discrete protection and control systems</w:t>
      </w:r>
    </w:p>
    <w:p w:rsidR="00000000" w:rsidRPr="006507BE" w:rsidP="006507BE">
      <w:pPr>
        <w:pStyle w:val="Heading1"/>
      </w:pPr>
      <w:bookmarkStart w:id="1" w:name="O_275533"/>
      <w:bookmarkEnd w:id="1"/>
      <w:r w:rsidRPr="006507BE">
        <w:t>Modification History</w:t>
      </w:r>
    </w:p>
    <w:p w:rsidR="00000000" w:rsidRPr="006507BE" w:rsidP="006507BE">
      <w:pPr>
        <w:pStyle w:val="BodyText"/>
      </w:pPr>
      <w:r w:rsidRPr="006507BE">
        <w:t>Not Applicable</w:t>
      </w:r>
    </w:p>
    <w:p w:rsidR="00000000" w:rsidRPr="006507BE" w:rsidP="006507BE">
      <w:pPr>
        <w:pStyle w:val="AllowPageBreak"/>
      </w:pPr>
    </w:p>
    <w:p w:rsidR="00000000" w:rsidRPr="006507BE" w:rsidP="006507BE">
      <w:pPr>
        <w:pStyle w:val="Heading1"/>
      </w:pPr>
      <w:bookmarkStart w:id="2" w:name="O_231879"/>
      <w:bookmarkEnd w:id="2"/>
      <w:r w:rsidRPr="006507BE">
        <w:t>Unit Descriptor</w:t>
      </w:r>
    </w:p>
    <w:tbl>
      <w:tblPr>
        <w:tblW w:w="0" w:type="auto"/>
        <w:tblLayout w:type="fixed"/>
        <w:tblCellMar>
          <w:left w:w="62" w:type="dxa"/>
          <w:right w:w="62" w:type="dxa"/>
        </w:tblCellMar>
        <w:tblLook w:val="0000"/>
      </w:tblPr>
      <w:tblGrid>
        <w:gridCol w:w="2757"/>
        <w:gridCol w:w="5883"/>
      </w:tblGrid>
      <w:tr w:rsidTr="002E3222">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1</w:t>
            </w:r>
            <w:r w:rsidRPr="006507BE">
              <w:t xml:space="preserve">) </w:t>
            </w:r>
          </w:p>
          <w:p w:rsidR="00000000" w:rsidP="006507BE">
            <w:pPr>
              <w:pStyle w:val="BodyText"/>
              <w:rPr>
                <w:lang w:val="en-NZ"/>
              </w:rPr>
            </w:pPr>
            <w:r w:rsidRPr="006507BE">
              <w:rPr>
                <w:rStyle w:val="SpecialBold"/>
              </w:rPr>
              <w:t>1</w:t>
            </w:r>
            <w:r w:rsidRPr="006507BE">
              <w:t>.</w:t>
            </w:r>
            <w:r w:rsidRPr="006507BE">
              <w:rPr>
                <w:rStyle w:val="SpecialBold"/>
              </w:rPr>
              <w:t>1</w:t>
            </w:r>
            <w:r w:rsidRPr="006507BE">
              <w:t xml:space="preserve">) </w:t>
            </w:r>
            <w:r w:rsidRPr="006507BE">
              <w:rPr>
                <w:rStyle w:val="SpecialBold"/>
              </w:rPr>
              <w:t>Descriptor</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t>This Competency Standard Unit covers the isolation, inspection, testing, adjustment, and repair, refurbishment and/or overhaul and functional checks of discrete protection and control devices. It includes the requirements to prove the functionality of disc</w:t>
            </w:r>
            <w:r w:rsidRPr="006507BE">
              <w:t>rete devices such as DC supplies,over-current, overload, earth fault, transformer temperature controls, alarms and indication circuits.</w:t>
            </w:r>
          </w:p>
        </w:tc>
      </w:tr>
    </w:tbl>
    <w:p w:rsidR="002E3222" w:rsidP="006507BE">
      <w:pPr>
        <w:pStyle w:val="BodyText"/>
      </w:pPr>
    </w:p>
    <w:p w:rsidR="002E3222" w:rsidP="006507BE">
      <w:pPr>
        <w:pStyle w:val="BodyText"/>
      </w:pPr>
    </w:p>
    <w:p w:rsidR="00000000" w:rsidRPr="006507BE" w:rsidP="006507BE">
      <w:pPr>
        <w:pStyle w:val="Heading1"/>
      </w:pPr>
      <w:bookmarkStart w:id="3" w:name="O_231884"/>
      <w:bookmarkEnd w:id="3"/>
      <w:r w:rsidRPr="006507BE">
        <w:t>Application of the Unit</w:t>
      </w:r>
    </w:p>
    <w:tbl>
      <w:tblPr>
        <w:tblW w:w="0" w:type="auto"/>
        <w:tblLayout w:type="fixed"/>
        <w:tblCellMar>
          <w:left w:w="62" w:type="dxa"/>
          <w:right w:w="62" w:type="dxa"/>
        </w:tblCellMar>
        <w:tblLook w:val="0000"/>
      </w:tblPr>
      <w:tblGrid>
        <w:gridCol w:w="2757"/>
        <w:gridCol w:w="5883"/>
      </w:tblGrid>
      <w:tr w:rsidTr="002E3222">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rPr>
                <w:rStyle w:val="SpecialBold"/>
              </w:rPr>
              <w:t>4</w:t>
            </w:r>
            <w:r w:rsidRPr="006507BE">
              <w:t>)</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t>This Competency Standard Unit is intended to augment formally acquired competencies. It is suitable for employment-based programs under an approved contract of training.</w:t>
            </w:r>
          </w:p>
        </w:tc>
      </w:tr>
    </w:tbl>
    <w:p w:rsidR="002E3222" w:rsidP="006507BE">
      <w:pPr>
        <w:pStyle w:val="BodyText"/>
      </w:pPr>
    </w:p>
    <w:p w:rsidR="002E3222" w:rsidP="006507BE">
      <w:pPr>
        <w:pStyle w:val="BodyText"/>
      </w:pPr>
    </w:p>
    <w:p w:rsidR="00000000" w:rsidRPr="006507BE" w:rsidP="006507BE">
      <w:pPr>
        <w:pStyle w:val="Heading1"/>
      </w:pPr>
      <w:bookmarkStart w:id="4" w:name="O_231880"/>
      <w:bookmarkEnd w:id="4"/>
      <w:r w:rsidRPr="006507BE">
        <w:t>Licensing/Regulatory Information</w:t>
      </w:r>
    </w:p>
    <w:tbl>
      <w:tblPr>
        <w:tblW w:w="0" w:type="auto"/>
        <w:tblLayout w:type="fixed"/>
        <w:tblCellMar>
          <w:left w:w="62" w:type="dxa"/>
          <w:right w:w="62" w:type="dxa"/>
        </w:tblCellMar>
        <w:tblLook w:val="0000"/>
      </w:tblPr>
      <w:tblGrid>
        <w:gridCol w:w="8640"/>
      </w:tblGrid>
      <w:tr w:rsidTr="002E322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rPr>
                <w:rStyle w:val="SpecialBold"/>
              </w:rPr>
              <w:t>1</w:t>
            </w:r>
            <w:r w:rsidRPr="006507BE">
              <w:t>.</w:t>
            </w:r>
            <w:r w:rsidRPr="006507BE">
              <w:rPr>
                <w:rStyle w:val="SpecialBold"/>
              </w:rPr>
              <w:t>2</w:t>
            </w:r>
            <w:r w:rsidRPr="006507BE">
              <w:t xml:space="preserve">) </w:t>
            </w:r>
            <w:r w:rsidRPr="006507BE">
              <w:rPr>
                <w:rStyle w:val="SpecialBold"/>
              </w:rPr>
              <w:t>License to practice</w:t>
            </w:r>
          </w:p>
        </w:tc>
      </w:tr>
      <w:tr w:rsidTr="002E322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t>The skills and knowledge described in this unit requires a licence/registration to practice in the work place subject to regulations for undertaking of electrical work. Practice in workplace and during training is also subject to regulations directly relat</w:t>
            </w:r>
            <w:r w:rsidRPr="006507BE">
              <w:t>ed to Occupational Health and Safety, electricity/telecommunications/gas/water industry safety and compliance, industrial relations, environmental protection, anti discrimination and training. Commonwealth, State/Territory or Local Government legislation a</w:t>
            </w:r>
            <w:r w:rsidRPr="006507BE">
              <w:t>nd regulations may exist that limits the age of operating certain equipment.</w:t>
            </w:r>
          </w:p>
        </w:tc>
      </w:tr>
    </w:tbl>
    <w:p w:rsidR="002E3222" w:rsidP="006507BE">
      <w:pPr>
        <w:pStyle w:val="BodyText"/>
      </w:pPr>
    </w:p>
    <w:p w:rsidR="002E3222" w:rsidP="006507BE">
      <w:pPr>
        <w:pStyle w:val="BodyText"/>
      </w:pPr>
    </w:p>
    <w:p w:rsidR="00000000" w:rsidRPr="006507BE" w:rsidP="006507BE">
      <w:pPr>
        <w:pStyle w:val="Heading1"/>
      </w:pPr>
      <w:bookmarkStart w:id="5" w:name="O_231881"/>
      <w:bookmarkEnd w:id="5"/>
      <w:r w:rsidRPr="006507BE">
        <w:t>Pre-Requisites</w:t>
      </w:r>
    </w:p>
    <w:tbl>
      <w:tblPr>
        <w:tblW w:w="0" w:type="auto"/>
        <w:tblLayout w:type="fixed"/>
        <w:tblCellMar>
          <w:left w:w="62" w:type="dxa"/>
          <w:right w:w="62" w:type="dxa"/>
        </w:tblCellMar>
        <w:tblLook w:val="0000"/>
      </w:tblPr>
      <w:tblGrid>
        <w:gridCol w:w="2757"/>
        <w:gridCol w:w="5883"/>
      </w:tblGrid>
      <w:tr w:rsidTr="002E3222">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Prerequisite Unit</w:t>
            </w:r>
            <w:r w:rsidRPr="006507BE">
              <w:t>(</w:t>
            </w:r>
            <w:r w:rsidRPr="006507BE">
              <w:rPr>
                <w:rStyle w:val="SpecialBold"/>
              </w:rPr>
              <w:t>s</w:t>
            </w:r>
            <w:r w:rsidRPr="006507BE">
              <w:t>)</w:t>
            </w:r>
          </w:p>
        </w:tc>
        <w:tc>
          <w:tcPr>
            <w:tcW w:w="588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rPr>
                <w:rStyle w:val="SpecialBold"/>
              </w:rPr>
              <w:t>2</w:t>
            </w:r>
            <w:r w:rsidRPr="006507BE">
              <w:t xml:space="preserve">) </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6507BE">
            <w:pPr>
              <w:pStyle w:val="BodyText"/>
              <w:keepNext w:val="0"/>
              <w:keepLines w:val="0"/>
              <w:contextualSpacing w:val="0"/>
            </w:pPr>
          </w:p>
        </w:tc>
        <w:tc>
          <w:tcPr>
            <w:tcW w:w="588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rPr>
                <w:rStyle w:val="SpecialBold"/>
              </w:rPr>
              <w:t>2</w:t>
            </w:r>
            <w:r w:rsidRPr="006507BE">
              <w:t>.</w:t>
            </w:r>
            <w:r w:rsidRPr="006507BE">
              <w:rPr>
                <w:rStyle w:val="SpecialBold"/>
              </w:rPr>
              <w:t>1</w:t>
            </w:r>
            <w:r w:rsidRPr="006507BE">
              <w:t xml:space="preserve">) </w:t>
            </w:r>
            <w:r w:rsidRPr="006507BE">
              <w:rPr>
                <w:rStyle w:val="SpecialBold"/>
              </w:rPr>
              <w:t>Competencies</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t xml:space="preserve">Entry into this unit requires a current 'Unrestricted Electrician's Licence' or equivalent issued in an Australian State or Territory or satisfaction of the ERAC requirements for the issue of an unrestricted electrician's licence. </w:t>
            </w:r>
          </w:p>
        </w:tc>
      </w:tr>
    </w:tbl>
    <w:p w:rsidR="002E3222" w:rsidP="006507BE">
      <w:pPr>
        <w:pStyle w:val="BodyText"/>
      </w:pPr>
    </w:p>
    <w:p w:rsidR="002E3222" w:rsidP="006507BE">
      <w:pPr>
        <w:pStyle w:val="BodyText"/>
      </w:pPr>
    </w:p>
    <w:p w:rsidR="00000000" w:rsidRPr="006507BE" w:rsidP="006507BE">
      <w:pPr>
        <w:pStyle w:val="Heading1"/>
      </w:pPr>
      <w:bookmarkStart w:id="6" w:name="O_231883"/>
      <w:bookmarkEnd w:id="6"/>
      <w:r w:rsidRPr="006507BE">
        <w:t>Empl</w:t>
      </w:r>
      <w:r w:rsidRPr="006507BE">
        <w:t>oyability Skills Information</w:t>
      </w:r>
    </w:p>
    <w:tbl>
      <w:tblPr>
        <w:tblW w:w="0" w:type="auto"/>
        <w:tblLayout w:type="fixed"/>
        <w:tblCellMar>
          <w:left w:w="62" w:type="dxa"/>
          <w:right w:w="62" w:type="dxa"/>
        </w:tblCellMar>
        <w:tblLook w:val="0000"/>
      </w:tblPr>
      <w:tblGrid>
        <w:gridCol w:w="2757"/>
        <w:gridCol w:w="5883"/>
      </w:tblGrid>
      <w:tr w:rsidTr="002E3222">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3</w:t>
            </w:r>
            <w:r w:rsidRPr="006507BE">
              <w:t>)</w:t>
            </w:r>
          </w:p>
          <w:p w:rsidR="00000000" w:rsidRPr="006507BE" w:rsidP="006507BE">
            <w:pPr>
              <w:pStyle w:val="BodyText"/>
            </w:pPr>
            <w:r w:rsidRPr="006507BE">
              <w:t>The required outcomes described in this unit of competency contain applicable facets of Employability Skills. The Employability Skills Summary of the qualification in which this unit of competency is pac</w:t>
            </w:r>
            <w:r w:rsidRPr="006507BE">
              <w:t>kaged will assist in identifying Employability Skill requirements.</w:t>
            </w:r>
          </w:p>
        </w:tc>
      </w:tr>
    </w:tbl>
    <w:p w:rsidR="002E3222" w:rsidP="006507BE">
      <w:pPr>
        <w:pStyle w:val="BodyText"/>
      </w:pPr>
    </w:p>
    <w:p w:rsidR="002E3222" w:rsidP="006507BE">
      <w:pPr>
        <w:pStyle w:val="BodyText"/>
      </w:pPr>
    </w:p>
    <w:p w:rsidR="00000000" w:rsidRPr="006507BE" w:rsidP="006507BE">
      <w:pPr>
        <w:pStyle w:val="Heading1"/>
      </w:pPr>
      <w:bookmarkStart w:id="7" w:name="O_293579"/>
      <w:bookmarkEnd w:id="7"/>
      <w:r w:rsidRPr="006507BE">
        <w:t>Elements and Performance Criteria Pre-Content</w:t>
      </w:r>
    </w:p>
    <w:tbl>
      <w:tblPr>
        <w:tblW w:w="0" w:type="auto"/>
        <w:tblLayout w:type="fixed"/>
        <w:tblCellMar>
          <w:left w:w="62" w:type="dxa"/>
          <w:right w:w="62" w:type="dxa"/>
        </w:tblCellMar>
        <w:tblLook w:val="0000"/>
      </w:tblPr>
      <w:tblGrid>
        <w:gridCol w:w="2758"/>
        <w:gridCol w:w="5882"/>
      </w:tblGrid>
      <w:tr w:rsidTr="002E322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rPr>
                <w:rStyle w:val="SpecialBold"/>
              </w:rPr>
              <w:t>6</w:t>
            </w:r>
            <w:r w:rsidRPr="006507BE">
              <w:t xml:space="preserve">) </w:t>
            </w:r>
            <w:r w:rsidRPr="006507BE">
              <w:rPr>
                <w:rStyle w:val="SpecialBold"/>
              </w:rPr>
              <w:t>Elements</w:t>
            </w:r>
            <w:r w:rsidRPr="006507BE">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t>Performance Criteria describe the required performance needed to demonstrate achievement of the element. Assessment of performance is to be consistent with the evidence guide.</w:t>
            </w:r>
          </w:p>
        </w:tc>
      </w:tr>
    </w:tbl>
    <w:p w:rsidR="00000000" w:rsidRPr="006507BE" w:rsidP="006507BE">
      <w:pPr>
        <w:pStyle w:val="BodyText"/>
      </w:pPr>
    </w:p>
    <w:p w:rsidR="00000000" w:rsidRPr="006507BE" w:rsidP="006507BE">
      <w:pPr>
        <w:pStyle w:val="AllowPageBreak"/>
      </w:pPr>
    </w:p>
    <w:p w:rsidR="00000000" w:rsidRPr="006507BE" w:rsidP="006507BE">
      <w:pPr>
        <w:pStyle w:val="Heading1"/>
      </w:pPr>
      <w:bookmarkStart w:id="8" w:name="O_240247"/>
      <w:bookmarkEnd w:id="8"/>
      <w:r w:rsidRPr="006507BE">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2E3222">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rPr>
                <w:rStyle w:val="SpecialBold"/>
              </w:rPr>
              <w:t>PERFORMANCE CRITER</w:t>
            </w:r>
            <w:r w:rsidRPr="006507BE">
              <w:rPr>
                <w:rStyle w:val="SpecialBold"/>
              </w:rPr>
              <w:t>IA</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1</w:t>
            </w:r>
          </w:p>
        </w:tc>
        <w:tc>
          <w:tcPr>
            <w:tcW w:w="2345"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Plan for the maintenance of discrete protection and control devices</w:t>
            </w: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1.1</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Work schedules including drawings, plans, requirements procedures and material lists are acquired, analysed and the extent of work determined.</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1.2</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Relevant requirements and established procedures for the work are communicated to all personnel and identified for all work sites.</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1.3</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Hazards are identified, OHS risks assessed and control measures are prioritised, implemented and monitored including e</w:t>
            </w:r>
            <w:r w:rsidRPr="006507BE">
              <w:t>mergency exits kept clear, to ensure safe systems of work are followed and according to established procedures.</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1.4</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Work is prioritised and sequenced for the most efficient and effective outcome follow</w:t>
            </w:r>
            <w:r w:rsidRPr="006507BE">
              <w:t>ing consultation with others for completion within acceptable timeframes, to agreed quality standards and in accordance with established policies and procedures.</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1.5</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Risk control measures are identified, prioritised, implemented and evaluated against th</w:t>
            </w:r>
            <w:r w:rsidRPr="006507BE">
              <w:t>e work schedule.</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1.6</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Resources including personnel, equipment, tools and personal protective equipment required for the job are identified, acquired and confirmed in safe/technical working order.</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1.7</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Liaison issues with other personnel and/or authori</w:t>
            </w:r>
            <w:r w:rsidRPr="006507BE">
              <w:t>ties are resolved and activities coordinated to facilitate the work.</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1.8</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 xml:space="preserve">Personnel participating in the work including plant operators and contractors are fully briefed, their respective responsibilities explained </w:t>
            </w:r>
            <w:r w:rsidRPr="006507BE">
              <w:t>and coordinated and appropriate authorisation checked in accordance with established procedures.</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1.9</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Work site is prepared according to the work schedule and to minimise risk and damage to property and personnel in accordance with established procedures</w:t>
            </w:r>
            <w:r w:rsidRPr="006507BE">
              <w:t>.</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2</w:t>
            </w:r>
          </w:p>
        </w:tc>
        <w:tc>
          <w:tcPr>
            <w:tcW w:w="2345"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Carry out the maintenance of discrete protection and control devices</w:t>
            </w: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2.1</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OHS and sustainable energy principles and practices to reduce the incidence of accidents and minimise waste are implemented and monitored in accordance with established procedure</w:t>
            </w:r>
            <w:r w:rsidRPr="006507BE">
              <w:t>s.</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2.2</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CPR, Rescue from live electrical apparatus and other related safety procedures are in place according to requirements and established procedures.</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2.3</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Safe working documentation is acquired and requirements completed in accordance with established procedures.</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2.4</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Lifting, use of power tools/equipment techniques and practices are safely exercised in accordance with established procedures.</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2.5</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Hazard</w:t>
            </w:r>
            <w:r w:rsidRPr="006507BE">
              <w:t xml:space="preserve"> warnings and safety signs are recognised and hazards and assessed OHS risks are reported to the immediate authorised persons for directions according to established procedures.</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2.6</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Maintenance of discrete protection and control devices is undertaken ac</w:t>
            </w:r>
            <w:r w:rsidRPr="006507BE">
              <w:t>cording to requirements and established procedures.</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2.7</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Data is analysed and compared with compliance specifications to ensure completion of the maintenance work is within an agreed timeframe and according to requirements.</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2.8</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 xml:space="preserve">Essential knowledge and associated skills are applied for the safe maintenance of discrete protection and control devices to ensure completion in an agreed timeframe and to quality standards with a minimum of waste according to requirements. </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2.9</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Unplan</w:t>
            </w:r>
            <w:r w:rsidRPr="006507BE">
              <w:t>ned events or conditions are responded to in accordance with established procedures.</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3</w:t>
            </w:r>
          </w:p>
        </w:tc>
        <w:tc>
          <w:tcPr>
            <w:tcW w:w="2345"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Complete the maintenance of discrete protection and control devices</w:t>
            </w: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3.1</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 xml:space="preserve">Final inspections of discrete protection and control devices are undertaken and checked against </w:t>
            </w:r>
            <w:r w:rsidRPr="006507BE">
              <w:t>the work schedule to ensure they comply with all requirements including all required documentation.</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3.2</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Anomalies between the work schedule requirements and measured performance are reported and solutions identified in accordance with established proced</w:t>
            </w:r>
            <w:r w:rsidRPr="006507BE">
              <w:t>ures.</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3.3</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Safe working documentation is surrendered and transformer made ready for service.</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3.4</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Work site is rehabilitated, cleaned up and confirmed safe in accordance with established procedures.</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3.5</w:t>
            </w:r>
          </w:p>
        </w:tc>
        <w:tc>
          <w:tcPr>
            <w:tcW w:w="496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Tools, equipment and any surplus resources and materials are cleaned, checked and returned to storage in accordance with established procedures.</w:t>
            </w:r>
          </w:p>
        </w:tc>
      </w:tr>
      <w:tr w:rsidTr="002E3222">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3.6</w:t>
            </w:r>
          </w:p>
        </w:tc>
        <w:tc>
          <w:tcPr>
            <w:tcW w:w="4963"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t>Required works completion records, reports and/or documentation and information are completed, processed</w:t>
            </w:r>
            <w:r w:rsidRPr="006507BE">
              <w:t xml:space="preserve"> and appropriate personnel notified in accordance with established procedures.</w:t>
            </w:r>
          </w:p>
        </w:tc>
      </w:tr>
    </w:tbl>
    <w:p w:rsidR="002E3222" w:rsidP="006507BE">
      <w:pPr>
        <w:pStyle w:val="BodyText"/>
      </w:pPr>
    </w:p>
    <w:p w:rsidR="002E3222" w:rsidP="006507BE">
      <w:pPr>
        <w:pStyle w:val="BodyText"/>
      </w:pPr>
    </w:p>
    <w:p w:rsidR="00000000" w:rsidRPr="006507BE" w:rsidP="006507BE">
      <w:pPr>
        <w:pStyle w:val="Heading1"/>
      </w:pPr>
      <w:bookmarkStart w:id="9" w:name="O_264038"/>
      <w:bookmarkEnd w:id="9"/>
      <w:r w:rsidRPr="006507BE">
        <w:t>Required Skills and Knowledge</w:t>
      </w:r>
    </w:p>
    <w:tbl>
      <w:tblPr>
        <w:tblW w:w="0" w:type="auto"/>
        <w:tblLayout w:type="fixed"/>
        <w:tblCellMar>
          <w:left w:w="62" w:type="dxa"/>
          <w:right w:w="62" w:type="dxa"/>
        </w:tblCellMar>
        <w:tblLook w:val="0000"/>
      </w:tblPr>
      <w:tblGrid>
        <w:gridCol w:w="2757"/>
        <w:gridCol w:w="1103"/>
        <w:gridCol w:w="4780"/>
      </w:tblGrid>
      <w:tr w:rsidTr="002E3222">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rPr>
                <w:rStyle w:val="SpecialBold"/>
              </w:rPr>
              <w:t>REQUIRED SKILLS AND KNOWLEDGE</w:t>
            </w:r>
          </w:p>
        </w:tc>
      </w:tr>
      <w:tr w:rsidTr="002E3222">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rPr>
                <w:rStyle w:val="SpecialBold"/>
              </w:rPr>
              <w:t>7</w:t>
            </w:r>
            <w:r w:rsidRPr="006507BE">
              <w:t xml:space="preserve">) </w:t>
            </w:r>
            <w:r w:rsidRPr="006507BE">
              <w:rPr>
                <w:rStyle w:val="SpecialBold"/>
              </w:rPr>
              <w:t>Essential Knowledge and Associated Skills</w:t>
            </w:r>
            <w:r w:rsidRPr="006507BE">
              <w:t xml:space="preserve"> (</w:t>
            </w:r>
            <w:r w:rsidRPr="006507BE">
              <w:rPr>
                <w:rStyle w:val="SpecialBold"/>
              </w:rPr>
              <w:t>EKAS</w:t>
            </w:r>
            <w:r w:rsidRPr="006507BE">
              <w:t>): This describes the essential skills and knowledge and their level, required for this unit.</w:t>
            </w:r>
          </w:p>
        </w:tc>
      </w:tr>
      <w:tr w:rsidTr="002E3222">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t>Evidence shall show that knowledge has been acquired of maintaining discrete protection and control devices.</w:t>
            </w:r>
          </w:p>
          <w:p w:rsidR="00000000" w:rsidRPr="006507BE" w:rsidP="006507BE">
            <w:pPr>
              <w:pStyle w:val="BodyText"/>
            </w:pPr>
            <w:r w:rsidRPr="006507BE">
              <w:t>All knowledge and skills detailed in this unit sho</w:t>
            </w:r>
            <w:r w:rsidRPr="006507BE">
              <w:t>uld be contextualised to current industry practices and technologies.</w:t>
            </w:r>
          </w:p>
          <w:p w:rsidR="00000000" w:rsidP="006507BE">
            <w:pPr>
              <w:pStyle w:val="BodyText"/>
              <w:rPr>
                <w:lang w:val="en-NZ"/>
              </w:rPr>
            </w:pPr>
            <w:r w:rsidRPr="006507BE">
              <w:t>The extent of the essential knowledge and associated skills (EKAS) required is given in Volume 2 - Part 2.2 EKAS. It forms an integral part of this unit.</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 xml:space="preserve">E2.18.1 </w:t>
            </w:r>
          </w:p>
        </w:tc>
        <w:tc>
          <w:tcPr>
            <w:tcW w:w="4780"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Occupational Health and Safety principles</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E2.18.2</w:t>
            </w:r>
          </w:p>
        </w:tc>
        <w:tc>
          <w:tcPr>
            <w:tcW w:w="4780"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Electrical safe working practice</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T2.3.3</w:t>
            </w:r>
          </w:p>
        </w:tc>
        <w:tc>
          <w:tcPr>
            <w:tcW w:w="4780"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Statutory and safety considerations</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T2.3.4</w:t>
            </w:r>
          </w:p>
        </w:tc>
        <w:tc>
          <w:tcPr>
            <w:tcW w:w="4780"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Electrical equipment - protection and control schemes</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T2.3.5</w:t>
            </w:r>
          </w:p>
        </w:tc>
        <w:tc>
          <w:tcPr>
            <w:tcW w:w="4780"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Discrete protection schemes - isolation and tagging pr</w:t>
            </w:r>
            <w:r w:rsidRPr="006507BE">
              <w:t>ocedures</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T2.3.6</w:t>
            </w:r>
          </w:p>
        </w:tc>
        <w:tc>
          <w:tcPr>
            <w:tcW w:w="4780"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Protection devices - maintenance and commissioning principles.</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T2.3.7</w:t>
            </w:r>
          </w:p>
        </w:tc>
        <w:tc>
          <w:tcPr>
            <w:tcW w:w="4780"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Protection devices -manufacturers requirements</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T2.7.6</w:t>
            </w:r>
          </w:p>
        </w:tc>
        <w:tc>
          <w:tcPr>
            <w:tcW w:w="4780"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Disposal procedures for insulating materials</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T2.10.1</w:t>
            </w:r>
          </w:p>
        </w:tc>
        <w:tc>
          <w:tcPr>
            <w:tcW w:w="4780"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Visual inspection procedures -substations</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T2.10.2</w:t>
            </w:r>
          </w:p>
        </w:tc>
        <w:tc>
          <w:tcPr>
            <w:tcW w:w="4780"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Surge relay operation and maintenance - substations</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T2.10.9</w:t>
            </w:r>
          </w:p>
        </w:tc>
        <w:tc>
          <w:tcPr>
            <w:tcW w:w="4780"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Analyse and interpret results and measurements - substations</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T2.10.26</w:t>
            </w:r>
          </w:p>
        </w:tc>
        <w:tc>
          <w:tcPr>
            <w:tcW w:w="4780"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Voltage regulation scheme principles - substations</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T2.10.27</w:t>
            </w:r>
          </w:p>
        </w:tc>
        <w:tc>
          <w:tcPr>
            <w:tcW w:w="4780"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Use of test equipment on a discrete protection scheme - substations</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T2.11.74</w:t>
            </w:r>
          </w:p>
        </w:tc>
        <w:tc>
          <w:tcPr>
            <w:tcW w:w="4780"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t>Discrete protection devices</w:t>
            </w:r>
          </w:p>
        </w:tc>
      </w:tr>
    </w:tbl>
    <w:p w:rsidR="002E3222" w:rsidP="006507BE">
      <w:pPr>
        <w:pStyle w:val="BodyText"/>
      </w:pPr>
    </w:p>
    <w:p w:rsidR="002E3222" w:rsidP="006507BE">
      <w:pPr>
        <w:pStyle w:val="BodyText"/>
      </w:pPr>
    </w:p>
    <w:p w:rsidR="00000000" w:rsidRPr="006507BE" w:rsidP="006507BE">
      <w:pPr>
        <w:pStyle w:val="Heading1"/>
      </w:pPr>
      <w:bookmarkStart w:id="10" w:name="O_248230"/>
      <w:bookmarkEnd w:id="10"/>
      <w:r w:rsidRPr="006507BE">
        <w:t>Evidence Guide</w:t>
      </w:r>
    </w:p>
    <w:tbl>
      <w:tblPr>
        <w:tblW w:w="0" w:type="auto"/>
        <w:tblLayout w:type="fixed"/>
        <w:tblCellMar>
          <w:left w:w="62" w:type="dxa"/>
          <w:right w:w="62" w:type="dxa"/>
        </w:tblCellMar>
        <w:tblLook w:val="0000"/>
      </w:tblPr>
      <w:tblGrid>
        <w:gridCol w:w="2207"/>
        <w:gridCol w:w="735"/>
        <w:gridCol w:w="919"/>
        <w:gridCol w:w="1654"/>
        <w:gridCol w:w="3125"/>
      </w:tblGrid>
      <w:tr w:rsidTr="002E3222">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rPr>
                <w:rStyle w:val="SpecialBold"/>
              </w:rPr>
              <w:t>EVIDENCE GUIDE</w:t>
            </w:r>
          </w:p>
        </w:tc>
      </w:tr>
      <w:tr w:rsidTr="002E3222">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9</w:t>
            </w:r>
            <w:r w:rsidRPr="006507BE">
              <w:t xml:space="preserve">) This provides essential </w:t>
            </w:r>
            <w:r w:rsidRPr="006507BE">
              <w:t>advice for assessment of the competency standard unit and must be read in conjunction with the Performance Criteria and the Range Statement of the competency standard unit and the Training Package Assessment Guidelines.</w:t>
            </w:r>
          </w:p>
          <w:p w:rsidR="00000000" w:rsidP="006507BE">
            <w:pPr>
              <w:pStyle w:val="BodyText"/>
              <w:rPr>
                <w:lang w:val="en-NZ"/>
              </w:rPr>
            </w:pPr>
            <w:r w:rsidRPr="006507BE">
              <w:t>The Evidence Guide forms an integral</w:t>
            </w:r>
            <w:r w:rsidRPr="006507BE">
              <w:t xml:space="preserve"> part of this Competency Standard Unit and shall be used in conjunction with all component parts of this unit and, performed in accordance with the Assessment Guidelines of this Training Package.</w:t>
            </w:r>
          </w:p>
        </w:tc>
      </w:tr>
      <w:tr w:rsidTr="002E322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9</w:t>
            </w:r>
            <w:r w:rsidRPr="006507BE">
              <w:t>.</w:t>
            </w:r>
            <w:r w:rsidRPr="006507BE">
              <w:rPr>
                <w:rStyle w:val="SpecialBold"/>
              </w:rPr>
              <w:t>1</w:t>
            </w:r>
            <w:r w:rsidRPr="006507BE">
              <w:t xml:space="preserve">) </w:t>
            </w:r>
          </w:p>
          <w:p w:rsidR="00000000" w:rsidRPr="006507BE" w:rsidP="006507BE">
            <w:pPr>
              <w:pStyle w:val="BodyText"/>
            </w:pPr>
            <w:r w:rsidRPr="006507BE">
              <w:t>Longitudinal competency de</w:t>
            </w:r>
            <w:r w:rsidRPr="006507BE">
              <w:t>velopment approaches to assessment, such as Profiling, require data to be reliably gathered in a form that can be consistently interpreted over time. This approach is best utilised in Apprenticeship programs and reduces assessment intervention. It is the I</w:t>
            </w:r>
            <w:r w:rsidRPr="006507BE">
              <w:t>ndustry's preferred model for apprenticeships. However, where summative (or final) assessment is used it is to include the application of the competency in the normal work environment or, at a minimum, the application of the competency in a realistically s</w:t>
            </w:r>
            <w:r w:rsidRPr="006507BE">
              <w:t>imulated work environment. It is recognised that, in some circumstances, assessment in part or full can occur outside the workplace. However, it must be in accord with Industry and, Regulatory policy in this regard.</w:t>
            </w:r>
          </w:p>
          <w:p w:rsidR="00000000" w:rsidRPr="006507BE" w:rsidP="006507BE">
            <w:pPr>
              <w:pStyle w:val="BodyText"/>
            </w:pPr>
            <w:r w:rsidRPr="006507BE">
              <w:t>Methods chosen for a particular assessme</w:t>
            </w:r>
            <w:r w:rsidRPr="006507BE">
              <w:t>nt will be influenced by various factors. These include the extent of the assessment, the most effective locations for the assessment activities to take place, access to physical resources, additional safety measures that may be required and the critical n</w:t>
            </w:r>
            <w:r w:rsidRPr="006507BE">
              <w:t>ature of the competencies being assessed.</w:t>
            </w:r>
          </w:p>
          <w:p w:rsidR="00000000" w:rsidRPr="006507BE" w:rsidP="006507BE">
            <w:pPr>
              <w:pStyle w:val="BodyText"/>
            </w:pPr>
            <w:r w:rsidRPr="006507BE">
              <w:t>The critical safety nature of working with electricity, electrical equipment, gas or any other hazardous substance/material carries risk in deeming a person competent. Hence, sources of evidence need to be 'rich' i</w:t>
            </w:r>
            <w:r w:rsidRPr="006507BE">
              <w:t>n nature so as to minimise error in judgment.</w:t>
            </w:r>
          </w:p>
          <w:p w:rsidR="00000000" w:rsidP="006507BE">
            <w:pPr>
              <w:pStyle w:val="BodyText"/>
              <w:rPr>
                <w:lang w:val="en-NZ"/>
              </w:rPr>
            </w:pPr>
            <w:r w:rsidRPr="006507BE">
              <w:t>Activities associated with normal every day work have a bearing on the decision as to how much and how detailed the data gathered will contribute to its 'richness'. Some skills are more critical to safety and o</w:t>
            </w:r>
            <w:r w:rsidRPr="006507BE">
              <w:t>perational requirements while the same skills may be more or less frequently practiced. These points are raised for the assessors to consider when choosing an assessment method and developing assessment instruments. Sample assessment instruments are includ</w:t>
            </w:r>
            <w:r w:rsidRPr="006507BE">
              <w:t>ed for Assessors in the Assessment Guidelines of this Training Package.</w:t>
            </w:r>
          </w:p>
        </w:tc>
      </w:tr>
      <w:tr w:rsidTr="002E3222">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9</w:t>
            </w:r>
            <w:r w:rsidRPr="006507BE">
              <w:t>.</w:t>
            </w:r>
            <w:r w:rsidRPr="006507BE">
              <w:rPr>
                <w:rStyle w:val="SpecialBold"/>
              </w:rPr>
              <w:t>2</w:t>
            </w:r>
            <w:r w:rsidRPr="006507BE">
              <w:t xml:space="preserve">) </w:t>
            </w:r>
          </w:p>
          <w:p w:rsidR="00000000" w:rsidP="006507BE">
            <w:pPr>
              <w:pStyle w:val="BodyText"/>
              <w:rPr>
                <w:lang w:val="en-NZ"/>
              </w:rPr>
            </w:pPr>
            <w:r w:rsidRPr="006507BE">
              <w:t>Before the critical aspects of evidence are considered all prerequisites shall be met.</w:t>
            </w:r>
          </w:p>
        </w:tc>
      </w:tr>
      <w:tr w:rsidTr="002E3222">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6507BE">
            <w:pPr>
              <w:pStyle w:val="ListBullet"/>
              <w:rPr>
                <w:lang w:val="en-NZ"/>
              </w:rPr>
            </w:pPr>
            <w:r w:rsidRPr="006507BE">
              <w:t>A</w:t>
            </w:r>
            <w:r w:rsidRPr="006507BE">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2E322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507BE" w:rsidP="006507BE">
            <w:pPr>
              <w:pStyle w:val="ListBullet2"/>
            </w:pPr>
            <w:r w:rsidRPr="006507BE">
              <w:t>Implement Occupational Health and Safety workplace procedures and practices including the use of risk control measures as specified in the Performance Criteria and range; and</w:t>
            </w:r>
          </w:p>
          <w:p w:rsidR="00000000" w:rsidRPr="006507BE" w:rsidP="006507BE">
            <w:pPr>
              <w:pStyle w:val="ListBullet2"/>
            </w:pPr>
            <w:r w:rsidRPr="006507BE">
              <w:t>Apply sustainable energy principles and practices as specified in the Performance Criteria and range; and</w:t>
            </w:r>
          </w:p>
          <w:p w:rsidR="00000000" w:rsidRPr="006507BE" w:rsidP="006507BE">
            <w:pPr>
              <w:pStyle w:val="ListBullet2"/>
            </w:pPr>
            <w:r w:rsidRPr="006507BE">
              <w:t>Demonstrate an understanding of the essential knowledge and associated skills as described in this unit to such an extent that the learner's performan</w:t>
            </w:r>
            <w:r w:rsidRPr="006507BE">
              <w:t>ce outcome is reported in accordance with the preferred approach; namely a percentile graded result, where required by the regulated environment; and</w:t>
            </w:r>
          </w:p>
          <w:p w:rsidR="00000000" w:rsidRPr="006507BE" w:rsidP="006507BE">
            <w:pPr>
              <w:pStyle w:val="ListBullet2"/>
            </w:pPr>
            <w:r w:rsidRPr="006507BE">
              <w:t>Demonstrate an appropriate level of employability skills; and</w:t>
            </w:r>
          </w:p>
          <w:p w:rsidR="00000000" w:rsidP="006507BE">
            <w:pPr>
              <w:pStyle w:val="ListBullet2"/>
              <w:rPr>
                <w:lang w:val="en-NZ"/>
              </w:rPr>
            </w:pPr>
            <w:r w:rsidRPr="006507BE">
              <w:t>Conduct work observing the relevant Anti Dis</w:t>
            </w:r>
            <w:r w:rsidRPr="006507BE">
              <w:t>crimination legislation, regulations, policies and workplace procedures; and</w:t>
            </w:r>
          </w:p>
        </w:tc>
      </w:tr>
      <w:tr w:rsidTr="002E322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507BE">
            <w:pPr>
              <w:pStyle w:val="ListBullet"/>
              <w:rPr>
                <w:lang w:val="en-NZ"/>
              </w:rPr>
            </w:pPr>
            <w:r w:rsidRPr="006507BE">
              <w:t>Demonstrated performance across a representative range of contexts from the prescribed items below:</w:t>
            </w:r>
          </w:p>
        </w:tc>
      </w:tr>
      <w:tr w:rsidTr="002E322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6507BE">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7BE">
            <w:pPr>
              <w:pStyle w:val="BodyText"/>
              <w:rPr>
                <w:lang w:val="en-NZ"/>
              </w:rPr>
            </w:pPr>
            <w:r w:rsidRPr="006507BE">
              <w:rPr>
                <w:rStyle w:val="SpecialBold"/>
              </w:rPr>
              <w:t>Range of tools</w:t>
            </w:r>
            <w:r w:rsidRPr="006507BE">
              <w:t>/</w:t>
            </w:r>
            <w:r w:rsidRPr="006507BE">
              <w:rPr>
                <w:rStyle w:val="SpecialBold"/>
              </w:rPr>
              <w:t>equipment</w:t>
            </w:r>
            <w:r w:rsidRPr="006507BE">
              <w:t>/</w:t>
            </w:r>
            <w:r w:rsidRPr="006507BE">
              <w:rPr>
                <w:rStyle w:val="SpecialBold"/>
              </w:rPr>
              <w:t>materials</w:t>
            </w:r>
            <w:r w:rsidRPr="006507BE">
              <w:t>/</w:t>
            </w:r>
            <w:r w:rsidRPr="006507BE">
              <w:rPr>
                <w:rStyle w:val="SpecialBold"/>
              </w:rPr>
              <w:t>procedures</w:t>
            </w:r>
            <w:r w:rsidRPr="006507BE">
              <w:t>/</w:t>
            </w:r>
            <w:r w:rsidRPr="006507BE">
              <w:rPr>
                <w:rStyle w:val="SpecialBold"/>
              </w:rPr>
              <w:t>workplaces</w:t>
            </w:r>
            <w:r w:rsidRPr="006507BE">
              <w:t>/</w:t>
            </w:r>
            <w:r w:rsidRPr="006507BE">
              <w:rPr>
                <w:rStyle w:val="SpecialBold"/>
              </w:rPr>
              <w:t>other variables</w:t>
            </w:r>
          </w:p>
        </w:tc>
      </w:tr>
      <w:tr w:rsidTr="002E322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6507BE">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7BE" w:rsidP="006507BE">
            <w:pPr>
              <w:pStyle w:val="BodyText"/>
            </w:pPr>
            <w:r w:rsidRPr="006507BE">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7BE" w:rsidP="006507BE">
            <w:pPr>
              <w:pStyle w:val="BodyText"/>
            </w:pPr>
            <w:r w:rsidRPr="006507BE">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7BE">
            <w:pPr>
              <w:pStyle w:val="BodyText"/>
              <w:rPr>
                <w:lang w:val="en-NZ"/>
              </w:rPr>
            </w:pPr>
            <w:r w:rsidRPr="006507BE">
              <w:rPr>
                <w:rStyle w:val="SpecialBold"/>
              </w:rPr>
              <w:t>Item List</w:t>
            </w:r>
          </w:p>
        </w:tc>
      </w:tr>
      <w:tr w:rsidTr="002E322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7BE">
            <w:pPr>
              <w:pStyle w:val="BodyText"/>
              <w:rPr>
                <w:lang w:val="en-NZ"/>
              </w:rPr>
            </w:pPr>
            <w:r w:rsidRPr="006507BE">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7BE">
            <w:pPr>
              <w:pStyle w:val="BodyText"/>
              <w:rPr>
                <w:lang w:val="en-NZ"/>
              </w:rPr>
            </w:pPr>
            <w:r w:rsidRPr="006507BE">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7BE" w:rsidP="006507BE">
            <w:pPr>
              <w:pStyle w:val="BodyText"/>
            </w:pPr>
            <w:r w:rsidRPr="006507BE">
              <w:t>Isolate discrete protection</w:t>
            </w:r>
          </w:p>
          <w:p w:rsidR="00000000" w:rsidRPr="006507BE" w:rsidP="006507BE">
            <w:pPr>
              <w:pStyle w:val="BodyText"/>
            </w:pPr>
            <w:r w:rsidRPr="006507BE">
              <w:t xml:space="preserve">Control and indications </w:t>
            </w:r>
          </w:p>
          <w:p w:rsidR="00000000" w:rsidRPr="006507BE" w:rsidP="006507BE">
            <w:pPr>
              <w:pStyle w:val="BodyText"/>
            </w:pPr>
            <w:r w:rsidRPr="006507BE">
              <w:t>Overcurrent and Earth fault relays</w:t>
            </w:r>
          </w:p>
          <w:p w:rsidR="00000000" w:rsidRPr="006507BE" w:rsidP="006507BE">
            <w:pPr>
              <w:pStyle w:val="BodyText"/>
            </w:pPr>
            <w:r w:rsidRPr="006507BE">
              <w:t>DC Supplies</w:t>
            </w:r>
          </w:p>
          <w:p w:rsidR="00000000" w:rsidRPr="006507BE" w:rsidP="006507BE">
            <w:pPr>
              <w:pStyle w:val="BodyText"/>
            </w:pPr>
            <w:r w:rsidRPr="006507BE">
              <w:t>Tr</w:t>
            </w:r>
            <w:r w:rsidRPr="006507BE">
              <w:t>ip and control circuits</w:t>
            </w:r>
          </w:p>
          <w:p w:rsidR="00000000" w:rsidRPr="006507BE" w:rsidP="006507BE">
            <w:pPr>
              <w:pStyle w:val="BodyText"/>
            </w:pPr>
            <w:r w:rsidRPr="006507BE">
              <w:t>Alarms and indications</w:t>
            </w:r>
          </w:p>
          <w:p w:rsidR="00000000" w:rsidP="006507BE">
            <w:pPr>
              <w:pStyle w:val="BodyText"/>
              <w:rPr>
                <w:lang w:val="en-NZ"/>
              </w:rPr>
            </w:pPr>
            <w:r w:rsidRPr="006507BE">
              <w:t>Function test of discrete divices</w:t>
            </w:r>
          </w:p>
        </w:tc>
      </w:tr>
      <w:tr w:rsidTr="002E322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7BE">
            <w:pPr>
              <w:pStyle w:val="BodyText"/>
              <w:rPr>
                <w:lang w:val="en-NZ"/>
              </w:rPr>
            </w:pPr>
            <w:r w:rsidRPr="006507BE">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7BE">
            <w:pPr>
              <w:pStyle w:val="BodyText"/>
              <w:rPr>
                <w:lang w:val="en-NZ"/>
              </w:rPr>
            </w:pPr>
            <w:r w:rsidRPr="006507BE">
              <w:t>At least three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7BE" w:rsidP="006507BE">
            <w:pPr>
              <w:pStyle w:val="BodyText"/>
            </w:pPr>
            <w:r w:rsidRPr="006507BE">
              <w:t>Neutral displacement</w:t>
            </w:r>
          </w:p>
          <w:p w:rsidR="00000000" w:rsidRPr="006507BE" w:rsidP="006507BE">
            <w:pPr>
              <w:pStyle w:val="BodyText"/>
            </w:pPr>
            <w:r w:rsidRPr="006507BE">
              <w:t>No-volt changeover</w:t>
            </w:r>
          </w:p>
          <w:p w:rsidR="00000000" w:rsidRPr="006507BE" w:rsidP="006507BE">
            <w:pPr>
              <w:pStyle w:val="BodyText"/>
            </w:pPr>
            <w:r w:rsidRPr="006507BE">
              <w:t>Discrete auto reclose</w:t>
            </w:r>
          </w:p>
          <w:p w:rsidR="00000000" w:rsidRPr="006507BE" w:rsidP="006507BE">
            <w:pPr>
              <w:pStyle w:val="BodyText"/>
            </w:pPr>
            <w:r w:rsidRPr="006507BE">
              <w:t>DC Frame leakage</w:t>
            </w:r>
          </w:p>
          <w:p w:rsidR="00000000" w:rsidRPr="006507BE" w:rsidP="006507BE">
            <w:pPr>
              <w:pStyle w:val="BodyText"/>
            </w:pPr>
            <w:r w:rsidRPr="006507BE">
              <w:t>Oil surge (site maintenance)</w:t>
            </w:r>
          </w:p>
          <w:p w:rsidR="00000000" w:rsidRPr="006507BE" w:rsidP="006507BE">
            <w:pPr>
              <w:pStyle w:val="BodyText"/>
            </w:pPr>
            <w:r w:rsidRPr="006507BE">
              <w:t>Voltage regulation</w:t>
            </w:r>
          </w:p>
          <w:p w:rsidR="00000000" w:rsidRPr="006507BE" w:rsidP="006507BE">
            <w:pPr>
              <w:pStyle w:val="BodyText"/>
            </w:pPr>
            <w:r w:rsidRPr="006507BE">
              <w:t>Parallel o</w:t>
            </w:r>
            <w:r w:rsidRPr="006507BE">
              <w:t>peration</w:t>
            </w:r>
          </w:p>
          <w:p w:rsidR="00000000" w:rsidRPr="006507BE" w:rsidP="006507BE">
            <w:pPr>
              <w:pStyle w:val="BodyText"/>
            </w:pPr>
            <w:r w:rsidRPr="006507BE">
              <w:t>Thermal overloads</w:t>
            </w:r>
          </w:p>
          <w:p w:rsidR="00000000" w:rsidRPr="006507BE" w:rsidP="006507BE">
            <w:pPr>
              <w:pStyle w:val="BodyText"/>
            </w:pPr>
            <w:r w:rsidRPr="006507BE">
              <w:t>Transformer temperature control devices</w:t>
            </w:r>
          </w:p>
          <w:p w:rsidR="00000000" w:rsidP="006507BE">
            <w:pPr>
              <w:pStyle w:val="BodyText"/>
              <w:rPr>
                <w:lang w:val="en-NZ"/>
              </w:rPr>
            </w:pPr>
            <w:r w:rsidRPr="006507BE">
              <w:t>CEL fail</w:t>
            </w:r>
          </w:p>
        </w:tc>
      </w:tr>
      <w:tr w:rsidTr="002E322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7BE">
            <w:pPr>
              <w:pStyle w:val="BodyText"/>
              <w:rPr>
                <w:lang w:val="en-NZ"/>
              </w:rPr>
            </w:pPr>
            <w:r w:rsidRPr="006507BE">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7BE">
            <w:pPr>
              <w:pStyle w:val="BodyText"/>
              <w:rPr>
                <w:lang w:val="en-NZ"/>
              </w:rPr>
            </w:pPr>
            <w:r w:rsidRPr="006507BE">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7BE">
            <w:pPr>
              <w:pStyle w:val="BodyText"/>
              <w:rPr>
                <w:lang w:val="en-NZ"/>
              </w:rPr>
            </w:pPr>
            <w:r w:rsidRPr="006507BE">
              <w:t xml:space="preserve">Dealing with an unplanned event by drawing on essential knowledge and associated skills to provide appropriate solutions incorporated in the </w:t>
            </w:r>
            <w:r w:rsidRPr="006507BE">
              <w:t>holistic assessment with the above listed items.</w:t>
            </w:r>
          </w:p>
        </w:tc>
      </w:tr>
      <w:tr w:rsidTr="002E322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9</w:t>
            </w:r>
            <w:r w:rsidRPr="006507BE">
              <w:t>.</w:t>
            </w:r>
            <w:r w:rsidRPr="006507BE">
              <w:rPr>
                <w:rStyle w:val="SpecialBold"/>
              </w:rPr>
              <w:t>3</w:t>
            </w:r>
            <w:r w:rsidRPr="006507BE">
              <w:t xml:space="preserve">) </w:t>
            </w:r>
          </w:p>
          <w:p w:rsidR="00000000" w:rsidRPr="006507BE" w:rsidP="006507BE">
            <w:pPr>
              <w:pStyle w:val="BodyText"/>
            </w:pPr>
            <w:r w:rsidRPr="006507BE">
              <w:t>This unit should be assessed as it relates to normal work practice using procedures, information and resources typical of a workplace. This should incl</w:t>
            </w:r>
            <w:r w:rsidRPr="006507BE">
              <w:t>ude:</w:t>
            </w:r>
          </w:p>
          <w:p w:rsidR="00000000" w:rsidRPr="006507BE" w:rsidP="006507BE">
            <w:pPr>
              <w:pStyle w:val="ListBullet"/>
            </w:pPr>
            <w:r w:rsidRPr="006507BE">
              <w:t>OHS policy and work procedures and instructions.</w:t>
            </w:r>
          </w:p>
          <w:p w:rsidR="00000000" w:rsidP="006507BE">
            <w:pPr>
              <w:pStyle w:val="ListBullet"/>
              <w:rPr>
                <w:lang w:val="en-NZ"/>
              </w:rPr>
            </w:pPr>
            <w:r w:rsidRPr="006507BE">
              <w:t>Suitable work environment, facilities, equipment and materials to undertake actual maintenance of discrete protection and control devices.</w:t>
            </w:r>
          </w:p>
        </w:tc>
      </w:tr>
      <w:tr w:rsidTr="002E322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 xml:space="preserve">In addition to the resources listed above, in Context of and specific resources for assessment, evidence should show demonstrated competency working: </w:t>
            </w:r>
          </w:p>
        </w:tc>
      </w:tr>
      <w:tr w:rsidTr="002E322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At realistic heights above ground, i.e. above 3 metres, in limited spaces, with different structural</w:t>
            </w:r>
            <w:r w:rsidRPr="006507BE">
              <w:t>/construction types and method and in a variety of environments.</w:t>
            </w:r>
          </w:p>
        </w:tc>
      </w:tr>
      <w:tr w:rsidTr="002E322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9</w:t>
            </w:r>
            <w:r w:rsidRPr="006507BE">
              <w:t>.</w:t>
            </w:r>
            <w:r w:rsidRPr="006507BE">
              <w:rPr>
                <w:rStyle w:val="SpecialBold"/>
              </w:rPr>
              <w:t>4</w:t>
            </w:r>
            <w:r w:rsidRPr="006507BE">
              <w:t xml:space="preserve">) </w:t>
            </w:r>
          </w:p>
          <w:p w:rsidR="00000000" w:rsidRPr="006507BE" w:rsidP="006507BE">
            <w:pPr>
              <w:pStyle w:val="BodyText"/>
            </w:pPr>
            <w:r w:rsidRPr="006507BE">
              <w:t>This Competency Standard Unit shall be assessed by methods given in Volume 1, Part 3 "Assessment Guidelines".</w:t>
            </w:r>
          </w:p>
          <w:p w:rsidR="00000000" w:rsidP="006507BE">
            <w:pPr>
              <w:pStyle w:val="BodyText"/>
              <w:rPr>
                <w:lang w:val="en-NZ"/>
              </w:rPr>
            </w:pPr>
            <w:r w:rsidRPr="006507BE">
              <w:t>Note:</w:t>
            </w:r>
            <w:r w:rsidRPr="006507BE">
              <w:br/>
            </w:r>
            <w:r w:rsidRPr="006507BE">
              <w:t>Competent performance with inherent safe working practices is expected in the Transmission, Distribution and Rail Traction Industry. This requires that the specified essential knowledge and associated skills are assessed in a structured environment which i</w:t>
            </w:r>
            <w:r w:rsidRPr="006507BE">
              <w:t>s primarily intended for learning/assessment and incorporates all necessary equipment and facilities for learners to develop and demonstrate the essential knowledge and associated skills described in this unit.</w:t>
            </w:r>
          </w:p>
        </w:tc>
      </w:tr>
      <w:tr w:rsidTr="002E3222">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Concurrent assessment and relationship wi</w:t>
            </w:r>
            <w:r w:rsidRPr="006507BE">
              <w:rPr>
                <w:rStyle w:val="SpecialBold"/>
              </w:rPr>
              <w:t>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rPr>
                <w:rStyle w:val="SpecialBold"/>
              </w:rPr>
              <w:t>9</w:t>
            </w:r>
            <w:r w:rsidRPr="006507BE">
              <w:t>.</w:t>
            </w:r>
            <w:r w:rsidRPr="006507BE">
              <w:rPr>
                <w:rStyle w:val="SpecialBold"/>
              </w:rPr>
              <w:t>5</w:t>
            </w:r>
            <w:r w:rsidRPr="006507BE">
              <w:t>)</w:t>
            </w:r>
          </w:p>
        </w:tc>
      </w:tr>
      <w:tr w:rsidTr="002E3222">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t>There are no concurrent assessment recommendations for this unit.</w:t>
            </w:r>
          </w:p>
        </w:tc>
      </w:tr>
    </w:tbl>
    <w:p w:rsidR="002E3222" w:rsidP="006507BE">
      <w:pPr>
        <w:pStyle w:val="BodyText"/>
      </w:pPr>
    </w:p>
    <w:p w:rsidR="002E3222" w:rsidP="006507BE">
      <w:pPr>
        <w:pStyle w:val="BodyText"/>
      </w:pPr>
    </w:p>
    <w:p w:rsidR="00000000" w:rsidRPr="006507BE" w:rsidP="006507BE">
      <w:pPr>
        <w:pStyle w:val="Heading1"/>
      </w:pPr>
      <w:bookmarkStart w:id="11" w:name="O_256214"/>
      <w:bookmarkEnd w:id="11"/>
      <w:r w:rsidRPr="006507BE">
        <w:t>Range Statement</w:t>
      </w:r>
    </w:p>
    <w:tbl>
      <w:tblPr>
        <w:tblW w:w="0" w:type="auto"/>
        <w:tblLayout w:type="fixed"/>
        <w:tblCellMar>
          <w:left w:w="62" w:type="dxa"/>
          <w:right w:w="62" w:type="dxa"/>
        </w:tblCellMar>
        <w:tblLook w:val="0000"/>
      </w:tblPr>
      <w:tblGrid>
        <w:gridCol w:w="2206"/>
        <w:gridCol w:w="6434"/>
      </w:tblGrid>
      <w:tr w:rsidTr="002E322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rPr>
                <w:rStyle w:val="SpecialBold"/>
              </w:rPr>
              <w:t>RANGE STATEMENT</w:t>
            </w:r>
          </w:p>
        </w:tc>
      </w:tr>
      <w:tr w:rsidTr="002E322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rPr>
                <w:rStyle w:val="SpecialBold"/>
              </w:rPr>
              <w:t>8</w:t>
            </w:r>
            <w:r w:rsidRPr="006507BE">
              <w:t>) This relates to the competency standard unit as a whole providing the range of contexts and conditions to which the Performance Criteria apply. It allows for different work environments and situations that will affect performance.</w:t>
            </w:r>
          </w:p>
        </w:tc>
      </w:tr>
      <w:tr w:rsidTr="002E322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t>This Competency Stand</w:t>
            </w:r>
            <w:r w:rsidRPr="006507BE">
              <w:t>ard Unit shall/may be demonstrated in relation to the maintenance of discrete protection and control devices and may include the following:</w:t>
            </w:r>
          </w:p>
          <w:p w:rsidR="00000000" w:rsidRPr="006507BE" w:rsidP="006507BE">
            <w:pPr>
              <w:pStyle w:val="BodyText"/>
            </w:pPr>
            <w:r w:rsidRPr="006507BE">
              <w:t xml:space="preserve">Overcurrent, and Earth fault relays, Neutral displacement relays, No-volt changeover devices, Discrete auto reclose </w:t>
            </w:r>
            <w:r w:rsidRPr="006507BE">
              <w:t>devices, DC Supplies, Oil surge devices (site maintenance), DC Frame leakage, Trip/control circuits, Alarms and indication, Voltage regulation relays, Parallel operation, Circuit isolation (discrete only) Function tests (discrete only) Thermal overload, Tr</w:t>
            </w:r>
            <w:r w:rsidRPr="006507BE">
              <w:t>ansformer temperature control devices CEL fail devices.</w:t>
            </w:r>
          </w:p>
          <w:p w:rsidR="00000000" w:rsidP="006507BE">
            <w:pPr>
              <w:pStyle w:val="BodyText"/>
              <w:rPr>
                <w:lang w:val="en-NZ"/>
              </w:rPr>
            </w:pPr>
            <w:r w:rsidRPr="006507BE">
              <w:t>The following constants and variables included in the element/Performance Criteria in this unit are fully described in the Definitions Section 1 of this volume and form an integral part of the Range S</w:t>
            </w:r>
            <w:r w:rsidRPr="006507BE">
              <w:t>tatement of this unit:</w:t>
            </w:r>
          </w:p>
        </w:tc>
      </w:tr>
      <w:tr w:rsidTr="002E3222">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6507BE" w:rsidP="006507BE">
            <w:pPr>
              <w:pStyle w:val="ListBullet"/>
            </w:pPr>
            <w:r w:rsidRPr="006507BE">
              <w:t>Appropriate and relevant persons (see Personnel)</w:t>
            </w:r>
          </w:p>
          <w:p w:rsidR="00000000" w:rsidRPr="006507BE" w:rsidP="006507BE">
            <w:pPr>
              <w:pStyle w:val="ListBullet"/>
            </w:pPr>
            <w:r w:rsidRPr="006507BE">
              <w:t>Appropriate authorities</w:t>
            </w:r>
          </w:p>
          <w:p w:rsidR="00000000" w:rsidRPr="006507BE" w:rsidP="006507BE">
            <w:pPr>
              <w:pStyle w:val="ListBullet"/>
            </w:pPr>
            <w:r w:rsidRPr="006507BE">
              <w:t>Appropriate work platform</w:t>
            </w:r>
          </w:p>
          <w:p w:rsidR="00000000" w:rsidRPr="006507BE" w:rsidP="006507BE">
            <w:pPr>
              <w:pStyle w:val="ListBullet"/>
            </w:pPr>
            <w:r w:rsidRPr="006507BE">
              <w:t>Assessing risk</w:t>
            </w:r>
          </w:p>
          <w:p w:rsidR="00000000" w:rsidRPr="006507BE" w:rsidP="006507BE">
            <w:pPr>
              <w:pStyle w:val="ListBullet"/>
            </w:pPr>
            <w:r w:rsidRPr="006507BE">
              <w:t>Assessment</w:t>
            </w:r>
          </w:p>
          <w:p w:rsidR="00000000" w:rsidRPr="006507BE" w:rsidP="006507BE">
            <w:pPr>
              <w:pStyle w:val="ListBullet"/>
            </w:pPr>
            <w:r w:rsidRPr="006507BE">
              <w:t>Authorisation</w:t>
            </w:r>
          </w:p>
          <w:p w:rsidR="00000000" w:rsidRPr="006507BE" w:rsidP="006507BE">
            <w:pPr>
              <w:pStyle w:val="ListBullet"/>
            </w:pPr>
            <w:r w:rsidRPr="006507BE">
              <w:t>Confined space</w:t>
            </w:r>
          </w:p>
          <w:p w:rsidR="00000000" w:rsidRPr="006507BE" w:rsidP="006507BE">
            <w:pPr>
              <w:pStyle w:val="ListBullet"/>
            </w:pPr>
            <w:r w:rsidRPr="006507BE">
              <w:t>Diagnostic, testing and restoration</w:t>
            </w:r>
          </w:p>
          <w:p w:rsidR="00000000" w:rsidRPr="006507BE" w:rsidP="006507BE">
            <w:pPr>
              <w:pStyle w:val="ListBullet"/>
            </w:pPr>
            <w:r w:rsidRPr="006507BE">
              <w:t>Documenting detail work events, record keeping and or storage of information</w:t>
            </w:r>
          </w:p>
          <w:p w:rsidR="00000000" w:rsidRPr="006507BE" w:rsidP="006507BE">
            <w:pPr>
              <w:pStyle w:val="ListBullet"/>
            </w:pPr>
            <w:r w:rsidRPr="006507BE">
              <w:t>Drawings and specifications</w:t>
            </w:r>
          </w:p>
          <w:p w:rsidR="00000000" w:rsidRPr="006507BE" w:rsidP="006507BE">
            <w:pPr>
              <w:pStyle w:val="ListBullet"/>
            </w:pPr>
            <w:r w:rsidRPr="006507BE">
              <w:t>Emergency</w:t>
            </w:r>
          </w:p>
          <w:p w:rsidR="00000000" w:rsidRPr="006507BE" w:rsidP="006507BE">
            <w:pPr>
              <w:pStyle w:val="ListBullet"/>
            </w:pPr>
            <w:r w:rsidRPr="006507BE">
              <w:t>Environmental and sustainable energy procedures</w:t>
            </w:r>
          </w:p>
          <w:p w:rsidR="00000000" w:rsidRPr="006507BE" w:rsidP="006507BE">
            <w:pPr>
              <w:pStyle w:val="ListBullet"/>
            </w:pPr>
            <w:r w:rsidRPr="006507BE">
              <w:t>Environmental legislation</w:t>
            </w:r>
          </w:p>
          <w:p w:rsidR="00000000" w:rsidRPr="006507BE" w:rsidP="006507BE">
            <w:pPr>
              <w:pStyle w:val="ListBullet"/>
            </w:pPr>
            <w:r w:rsidRPr="006507BE">
              <w:t>Environmental management documentation</w:t>
            </w:r>
          </w:p>
          <w:p w:rsidR="00000000" w:rsidRPr="006507BE" w:rsidP="006507BE">
            <w:pPr>
              <w:pStyle w:val="ListBullet"/>
            </w:pPr>
            <w:r w:rsidRPr="006507BE">
              <w:t>Established procedures</w:t>
            </w:r>
          </w:p>
          <w:p w:rsidR="00000000" w:rsidRPr="006507BE" w:rsidP="006507BE">
            <w:pPr>
              <w:pStyle w:val="ListBullet"/>
            </w:pPr>
            <w:r w:rsidRPr="006507BE">
              <w:t xml:space="preserve">Fall </w:t>
            </w:r>
            <w:r w:rsidRPr="006507BE">
              <w:t>prevention</w:t>
            </w:r>
          </w:p>
          <w:p w:rsidR="00000000" w:rsidRPr="006507BE" w:rsidP="006507BE">
            <w:pPr>
              <w:pStyle w:val="ListBullet"/>
            </w:pPr>
            <w:r w:rsidRPr="006507BE">
              <w:t>Hazards</w:t>
            </w:r>
          </w:p>
          <w:p w:rsidR="00000000" w:rsidRPr="006507BE" w:rsidP="006507BE">
            <w:pPr>
              <w:pStyle w:val="ListBullet"/>
            </w:pPr>
            <w:r w:rsidRPr="006507BE">
              <w:t>Identifying hazards</w:t>
            </w:r>
          </w:p>
          <w:p w:rsidR="00000000" w:rsidRPr="006507BE" w:rsidP="006507BE">
            <w:pPr>
              <w:pStyle w:val="ListBullet"/>
            </w:pPr>
            <w:r w:rsidRPr="006507BE">
              <w:t>Inspect</w:t>
            </w:r>
          </w:p>
          <w:p w:rsidR="00000000" w:rsidRPr="006507BE" w:rsidP="006507BE">
            <w:pPr>
              <w:pStyle w:val="ListBullet"/>
            </w:pPr>
            <w:r w:rsidRPr="006507BE">
              <w:t>Legislation</w:t>
            </w:r>
          </w:p>
          <w:p w:rsidR="00000000" w:rsidRPr="006507BE" w:rsidP="006507BE">
            <w:pPr>
              <w:pStyle w:val="ListBullet"/>
            </w:pPr>
            <w:r w:rsidRPr="006507BE">
              <w:t>MSDS</w:t>
            </w:r>
          </w:p>
          <w:p w:rsidR="00000000" w:rsidRPr="006507BE" w:rsidP="006507BE">
            <w:pPr>
              <w:pStyle w:val="ListBullet"/>
            </w:pPr>
            <w:r w:rsidRPr="006507BE">
              <w:t>Notification</w:t>
            </w:r>
          </w:p>
          <w:p w:rsidR="00000000" w:rsidRPr="006507BE" w:rsidP="006507BE">
            <w:pPr>
              <w:pStyle w:val="ListBullet"/>
            </w:pPr>
            <w:r w:rsidRPr="006507BE">
              <w:t>OHS practices</w:t>
            </w:r>
          </w:p>
          <w:p w:rsidR="00000000" w:rsidRPr="006507BE" w:rsidP="006507BE">
            <w:pPr>
              <w:pStyle w:val="ListBullet"/>
            </w:pPr>
            <w:r w:rsidRPr="006507BE">
              <w:t>OHS issues</w:t>
            </w:r>
          </w:p>
          <w:p w:rsidR="00000000" w:rsidRPr="006507BE" w:rsidP="006507BE">
            <w:pPr>
              <w:pStyle w:val="ListBullet"/>
            </w:pPr>
            <w:r w:rsidRPr="006507BE">
              <w:t>Permits and/or permits to work</w:t>
            </w:r>
          </w:p>
          <w:p w:rsidR="00000000" w:rsidRPr="006507BE" w:rsidP="006507BE">
            <w:pPr>
              <w:pStyle w:val="ListBullet"/>
            </w:pPr>
            <w:r w:rsidRPr="006507BE">
              <w:t>Personnel</w:t>
            </w:r>
          </w:p>
          <w:p w:rsidR="00000000" w:rsidRPr="006507BE" w:rsidP="006507BE">
            <w:pPr>
              <w:pStyle w:val="ListBullet"/>
            </w:pPr>
            <w:r w:rsidRPr="006507BE">
              <w:t>Quality assurance systems</w:t>
            </w:r>
          </w:p>
          <w:p w:rsidR="00000000" w:rsidRPr="006507BE" w:rsidP="006507BE">
            <w:pPr>
              <w:pStyle w:val="ListBullet"/>
            </w:pPr>
            <w:r w:rsidRPr="006507BE">
              <w:t>Requirements</w:t>
            </w:r>
          </w:p>
          <w:p w:rsidR="00000000" w:rsidRPr="006507BE" w:rsidP="006507BE">
            <w:pPr>
              <w:pStyle w:val="ListBullet"/>
            </w:pPr>
            <w:r w:rsidRPr="006507BE">
              <w:t>Testing procedures</w:t>
            </w:r>
          </w:p>
          <w:p w:rsidR="00000000" w:rsidRPr="006507BE" w:rsidP="006507BE">
            <w:pPr>
              <w:pStyle w:val="ListBullet"/>
            </w:pPr>
            <w:r w:rsidRPr="006507BE">
              <w:t>Work clearance systems</w:t>
            </w:r>
          </w:p>
        </w:tc>
      </w:tr>
    </w:tbl>
    <w:p w:rsidR="002E3222" w:rsidP="006507BE">
      <w:pPr>
        <w:pStyle w:val="BodyText"/>
      </w:pPr>
    </w:p>
    <w:p w:rsidR="002E3222" w:rsidP="006507BE">
      <w:pPr>
        <w:pStyle w:val="BodyText"/>
      </w:pPr>
    </w:p>
    <w:p w:rsidR="00000000" w:rsidRPr="006507BE" w:rsidP="006507BE">
      <w:pPr>
        <w:pStyle w:val="Heading1"/>
      </w:pPr>
      <w:bookmarkStart w:id="12" w:name="O_297227"/>
      <w:bookmarkEnd w:id="12"/>
      <w:r w:rsidRPr="006507BE">
        <w:t>Unit Sector(s)</w:t>
      </w:r>
    </w:p>
    <w:p w:rsidR="00000000" w:rsidRPr="006507BE" w:rsidP="006507BE">
      <w:pPr>
        <w:pStyle w:val="BodyText"/>
      </w:pPr>
      <w:r w:rsidRPr="006507BE">
        <w:t>Not Applicable</w:t>
      </w:r>
    </w:p>
    <w:p w:rsidR="00000000" w:rsidRPr="006507BE" w:rsidP="006507BE">
      <w:pPr>
        <w:pStyle w:val="AllowPageBreak"/>
      </w:pPr>
    </w:p>
    <w:p w:rsidR="00000000" w:rsidRPr="006507BE" w:rsidP="006507BE">
      <w:pPr>
        <w:pStyle w:val="Heading1"/>
      </w:pPr>
      <w:bookmarkStart w:id="13" w:name="O_231882"/>
      <w:bookmarkEnd w:id="13"/>
      <w:r w:rsidRPr="006507BE">
        <w:t>2.2) Literacy and numeracy skills</w:t>
      </w:r>
    </w:p>
    <w:tbl>
      <w:tblPr>
        <w:tblW w:w="0" w:type="auto"/>
        <w:tblLayout w:type="fixed"/>
        <w:tblCellMar>
          <w:left w:w="62" w:type="dxa"/>
          <w:right w:w="62" w:type="dxa"/>
        </w:tblCellMar>
        <w:tblLook w:val="0000"/>
      </w:tblPr>
      <w:tblGrid>
        <w:gridCol w:w="1483"/>
        <w:gridCol w:w="1207"/>
        <w:gridCol w:w="1776"/>
        <w:gridCol w:w="1208"/>
        <w:gridCol w:w="1758"/>
        <w:gridCol w:w="1208"/>
      </w:tblGrid>
      <w:tr w:rsidTr="002E3222">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2</w:t>
            </w:r>
            <w:r w:rsidRPr="006507BE">
              <w:t>.</w:t>
            </w:r>
            <w:r w:rsidRPr="006507BE">
              <w:rPr>
                <w:rStyle w:val="SpecialBold"/>
              </w:rPr>
              <w:t>2</w:t>
            </w:r>
            <w:r w:rsidRPr="006507BE">
              <w:t xml:space="preserve">) </w:t>
            </w:r>
            <w:r w:rsidRPr="006507BE">
              <w:rPr>
                <w:rStyle w:val="SpecialBold"/>
              </w:rPr>
              <w:t>Literacy and numeracy skills</w:t>
            </w:r>
          </w:p>
          <w:p w:rsidR="00000000" w:rsidP="006507BE">
            <w:pPr>
              <w:pStyle w:val="BodyText"/>
              <w:rPr>
                <w:lang w:val="en-NZ"/>
              </w:rPr>
            </w:pPr>
            <w:r w:rsidRPr="006507BE">
              <w:t>Participants are best equipped to achieve this unit if they have reading, writing and numeracy skills indicated by the following scales. Description of each scale is given in Volume 2, Part 3 "Literacy and Numeracy"</w:t>
            </w:r>
          </w:p>
        </w:tc>
      </w:tr>
      <w:tr w:rsidTr="002E3222">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Reading</w:t>
            </w:r>
          </w:p>
        </w:tc>
        <w:tc>
          <w:tcPr>
            <w:tcW w:w="1207"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4</w:t>
            </w:r>
          </w:p>
        </w:tc>
        <w:tc>
          <w:tcPr>
            <w:tcW w:w="1776"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Writing</w:t>
            </w:r>
          </w:p>
        </w:tc>
        <w:tc>
          <w:tcPr>
            <w:tcW w:w="1208"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4</w:t>
            </w:r>
          </w:p>
        </w:tc>
        <w:tc>
          <w:tcPr>
            <w:tcW w:w="1758"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t>Numeracy</w:t>
            </w:r>
          </w:p>
        </w:tc>
        <w:tc>
          <w:tcPr>
            <w:tcW w:w="1208"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t>4</w:t>
            </w:r>
          </w:p>
        </w:tc>
      </w:tr>
    </w:tbl>
    <w:p w:rsidR="002E3222" w:rsidP="006507BE">
      <w:pPr>
        <w:pStyle w:val="BodyText"/>
      </w:pPr>
    </w:p>
    <w:p w:rsidR="002E3222" w:rsidP="006507BE">
      <w:pPr>
        <w:pStyle w:val="BodyText"/>
      </w:pPr>
    </w:p>
    <w:p w:rsidR="00000000" w:rsidRPr="006507BE" w:rsidP="006507BE">
      <w:pPr>
        <w:pStyle w:val="Heading1"/>
      </w:pPr>
      <w:bookmarkStart w:id="14" w:name="O_231885"/>
      <w:bookmarkEnd w:id="14"/>
      <w:r w:rsidRPr="006507BE">
        <w:t>Competency Field</w:t>
      </w:r>
    </w:p>
    <w:tbl>
      <w:tblPr>
        <w:tblW w:w="0" w:type="auto"/>
        <w:tblLayout w:type="fixed"/>
        <w:tblCellMar>
          <w:left w:w="62" w:type="dxa"/>
          <w:right w:w="62" w:type="dxa"/>
        </w:tblCellMar>
        <w:tblLook w:val="0000"/>
      </w:tblPr>
      <w:tblGrid>
        <w:gridCol w:w="2757"/>
        <w:gridCol w:w="5883"/>
      </w:tblGrid>
      <w:tr w:rsidTr="002E3222">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6507BE">
            <w:pPr>
              <w:pStyle w:val="BodyText"/>
              <w:rPr>
                <w:lang w:val="en-NZ"/>
              </w:rPr>
            </w:pPr>
            <w:r w:rsidRPr="006507BE">
              <w:rPr>
                <w:rStyle w:val="SpecialBold"/>
              </w:rPr>
              <w:t>5</w:t>
            </w:r>
            <w:r w:rsidRPr="006507BE">
              <w:t>)</w:t>
            </w:r>
          </w:p>
        </w:tc>
      </w:tr>
      <w:tr w:rsidTr="002E322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6507BE" w:rsidP="006507BE">
            <w:pPr>
              <w:pStyle w:val="BodyText"/>
            </w:pPr>
            <w:r w:rsidRPr="006507BE">
              <w:t>Substation Units</w:t>
            </w:r>
          </w:p>
        </w:tc>
      </w:tr>
    </w:tbl>
    <w:p w:rsidR="002E3222" w:rsidP="006507BE">
      <w:pPr>
        <w:pStyle w:val="BodyText"/>
      </w:pPr>
    </w:p>
    <w:p w:rsidR="002E3222" w:rsidP="006507BE">
      <w:pPr>
        <w:pStyle w:val="BodyText"/>
      </w:pPr>
    </w:p>
    <w:p w:rsidR="00000000" w:rsidRPr="006507BE" w:rsidP="006507BE"/>
    <w:sectPr w:rsidSect="006507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7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222" w:rsidP="002E32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7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222" w:rsidP="006507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E3222" w:rsidP="006507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E3222" w:rsidP="006507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7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222" w:rsidP="002E322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7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222" w:rsidP="006507BE">
    <w:pPr>
      <w:pStyle w:val="Header"/>
      <w:framePr w:wrap="around"/>
    </w:pPr>
    <w:r>
      <w:fldChar w:fldCharType="begin"/>
    </w:r>
    <w:r>
      <w:instrText xml:space="preserve"> TITLE   \* MERGEFORMAT </w:instrText>
    </w:r>
    <w:r>
      <w:fldChar w:fldCharType="separate"/>
    </w:r>
    <w:r>
      <w:t>UETTDRSB15B Maintain discrete protection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3222" w:rsidP="006507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8C39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0271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7642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7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07BE"/>
    <w:pPr>
      <w:spacing w:before="360" w:after="60"/>
      <w:outlineLvl w:val="0"/>
    </w:pPr>
    <w:rPr>
      <w:sz w:val="32"/>
    </w:rPr>
  </w:style>
  <w:style w:type="paragraph" w:styleId="Heading2">
    <w:name w:val="heading 2"/>
    <w:basedOn w:val="HeadingBase"/>
    <w:next w:val="BodyText"/>
    <w:link w:val="Heading2Char"/>
    <w:qFormat/>
    <w:rsid w:val="006507BE"/>
    <w:pPr>
      <w:keepLines/>
      <w:spacing w:before="240" w:after="120"/>
      <w:outlineLvl w:val="1"/>
    </w:pPr>
    <w:rPr>
      <w:sz w:val="28"/>
      <w:szCs w:val="40"/>
    </w:rPr>
  </w:style>
  <w:style w:type="paragraph" w:styleId="Heading3">
    <w:name w:val="heading 3"/>
    <w:basedOn w:val="HeadingBase"/>
    <w:next w:val="BodyText"/>
    <w:link w:val="Heading3Char"/>
    <w:qFormat/>
    <w:rsid w:val="006507BE"/>
    <w:pPr>
      <w:spacing w:before="180" w:after="120"/>
      <w:outlineLvl w:val="2"/>
    </w:pPr>
    <w:rPr>
      <w:spacing w:val="-10"/>
      <w:kern w:val="32"/>
    </w:rPr>
  </w:style>
  <w:style w:type="paragraph" w:styleId="Heading4">
    <w:name w:val="heading 4"/>
    <w:basedOn w:val="HeadingBase"/>
    <w:next w:val="BodyText"/>
    <w:link w:val="Heading4Char"/>
    <w:qFormat/>
    <w:rsid w:val="006507BE"/>
    <w:pPr>
      <w:spacing w:before="160" w:after="120"/>
      <w:outlineLvl w:val="3"/>
    </w:pPr>
    <w:rPr>
      <w:sz w:val="22"/>
    </w:rPr>
  </w:style>
  <w:style w:type="paragraph" w:styleId="Heading5">
    <w:name w:val="heading 5"/>
    <w:basedOn w:val="HeadingBase"/>
    <w:next w:val="Normal"/>
    <w:link w:val="Heading5Char"/>
    <w:qFormat/>
    <w:rsid w:val="006507BE"/>
    <w:pPr>
      <w:spacing w:before="80"/>
      <w:outlineLvl w:val="4"/>
    </w:pPr>
    <w:rPr>
      <w:color w:val="918585"/>
      <w:sz w:val="20"/>
    </w:rPr>
  </w:style>
  <w:style w:type="paragraph" w:styleId="Heading6">
    <w:name w:val="heading 6"/>
    <w:basedOn w:val="HeadingBase"/>
    <w:next w:val="Normal"/>
    <w:link w:val="Heading6Char"/>
    <w:qFormat/>
    <w:rsid w:val="006507BE"/>
    <w:pPr>
      <w:spacing w:before="60"/>
      <w:outlineLvl w:val="5"/>
    </w:pPr>
    <w:rPr>
      <w:color w:val="918585"/>
      <w:sz w:val="20"/>
    </w:rPr>
  </w:style>
  <w:style w:type="paragraph" w:styleId="Heading7">
    <w:name w:val="heading 7"/>
    <w:basedOn w:val="Normal"/>
    <w:next w:val="Normal"/>
    <w:link w:val="Heading7Char"/>
    <w:qFormat/>
    <w:rsid w:val="006507BE"/>
    <w:pPr>
      <w:ind w:left="720"/>
      <w:outlineLvl w:val="6"/>
    </w:pPr>
    <w:rPr>
      <w:i/>
    </w:rPr>
  </w:style>
  <w:style w:type="paragraph" w:styleId="Heading8">
    <w:name w:val="heading 8"/>
    <w:basedOn w:val="Normal"/>
    <w:next w:val="Normal"/>
    <w:link w:val="Heading8Char"/>
    <w:qFormat/>
    <w:rsid w:val="006507BE"/>
    <w:pPr>
      <w:ind w:left="720"/>
      <w:outlineLvl w:val="7"/>
    </w:pPr>
    <w:rPr>
      <w:i/>
    </w:rPr>
  </w:style>
  <w:style w:type="paragraph" w:styleId="Heading9">
    <w:name w:val="heading 9"/>
    <w:basedOn w:val="Normal"/>
    <w:next w:val="Normal"/>
    <w:link w:val="Heading9Char"/>
    <w:qFormat/>
    <w:rsid w:val="006507BE"/>
    <w:pPr>
      <w:ind w:left="720"/>
      <w:outlineLvl w:val="8"/>
    </w:pPr>
    <w:rPr>
      <w:i/>
    </w:rPr>
  </w:style>
  <w:style w:type="character" w:default="1" w:styleId="DefaultParagraphFont">
    <w:name w:val="Default Paragraph Font"/>
    <w:uiPriority w:val="1"/>
    <w:unhideWhenUsed/>
    <w:rsid w:val="006507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7BE"/>
  </w:style>
  <w:style w:type="character" w:customStyle="1" w:styleId="Heading1Char">
    <w:name w:val="Heading 1 Char"/>
    <w:basedOn w:val="DefaultParagraphFont"/>
    <w:link w:val="Heading1"/>
    <w:rsid w:val="006507BE"/>
    <w:rPr>
      <w:rFonts w:ascii="Times New Roman" w:eastAsia="Times New Roman" w:hAnsi="Times New Roman" w:cs="Times New Roman"/>
      <w:b/>
      <w:sz w:val="32"/>
      <w:szCs w:val="20"/>
      <w:lang w:eastAsia="en-US"/>
    </w:rPr>
  </w:style>
  <w:style w:type="paragraph" w:styleId="BodyText">
    <w:name w:val="Body Text"/>
    <w:basedOn w:val="Normal"/>
    <w:link w:val="BodyTextChar"/>
    <w:rsid w:val="006507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07BE"/>
    <w:rPr>
      <w:rFonts w:ascii="Times New Roman" w:eastAsia="Times New Roman" w:hAnsi="Times New Roman" w:cs="Times New Roman"/>
      <w:sz w:val="24"/>
      <w:lang w:val="en-US" w:eastAsia="en-US"/>
    </w:rPr>
  </w:style>
  <w:style w:type="paragraph" w:styleId="Footer">
    <w:name w:val="footer"/>
    <w:basedOn w:val="Normal"/>
    <w:link w:val="FooterChar"/>
    <w:rsid w:val="006507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07BE"/>
    <w:rPr>
      <w:rFonts w:ascii="Times New Roman" w:eastAsia="Times New Roman" w:hAnsi="Times New Roman" w:cs="Times New Roman"/>
      <w:sz w:val="16"/>
      <w:lang w:val="en-US" w:eastAsia="en-US"/>
    </w:rPr>
  </w:style>
  <w:style w:type="paragraph" w:styleId="ListBullet">
    <w:name w:val="List Bullet"/>
    <w:basedOn w:val="List"/>
    <w:rsid w:val="006507BE"/>
    <w:pPr>
      <w:numPr>
        <w:numId w:val="13"/>
      </w:numPr>
      <w:tabs>
        <w:tab w:val="clear" w:pos="340"/>
      </w:tabs>
      <w:spacing w:before="40" w:after="40"/>
    </w:pPr>
  </w:style>
  <w:style w:type="character" w:customStyle="1" w:styleId="SpecialBold">
    <w:name w:val="Special Bold"/>
    <w:basedOn w:val="DefaultParagraphFont"/>
    <w:rsid w:val="006507BE"/>
    <w:rPr>
      <w:b/>
      <w:spacing w:val="0"/>
    </w:rPr>
  </w:style>
  <w:style w:type="paragraph" w:styleId="ListBullet2">
    <w:name w:val="List Bullet 2"/>
    <w:basedOn w:val="List2"/>
    <w:rsid w:val="006507BE"/>
    <w:pPr>
      <w:numPr>
        <w:numId w:val="14"/>
      </w:numPr>
      <w:tabs>
        <w:tab w:val="clear" w:pos="680"/>
      </w:tabs>
    </w:pPr>
  </w:style>
  <w:style w:type="paragraph" w:styleId="Header">
    <w:name w:val="header"/>
    <w:basedOn w:val="Normal"/>
    <w:link w:val="HeaderChar"/>
    <w:rsid w:val="006507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07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07BE"/>
    <w:pPr>
      <w:spacing w:before="240" w:after="120"/>
      <w:outlineLvl w:val="0"/>
    </w:pPr>
    <w:rPr>
      <w:rFonts w:ascii="Times New Roman" w:hAnsi="Times New Roman"/>
      <w:b/>
      <w:sz w:val="28"/>
    </w:rPr>
  </w:style>
  <w:style w:type="paragraph" w:customStyle="1" w:styleId="AllowPageBreak">
    <w:name w:val="AllowPageBreak"/>
    <w:rsid w:val="006507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07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07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07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07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07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7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07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07BE"/>
    <w:rPr>
      <w:rFonts w:ascii="Courier New" w:eastAsia="Times New Roman" w:hAnsi="Courier New" w:cs="Times New Roman"/>
      <w:i/>
      <w:szCs w:val="20"/>
      <w:lang w:val="en-US" w:eastAsia="en-US"/>
    </w:rPr>
  </w:style>
  <w:style w:type="paragraph" w:customStyle="1" w:styleId="HeadingBase">
    <w:name w:val="Heading Base"/>
    <w:rsid w:val="006507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7BE"/>
    <w:pPr>
      <w:tabs>
        <w:tab w:val="right" w:leader="dot" w:pos="9072"/>
      </w:tabs>
      <w:ind w:left="567"/>
    </w:pPr>
    <w:rPr>
      <w:szCs w:val="22"/>
    </w:rPr>
  </w:style>
  <w:style w:type="paragraph" w:customStyle="1" w:styleId="TOCBase">
    <w:name w:val="TOC Base"/>
    <w:rsid w:val="006507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7BE"/>
    <w:pPr>
      <w:tabs>
        <w:tab w:val="right" w:leader="dot" w:pos="9072"/>
      </w:tabs>
      <w:spacing w:before="40" w:after="40"/>
      <w:ind w:left="284"/>
    </w:pPr>
    <w:rPr>
      <w:rFonts w:ascii="Times New Roman" w:hAnsi="Times New Roman"/>
    </w:rPr>
  </w:style>
  <w:style w:type="paragraph" w:styleId="TOC1">
    <w:name w:val="toc 1"/>
    <w:basedOn w:val="TOCBase"/>
    <w:next w:val="Normal"/>
    <w:rsid w:val="006507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07BE"/>
    <w:pPr>
      <w:spacing w:before="5040"/>
      <w:jc w:val="center"/>
    </w:pPr>
    <w:rPr>
      <w:sz w:val="48"/>
      <w:szCs w:val="72"/>
      <w:lang w:val="en-US"/>
    </w:rPr>
  </w:style>
  <w:style w:type="character" w:customStyle="1" w:styleId="TitleChar">
    <w:name w:val="Title Char"/>
    <w:basedOn w:val="DefaultParagraphFont"/>
    <w:link w:val="Title"/>
    <w:rsid w:val="006507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7BE"/>
    <w:pPr>
      <w:tabs>
        <w:tab w:val="left" w:pos="3600"/>
        <w:tab w:val="left" w:pos="3958"/>
      </w:tabs>
    </w:pPr>
  </w:style>
  <w:style w:type="paragraph" w:styleId="List">
    <w:name w:val="List"/>
    <w:basedOn w:val="BodyText"/>
    <w:next w:val="BodyText"/>
    <w:rsid w:val="006507BE"/>
    <w:pPr>
      <w:tabs>
        <w:tab w:val="left" w:pos="340"/>
      </w:tabs>
      <w:spacing w:before="60" w:after="60"/>
      <w:ind w:left="340" w:hanging="340"/>
    </w:pPr>
  </w:style>
  <w:style w:type="paragraph" w:customStyle="1" w:styleId="Note">
    <w:name w:val="Note"/>
    <w:basedOn w:val="BodyText"/>
    <w:rsid w:val="006507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07BE"/>
    <w:pPr>
      <w:framePr w:wrap="auto" w:hAnchor="text" w:y="6049"/>
    </w:pPr>
    <w:rPr>
      <w:color w:val="000000"/>
      <w:sz w:val="40"/>
    </w:rPr>
  </w:style>
  <w:style w:type="paragraph" w:customStyle="1" w:styleId="TOCTitle">
    <w:name w:val="TOCTitle"/>
    <w:basedOn w:val="Heading1"/>
    <w:rsid w:val="006507BE"/>
    <w:pPr>
      <w:spacing w:after="240"/>
      <w:jc w:val="center"/>
      <w:outlineLvl w:val="9"/>
    </w:pPr>
    <w:rPr>
      <w:caps/>
    </w:rPr>
  </w:style>
  <w:style w:type="paragraph" w:customStyle="1" w:styleId="Version">
    <w:name w:val="Version"/>
    <w:rsid w:val="006507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07BE"/>
    <w:pPr>
      <w:keepNext w:val="0"/>
      <w:tabs>
        <w:tab w:val="right" w:pos="4176"/>
      </w:tabs>
      <w:ind w:left="198" w:hanging="198"/>
    </w:pPr>
    <w:rPr>
      <w:rFonts w:ascii="Garamond" w:hAnsi="Garamond"/>
    </w:rPr>
  </w:style>
  <w:style w:type="paragraph" w:styleId="IndexHeading">
    <w:name w:val="index heading"/>
    <w:basedOn w:val="Normal"/>
    <w:next w:val="Index1"/>
    <w:semiHidden/>
    <w:rsid w:val="006507BE"/>
    <w:pPr>
      <w:spacing w:before="120" w:after="120"/>
    </w:pPr>
    <w:rPr>
      <w:rFonts w:ascii="Arial" w:hAnsi="Arial"/>
      <w:b/>
      <w:color w:val="918585"/>
      <w:sz w:val="24"/>
    </w:rPr>
  </w:style>
  <w:style w:type="paragraph" w:customStyle="1" w:styleId="Chapter">
    <w:name w:val="Chapter"/>
    <w:basedOn w:val="Normal"/>
    <w:rsid w:val="006507BE"/>
    <w:pPr>
      <w:spacing w:before="240"/>
    </w:pPr>
    <w:rPr>
      <w:rFonts w:ascii="Times New Roman" w:hAnsi="Times New Roman"/>
      <w:smallCaps/>
      <w:spacing w:val="80"/>
      <w:sz w:val="28"/>
    </w:rPr>
  </w:style>
  <w:style w:type="paragraph" w:customStyle="1" w:styleId="InChapter">
    <w:name w:val="InChapter"/>
    <w:basedOn w:val="Heading3"/>
    <w:rsid w:val="006507BE"/>
    <w:pPr>
      <w:spacing w:after="240"/>
      <w:outlineLvl w:val="9"/>
    </w:pPr>
    <w:rPr>
      <w:noProof/>
    </w:rPr>
  </w:style>
  <w:style w:type="paragraph" w:styleId="Index2">
    <w:name w:val="index 2"/>
    <w:basedOn w:val="Normal"/>
    <w:next w:val="Normal"/>
    <w:semiHidden/>
    <w:rsid w:val="006507BE"/>
    <w:pPr>
      <w:tabs>
        <w:tab w:val="right" w:pos="4176"/>
      </w:tabs>
      <w:ind w:left="568" w:hanging="284"/>
    </w:pPr>
    <w:rPr>
      <w:rFonts w:ascii="Garamond" w:hAnsi="Garamond"/>
    </w:rPr>
  </w:style>
  <w:style w:type="paragraph" w:customStyle="1" w:styleId="Byline">
    <w:name w:val="Byline"/>
    <w:rsid w:val="006507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7BE"/>
    <w:pPr>
      <w:tabs>
        <w:tab w:val="clear" w:pos="3600"/>
        <w:tab w:val="clear" w:pos="3958"/>
      </w:tabs>
      <w:jc w:val="right"/>
    </w:pPr>
  </w:style>
  <w:style w:type="character" w:styleId="Emphasis">
    <w:name w:val="Emphasis"/>
    <w:basedOn w:val="DefaultParagraphFont"/>
    <w:qFormat/>
    <w:rsid w:val="006507BE"/>
    <w:rPr>
      <w:i/>
    </w:rPr>
  </w:style>
  <w:style w:type="paragraph" w:styleId="Caption">
    <w:name w:val="caption"/>
    <w:basedOn w:val="BodyText"/>
    <w:next w:val="Normal"/>
    <w:qFormat/>
    <w:rsid w:val="006507BE"/>
    <w:pPr>
      <w:framePr w:w="2268" w:hSpace="181" w:vSpace="181" w:wrap="around" w:vAnchor="text" w:hAnchor="page" w:x="1135" w:y="285" w:anchorLock="1"/>
    </w:pPr>
    <w:rPr>
      <w:i/>
    </w:rPr>
  </w:style>
  <w:style w:type="paragraph" w:customStyle="1" w:styleId="MiniTOCTitle">
    <w:name w:val="MiniTOCTitle"/>
    <w:basedOn w:val="Heading4"/>
    <w:rsid w:val="006507BE"/>
    <w:pPr>
      <w:spacing w:before="240"/>
      <w:outlineLvl w:val="9"/>
    </w:pPr>
    <w:rPr>
      <w:noProof/>
      <w:sz w:val="24"/>
    </w:rPr>
  </w:style>
  <w:style w:type="paragraph" w:customStyle="1" w:styleId="MiniTOCItem">
    <w:name w:val="MiniTOCItem"/>
    <w:basedOn w:val="ListBullet"/>
    <w:rsid w:val="006507BE"/>
    <w:pPr>
      <w:numPr>
        <w:numId w:val="0"/>
      </w:numPr>
      <w:tabs>
        <w:tab w:val="right" w:leader="dot" w:pos="6521"/>
      </w:tabs>
      <w:spacing w:before="0" w:after="0"/>
    </w:pPr>
  </w:style>
  <w:style w:type="paragraph" w:customStyle="1" w:styleId="TOFTitle">
    <w:name w:val="TOFTitle"/>
    <w:basedOn w:val="TOCTitle"/>
    <w:rsid w:val="006507BE"/>
  </w:style>
  <w:style w:type="paragraph" w:styleId="TableofFigures">
    <w:name w:val="table of figures"/>
    <w:basedOn w:val="Normal"/>
    <w:next w:val="Normal"/>
    <w:semiHidden/>
    <w:rsid w:val="006507BE"/>
    <w:pPr>
      <w:tabs>
        <w:tab w:val="right" w:leader="dot" w:pos="9072"/>
      </w:tabs>
      <w:ind w:left="970" w:hanging="403"/>
    </w:pPr>
    <w:rPr>
      <w:rFonts w:ascii="Times New Roman" w:hAnsi="Times New Roman"/>
      <w:b/>
    </w:rPr>
  </w:style>
  <w:style w:type="paragraph" w:styleId="ListNumber">
    <w:name w:val="List Number"/>
    <w:basedOn w:val="List"/>
    <w:rsid w:val="006507BE"/>
    <w:pPr>
      <w:numPr>
        <w:numId w:val="11"/>
      </w:numPr>
    </w:pPr>
  </w:style>
  <w:style w:type="character" w:customStyle="1" w:styleId="WingdingSymbols">
    <w:name w:val="Wingding Symbols"/>
    <w:rsid w:val="006507BE"/>
    <w:rPr>
      <w:rFonts w:ascii="Wingdings" w:hAnsi="Wingdings"/>
    </w:rPr>
  </w:style>
  <w:style w:type="paragraph" w:customStyle="1" w:styleId="TableHeading">
    <w:name w:val="Table Heading"/>
    <w:basedOn w:val="HeadingBase"/>
    <w:rsid w:val="006507BE"/>
    <w:pPr>
      <w:keepLines/>
      <w:pBdr>
        <w:bottom w:val="single" w:sz="6" w:space="1" w:color="918585"/>
      </w:pBdr>
      <w:spacing w:before="240"/>
    </w:pPr>
  </w:style>
  <w:style w:type="character" w:customStyle="1" w:styleId="HotSpot">
    <w:name w:val="HotSpot"/>
    <w:rsid w:val="006507BE"/>
    <w:rPr>
      <w:color w:val="0033CC"/>
      <w:u w:val="none"/>
    </w:rPr>
  </w:style>
  <w:style w:type="paragraph" w:customStyle="1" w:styleId="BodyTextRight">
    <w:name w:val="Body Text Right"/>
    <w:basedOn w:val="BodyText"/>
    <w:rsid w:val="006507BE"/>
    <w:pPr>
      <w:spacing w:before="0" w:after="0"/>
      <w:jc w:val="right"/>
    </w:pPr>
  </w:style>
  <w:style w:type="paragraph" w:styleId="Index3">
    <w:name w:val="index 3"/>
    <w:basedOn w:val="ListNumber2"/>
    <w:next w:val="Normal"/>
    <w:semiHidden/>
    <w:rsid w:val="006507BE"/>
    <w:pPr>
      <w:numPr>
        <w:numId w:val="0"/>
      </w:numPr>
      <w:tabs>
        <w:tab w:val="right" w:leader="dot" w:pos="4176"/>
      </w:tabs>
    </w:pPr>
  </w:style>
  <w:style w:type="paragraph" w:styleId="ListNumber2">
    <w:name w:val="List Number 2"/>
    <w:basedOn w:val="List2"/>
    <w:rsid w:val="006507BE"/>
    <w:pPr>
      <w:numPr>
        <w:numId w:val="10"/>
      </w:numPr>
      <w:tabs>
        <w:tab w:val="clear" w:pos="1060"/>
      </w:tabs>
    </w:pPr>
  </w:style>
  <w:style w:type="paragraph" w:customStyle="1" w:styleId="MarginNote">
    <w:name w:val="Margin Note"/>
    <w:basedOn w:val="BodyText"/>
    <w:rsid w:val="006507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7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07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07BE"/>
    <w:rPr>
      <w:sz w:val="32"/>
    </w:rPr>
  </w:style>
  <w:style w:type="paragraph" w:customStyle="1" w:styleId="HeadingProcedure">
    <w:name w:val="Heading Procedure"/>
    <w:basedOn w:val="HeadingBase"/>
    <w:next w:val="Normal"/>
    <w:rsid w:val="006507BE"/>
    <w:pPr>
      <w:tabs>
        <w:tab w:val="left" w:pos="0"/>
      </w:tabs>
      <w:spacing w:before="120" w:after="60"/>
    </w:pPr>
    <w:rPr>
      <w:i/>
      <w:color w:val="918585"/>
      <w:sz w:val="22"/>
    </w:rPr>
  </w:style>
  <w:style w:type="paragraph" w:customStyle="1" w:styleId="TableBodyText">
    <w:name w:val="Table Body Text"/>
    <w:basedOn w:val="BodyText"/>
    <w:rsid w:val="006507BE"/>
    <w:pPr>
      <w:spacing w:before="60" w:after="60"/>
    </w:pPr>
  </w:style>
  <w:style w:type="paragraph" w:styleId="ListContinue">
    <w:name w:val="List Continue"/>
    <w:basedOn w:val="List"/>
    <w:rsid w:val="006507BE"/>
    <w:pPr>
      <w:ind w:firstLine="0"/>
    </w:pPr>
  </w:style>
  <w:style w:type="paragraph" w:customStyle="1" w:styleId="ListNote">
    <w:name w:val="List Note"/>
    <w:basedOn w:val="List"/>
    <w:rsid w:val="006507BE"/>
    <w:pPr>
      <w:pBdr>
        <w:top w:val="single" w:sz="6" w:space="2" w:color="918585"/>
        <w:bottom w:val="single" w:sz="6" w:space="2" w:color="918585"/>
      </w:pBdr>
      <w:tabs>
        <w:tab w:val="left" w:pos="1021"/>
      </w:tabs>
      <w:ind w:firstLine="0"/>
    </w:pPr>
  </w:style>
  <w:style w:type="paragraph" w:customStyle="1" w:styleId="Warning">
    <w:name w:val="Warning"/>
    <w:basedOn w:val="BodyText"/>
    <w:rsid w:val="006507BE"/>
    <w:pPr>
      <w:shd w:val="clear" w:color="auto" w:fill="D9D9D9"/>
      <w:tabs>
        <w:tab w:val="left" w:pos="992"/>
      </w:tabs>
      <w:ind w:left="119" w:right="119"/>
    </w:pPr>
    <w:rPr>
      <w:sz w:val="20"/>
    </w:rPr>
  </w:style>
  <w:style w:type="paragraph" w:customStyle="1" w:styleId="MarginIcons">
    <w:name w:val="Margin Icons"/>
    <w:basedOn w:val="BodyText"/>
    <w:rsid w:val="006507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07BE"/>
    <w:rPr>
      <w:rFonts w:ascii="Courier New" w:hAnsi="Courier New"/>
    </w:rPr>
  </w:style>
  <w:style w:type="paragraph" w:customStyle="1" w:styleId="NoteBullet">
    <w:name w:val="Note Bullet"/>
    <w:basedOn w:val="Note"/>
    <w:rsid w:val="006507BE"/>
    <w:pPr>
      <w:tabs>
        <w:tab w:val="clear" w:pos="680"/>
      </w:tabs>
      <w:spacing w:before="60" w:after="60"/>
    </w:pPr>
  </w:style>
  <w:style w:type="paragraph" w:customStyle="1" w:styleId="SubHeading2">
    <w:name w:val="SubHeading2"/>
    <w:basedOn w:val="HeadingBase"/>
    <w:rsid w:val="006507BE"/>
    <w:pPr>
      <w:spacing w:before="240" w:after="60"/>
    </w:pPr>
    <w:rPr>
      <w:sz w:val="20"/>
    </w:rPr>
  </w:style>
  <w:style w:type="paragraph" w:customStyle="1" w:styleId="SubHeading1">
    <w:name w:val="SubHeading1"/>
    <w:basedOn w:val="HeadingBase"/>
    <w:rsid w:val="006507BE"/>
    <w:pPr>
      <w:spacing w:before="240" w:after="60"/>
    </w:pPr>
    <w:rPr>
      <w:color w:val="918585"/>
      <w:sz w:val="22"/>
    </w:rPr>
  </w:style>
  <w:style w:type="paragraph" w:customStyle="1" w:styleId="SideHeading">
    <w:name w:val="Side Heading"/>
    <w:basedOn w:val="HeadingBase"/>
    <w:rsid w:val="006507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7BE"/>
    <w:pPr>
      <w:numPr>
        <w:numId w:val="12"/>
      </w:numPr>
    </w:pPr>
  </w:style>
  <w:style w:type="paragraph" w:styleId="PlainText">
    <w:name w:val="Plain Text"/>
    <w:basedOn w:val="Normal"/>
    <w:link w:val="PlainTextChar"/>
    <w:rsid w:val="006507BE"/>
    <w:rPr>
      <w:sz w:val="20"/>
    </w:rPr>
  </w:style>
  <w:style w:type="character" w:customStyle="1" w:styleId="PlainTextChar">
    <w:name w:val="Plain Text Char"/>
    <w:basedOn w:val="DefaultParagraphFont"/>
    <w:link w:val="PlainText"/>
    <w:rsid w:val="006507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07BE"/>
    <w:rPr>
      <w:b/>
      <w:smallCaps/>
    </w:rPr>
  </w:style>
  <w:style w:type="paragraph" w:customStyle="1" w:styleId="TableListNumber">
    <w:name w:val="Table List Number"/>
    <w:basedOn w:val="ListNumber"/>
    <w:rsid w:val="006507BE"/>
    <w:pPr>
      <w:numPr>
        <w:numId w:val="0"/>
      </w:numPr>
    </w:pPr>
  </w:style>
  <w:style w:type="paragraph" w:styleId="TOC4">
    <w:name w:val="toc 4"/>
    <w:basedOn w:val="TOCBase"/>
    <w:next w:val="Normal"/>
    <w:semiHidden/>
    <w:rsid w:val="006507BE"/>
    <w:pPr>
      <w:tabs>
        <w:tab w:val="right" w:leader="dot" w:pos="9071"/>
      </w:tabs>
      <w:ind w:left="1701"/>
    </w:pPr>
  </w:style>
  <w:style w:type="paragraph" w:customStyle="1" w:styleId="ListAlpha">
    <w:name w:val="List Alpha"/>
    <w:basedOn w:val="List"/>
    <w:rsid w:val="006507BE"/>
    <w:pPr>
      <w:numPr>
        <w:numId w:val="9"/>
      </w:numPr>
    </w:pPr>
  </w:style>
  <w:style w:type="paragraph" w:customStyle="1" w:styleId="ListAlpha2">
    <w:name w:val="List Alpha 2"/>
    <w:basedOn w:val="List2"/>
    <w:rsid w:val="006507BE"/>
    <w:pPr>
      <w:numPr>
        <w:numId w:val="8"/>
      </w:numPr>
    </w:pPr>
  </w:style>
  <w:style w:type="paragraph" w:styleId="List2">
    <w:name w:val="List 2"/>
    <w:basedOn w:val="BodyText"/>
    <w:rsid w:val="006507BE"/>
    <w:pPr>
      <w:tabs>
        <w:tab w:val="left" w:pos="680"/>
      </w:tabs>
      <w:spacing w:before="60" w:after="60"/>
      <w:ind w:left="680" w:hanging="340"/>
    </w:pPr>
  </w:style>
  <w:style w:type="paragraph" w:styleId="List3">
    <w:name w:val="List 3"/>
    <w:basedOn w:val="BodyText"/>
    <w:rsid w:val="006507BE"/>
    <w:pPr>
      <w:tabs>
        <w:tab w:val="left" w:pos="1021"/>
      </w:tabs>
      <w:spacing w:before="60" w:after="60"/>
      <w:ind w:left="1020" w:hanging="340"/>
    </w:pPr>
  </w:style>
  <w:style w:type="paragraph" w:styleId="List4">
    <w:name w:val="List 4"/>
    <w:basedOn w:val="BodyText"/>
    <w:rsid w:val="006507BE"/>
    <w:pPr>
      <w:tabs>
        <w:tab w:val="left" w:pos="1361"/>
      </w:tabs>
      <w:spacing w:before="60" w:after="60"/>
      <w:ind w:left="1361" w:hanging="340"/>
    </w:pPr>
  </w:style>
  <w:style w:type="paragraph" w:styleId="List5">
    <w:name w:val="List 5"/>
    <w:basedOn w:val="BodyText"/>
    <w:rsid w:val="006507BE"/>
    <w:pPr>
      <w:tabs>
        <w:tab w:val="left" w:pos="1701"/>
      </w:tabs>
      <w:spacing w:before="60" w:after="60"/>
      <w:ind w:left="1701" w:hanging="340"/>
    </w:pPr>
  </w:style>
  <w:style w:type="paragraph" w:styleId="ListBullet3">
    <w:name w:val="List Bullet 3"/>
    <w:basedOn w:val="List3"/>
    <w:rsid w:val="006507BE"/>
    <w:pPr>
      <w:numPr>
        <w:numId w:val="15"/>
      </w:numPr>
      <w:tabs>
        <w:tab w:val="clear" w:pos="1021"/>
      </w:tabs>
      <w:ind w:left="1037" w:hanging="357"/>
    </w:pPr>
  </w:style>
  <w:style w:type="paragraph" w:styleId="ListBullet4">
    <w:name w:val="List Bullet 4"/>
    <w:basedOn w:val="List4"/>
    <w:rsid w:val="006507BE"/>
    <w:pPr>
      <w:numPr>
        <w:numId w:val="3"/>
      </w:numPr>
    </w:pPr>
  </w:style>
  <w:style w:type="paragraph" w:styleId="ListBullet5">
    <w:name w:val="List Bullet 5"/>
    <w:basedOn w:val="List5"/>
    <w:rsid w:val="006507BE"/>
    <w:pPr>
      <w:numPr>
        <w:numId w:val="4"/>
      </w:numPr>
    </w:pPr>
  </w:style>
  <w:style w:type="paragraph" w:styleId="ListContinue2">
    <w:name w:val="List Continue 2"/>
    <w:basedOn w:val="List2"/>
    <w:rsid w:val="006507BE"/>
    <w:pPr>
      <w:ind w:firstLine="0"/>
    </w:pPr>
  </w:style>
  <w:style w:type="paragraph" w:styleId="ListContinue3">
    <w:name w:val="List Continue 3"/>
    <w:basedOn w:val="List3"/>
    <w:rsid w:val="006507BE"/>
    <w:pPr>
      <w:ind w:left="1021" w:firstLine="0"/>
    </w:pPr>
  </w:style>
  <w:style w:type="paragraph" w:styleId="ListContinue4">
    <w:name w:val="List Continue 4"/>
    <w:basedOn w:val="List4"/>
    <w:rsid w:val="006507BE"/>
    <w:pPr>
      <w:ind w:firstLine="0"/>
    </w:pPr>
  </w:style>
  <w:style w:type="paragraph" w:styleId="ListContinue5">
    <w:name w:val="List Continue 5"/>
    <w:basedOn w:val="List5"/>
    <w:rsid w:val="006507BE"/>
    <w:pPr>
      <w:ind w:firstLine="0"/>
    </w:pPr>
  </w:style>
  <w:style w:type="paragraph" w:styleId="ListNumber3">
    <w:name w:val="List Number 3"/>
    <w:basedOn w:val="List3"/>
    <w:rsid w:val="006507BE"/>
    <w:pPr>
      <w:numPr>
        <w:numId w:val="5"/>
      </w:numPr>
    </w:pPr>
  </w:style>
  <w:style w:type="paragraph" w:styleId="ListNumber4">
    <w:name w:val="List Number 4"/>
    <w:basedOn w:val="List4"/>
    <w:rsid w:val="006507BE"/>
    <w:pPr>
      <w:numPr>
        <w:numId w:val="6"/>
      </w:numPr>
    </w:pPr>
  </w:style>
  <w:style w:type="paragraph" w:styleId="ListNumber5">
    <w:name w:val="List Number 5"/>
    <w:basedOn w:val="List5"/>
    <w:rsid w:val="006507BE"/>
    <w:pPr>
      <w:numPr>
        <w:numId w:val="7"/>
      </w:numPr>
    </w:pPr>
  </w:style>
  <w:style w:type="paragraph" w:styleId="BlockText">
    <w:name w:val="Block Text"/>
    <w:basedOn w:val="Normal"/>
    <w:rsid w:val="006507BE"/>
    <w:pPr>
      <w:spacing w:after="120"/>
      <w:ind w:left="1440" w:right="1440"/>
    </w:pPr>
  </w:style>
  <w:style w:type="character" w:customStyle="1" w:styleId="Subscript">
    <w:name w:val="Subscript"/>
    <w:basedOn w:val="DefaultParagraphFont"/>
    <w:rsid w:val="006507BE"/>
    <w:rPr>
      <w:sz w:val="16"/>
      <w:vertAlign w:val="subscript"/>
    </w:rPr>
  </w:style>
  <w:style w:type="character" w:customStyle="1" w:styleId="Superscript">
    <w:name w:val="Superscript"/>
    <w:basedOn w:val="DefaultParagraphFont"/>
    <w:rsid w:val="006507BE"/>
    <w:rPr>
      <w:sz w:val="16"/>
      <w:vertAlign w:val="superscript"/>
    </w:rPr>
  </w:style>
  <w:style w:type="character" w:customStyle="1" w:styleId="Symbols">
    <w:name w:val="Symbols"/>
    <w:basedOn w:val="DefaultParagraphFont"/>
    <w:rsid w:val="006507BE"/>
    <w:rPr>
      <w:rFonts w:ascii="Symbol" w:hAnsi="Symbol"/>
    </w:rPr>
  </w:style>
  <w:style w:type="character" w:customStyle="1" w:styleId="MenuOptions">
    <w:name w:val="Menu Options"/>
    <w:basedOn w:val="DefaultParagraphFont"/>
    <w:rsid w:val="006507BE"/>
    <w:rPr>
      <w:rFonts w:ascii="Arial Narrow" w:hAnsi="Arial Narrow"/>
      <w:smallCaps/>
    </w:rPr>
  </w:style>
  <w:style w:type="character" w:customStyle="1" w:styleId="Buttons">
    <w:name w:val="Buttons"/>
    <w:basedOn w:val="DefaultParagraphFont"/>
    <w:rsid w:val="006507BE"/>
    <w:rPr>
      <w:b/>
    </w:rPr>
  </w:style>
  <w:style w:type="character" w:customStyle="1" w:styleId="Underlined">
    <w:name w:val="Underlined"/>
    <w:basedOn w:val="DefaultParagraphFont"/>
    <w:rsid w:val="006507BE"/>
    <w:rPr>
      <w:u w:val="single"/>
    </w:rPr>
  </w:style>
  <w:style w:type="paragraph" w:customStyle="1" w:styleId="TableBodyTextRight">
    <w:name w:val="Table Body Text Right"/>
    <w:basedOn w:val="TableBodyText"/>
    <w:rsid w:val="006507BE"/>
    <w:pPr>
      <w:widowControl w:val="0"/>
      <w:autoSpaceDE w:val="0"/>
      <w:autoSpaceDN w:val="0"/>
      <w:adjustRightInd w:val="0"/>
      <w:jc w:val="right"/>
    </w:pPr>
    <w:rPr>
      <w:rFonts w:cs="Arial"/>
      <w:szCs w:val="18"/>
    </w:rPr>
  </w:style>
  <w:style w:type="paragraph" w:customStyle="1" w:styleId="CopyrightText">
    <w:name w:val="Copyright Text"/>
    <w:basedOn w:val="BodyText"/>
    <w:rsid w:val="006507BE"/>
    <w:rPr>
      <w:sz w:val="18"/>
    </w:rPr>
  </w:style>
  <w:style w:type="paragraph" w:customStyle="1" w:styleId="BodySmallRight">
    <w:name w:val="Body Small Right"/>
    <w:basedOn w:val="BodyTextRight"/>
    <w:rsid w:val="006507BE"/>
    <w:rPr>
      <w:sz w:val="18"/>
      <w:szCs w:val="18"/>
    </w:rPr>
  </w:style>
  <w:style w:type="paragraph" w:customStyle="1" w:styleId="MarginEdition">
    <w:name w:val="Margin Edition"/>
    <w:basedOn w:val="MarginNote"/>
    <w:rsid w:val="006507BE"/>
    <w:pPr>
      <w:spacing w:before="0" w:after="0"/>
    </w:pPr>
    <w:rPr>
      <w:rFonts w:ascii="Times New Roman" w:hAnsi="Times New Roman"/>
      <w:color w:val="999999"/>
    </w:rPr>
  </w:style>
  <w:style w:type="paragraph" w:customStyle="1" w:styleId="Spacer">
    <w:name w:val="Spacer"/>
    <w:basedOn w:val="Normal"/>
    <w:rsid w:val="006507BE"/>
    <w:rPr>
      <w:sz w:val="2"/>
      <w:szCs w:val="2"/>
    </w:rPr>
  </w:style>
  <w:style w:type="character" w:customStyle="1" w:styleId="Small">
    <w:name w:val="Small"/>
    <w:basedOn w:val="DefaultParagraphFont"/>
    <w:rsid w:val="006507BE"/>
    <w:rPr>
      <w:sz w:val="16"/>
    </w:rPr>
  </w:style>
  <w:style w:type="paragraph" w:customStyle="1" w:styleId="WideTable">
    <w:name w:val="Wide Table"/>
    <w:basedOn w:val="Normal"/>
    <w:rsid w:val="006507BE"/>
    <w:pPr>
      <w:ind w:left="-1418"/>
    </w:pPr>
    <w:rPr>
      <w:sz w:val="2"/>
      <w:szCs w:val="2"/>
    </w:rPr>
  </w:style>
  <w:style w:type="character" w:styleId="PageNumber">
    <w:name w:val="page number"/>
    <w:basedOn w:val="DefaultParagraphFont"/>
    <w:rsid w:val="006507BE"/>
  </w:style>
  <w:style w:type="paragraph" w:styleId="Quote">
    <w:name w:val="Quote"/>
    <w:basedOn w:val="Heading1"/>
    <w:link w:val="QuoteChar"/>
    <w:qFormat/>
    <w:rsid w:val="006507BE"/>
    <w:rPr>
      <w:b w:val="0"/>
      <w:sz w:val="72"/>
      <w:szCs w:val="72"/>
      <w:lang w:val="en-NZ"/>
    </w:rPr>
  </w:style>
  <w:style w:type="character" w:customStyle="1" w:styleId="QuoteChar">
    <w:name w:val="Quote Char"/>
    <w:basedOn w:val="DefaultParagraphFont"/>
    <w:link w:val="Quote"/>
    <w:rsid w:val="006507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7BE"/>
    <w:pPr>
      <w:pageBreakBefore/>
    </w:pPr>
  </w:style>
  <w:style w:type="paragraph" w:customStyle="1" w:styleId="Border">
    <w:name w:val="Border"/>
    <w:basedOn w:val="Normal"/>
    <w:qFormat/>
    <w:rsid w:val="006507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07BE"/>
    <w:rPr>
      <w:b/>
      <w:bCs/>
      <w:i/>
      <w:iCs/>
      <w:color w:val="auto"/>
    </w:rPr>
  </w:style>
  <w:style w:type="paragraph" w:styleId="IntenseQuote">
    <w:name w:val="Intense Quote"/>
    <w:basedOn w:val="Normal"/>
    <w:next w:val="Normal"/>
    <w:link w:val="IntenseQuoteChar"/>
    <w:uiPriority w:val="30"/>
    <w:qFormat/>
    <w:rsid w:val="006507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07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07BE"/>
    <w:rPr>
      <w:smallCaps/>
      <w:color w:val="auto"/>
      <w:u w:val="single"/>
    </w:rPr>
  </w:style>
  <w:style w:type="character" w:styleId="IntenseReference">
    <w:name w:val="Intense Reference"/>
    <w:basedOn w:val="DefaultParagraphFont"/>
    <w:uiPriority w:val="32"/>
    <w:qFormat/>
    <w:rsid w:val="006507BE"/>
    <w:rPr>
      <w:b/>
      <w:bCs/>
      <w:smallCaps/>
      <w:color w:val="auto"/>
      <w:spacing w:val="5"/>
      <w:u w:val="single"/>
    </w:rPr>
  </w:style>
  <w:style w:type="paragraph" w:customStyle="1" w:styleId="2ColumnHeading">
    <w:name w:val="2Column Heading"/>
    <w:basedOn w:val="BodyText"/>
    <w:qFormat/>
    <w:rsid w:val="006507BE"/>
    <w:pPr>
      <w:spacing w:after="60"/>
      <w:ind w:left="-2268"/>
    </w:pPr>
    <w:rPr>
      <w:b/>
    </w:rPr>
  </w:style>
  <w:style w:type="paragraph" w:customStyle="1" w:styleId="Heading1TOC">
    <w:name w:val="Heading1 TOC"/>
    <w:basedOn w:val="Normal"/>
    <w:qFormat/>
    <w:rsid w:val="006507BE"/>
    <w:pPr>
      <w:spacing w:before="240" w:after="120"/>
    </w:pPr>
    <w:rPr>
      <w:rFonts w:ascii="Times New Roman" w:hAnsi="Times New Roman"/>
      <w:b/>
      <w:sz w:val="32"/>
    </w:rPr>
  </w:style>
  <w:style w:type="paragraph" w:customStyle="1" w:styleId="Heading2TOC">
    <w:name w:val="Heading2 TOC"/>
    <w:basedOn w:val="Normal"/>
    <w:qFormat/>
    <w:rsid w:val="006507BE"/>
    <w:pPr>
      <w:spacing w:before="240" w:after="60"/>
    </w:pPr>
    <w:rPr>
      <w:rFonts w:ascii="Times New Roman" w:hAnsi="Times New Roman"/>
      <w:b/>
      <w:sz w:val="28"/>
    </w:rPr>
  </w:style>
  <w:style w:type="character" w:customStyle="1" w:styleId="Underline">
    <w:name w:val="Underline"/>
    <w:basedOn w:val="DefaultParagraphFont"/>
    <w:qFormat/>
    <w:rsid w:val="006507BE"/>
    <w:rPr>
      <w:u w:val="single"/>
    </w:rPr>
  </w:style>
  <w:style w:type="character" w:customStyle="1" w:styleId="BoldandItalics">
    <w:name w:val="Bold and Italics"/>
    <w:qFormat/>
    <w:rsid w:val="006507BE"/>
    <w:rPr>
      <w:b/>
      <w:i/>
      <w:u w:val="none"/>
    </w:rPr>
  </w:style>
  <w:style w:type="paragraph" w:styleId="BalloonText">
    <w:name w:val="Balloon Text"/>
    <w:basedOn w:val="Normal"/>
    <w:link w:val="BalloonTextChar"/>
    <w:rsid w:val="006507BE"/>
    <w:rPr>
      <w:rFonts w:ascii="Tahoma" w:hAnsi="Tahoma" w:cs="Tahoma"/>
      <w:sz w:val="16"/>
      <w:szCs w:val="16"/>
    </w:rPr>
  </w:style>
  <w:style w:type="character" w:customStyle="1" w:styleId="BalloonTextChar">
    <w:name w:val="Balloon Text Char"/>
    <w:basedOn w:val="DefaultParagraphFont"/>
    <w:link w:val="BalloonText"/>
    <w:rsid w:val="006507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07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07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2251</Words>
  <Characters>14090</Characters>
  <Application>Microsoft Office Word</Application>
  <DocSecurity>0</DocSecurity>
  <Lines>574</Lines>
  <Paragraphs>234</Paragraphs>
  <ScaleCrop>false</ScaleCrop>
  <Company>Author-it Software Corporation Ltd.</Company>
  <LinksUpToDate>false</LinksUpToDate>
  <CharactersWithSpaces>16156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UETTDRSB15B Maintain discrete protection and control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2012-05-26T12:19:00Z</dcterms:created>
  <dcterms:modified xsi:type="dcterms:W3CDTF">2012-05-26T12:19:00Z</dcterms:modified>
</cp:coreProperties>
</file>