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FF6" w:rsidP="001E4FF6">
      <w:pPr>
        <w:pStyle w:val="Title"/>
      </w:pPr>
      <w:r>
        <w:fldChar w:fldCharType="begin"/>
      </w:r>
      <w:r>
        <w:instrText xml:space="preserve"> TITLE   \* MERGEFORMAT </w:instrText>
      </w:r>
      <w:r>
        <w:fldChar w:fldCharType="separate"/>
      </w:r>
      <w:r>
        <w:t>UETTDRSB04B Maintain HV power system breakers</w:t>
      </w:r>
      <w:r>
        <w:fldChar w:fldCharType="end"/>
      </w:r>
    </w:p>
    <w:p w:rsidR="001E4FF6" w:rsidP="001E4FF6">
      <w:pPr>
        <w:pStyle w:val="Version"/>
        <w:sectPr w:rsidSect="003813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379" w:rsidP="00381379">
      <w:pPr>
        <w:pStyle w:val="SuperHeading"/>
      </w:pPr>
      <w:r w:rsidRPr="00381379">
        <w:t>UETTDRSB04B Maintain HV power system breakers</w:t>
      </w:r>
    </w:p>
    <w:p w:rsidR="00000000" w:rsidRPr="00381379" w:rsidP="00381379">
      <w:pPr>
        <w:pStyle w:val="Heading1"/>
      </w:pPr>
      <w:bookmarkStart w:id="1" w:name="O_275523"/>
      <w:bookmarkEnd w:id="1"/>
      <w:r w:rsidRPr="00381379">
        <w:t>Modification History</w:t>
      </w:r>
    </w:p>
    <w:p w:rsidR="00000000" w:rsidRPr="00381379" w:rsidP="00381379">
      <w:pPr>
        <w:pStyle w:val="BodyText"/>
      </w:pPr>
      <w:r w:rsidRPr="00381379">
        <w:t>Not Applicable</w:t>
      </w:r>
    </w:p>
    <w:p w:rsidR="00000000" w:rsidRPr="00381379" w:rsidP="00381379">
      <w:pPr>
        <w:pStyle w:val="AllowPageBreak"/>
      </w:pPr>
    </w:p>
    <w:p w:rsidR="00000000" w:rsidRPr="00381379" w:rsidP="00381379">
      <w:pPr>
        <w:pStyle w:val="Heading1"/>
      </w:pPr>
      <w:bookmarkStart w:id="2" w:name="O_231809"/>
      <w:bookmarkEnd w:id="2"/>
      <w:r w:rsidRPr="00381379">
        <w:t>Unit Descriptor</w:t>
      </w:r>
    </w:p>
    <w:tbl>
      <w:tblPr>
        <w:tblW w:w="0" w:type="auto"/>
        <w:tblLayout w:type="fixed"/>
        <w:tblCellMar>
          <w:left w:w="62" w:type="dxa"/>
          <w:right w:w="62" w:type="dxa"/>
        </w:tblCellMar>
        <w:tblLook w:val="0000"/>
      </w:tblPr>
      <w:tblGrid>
        <w:gridCol w:w="2611"/>
        <w:gridCol w:w="6029"/>
      </w:tblGrid>
      <w:tr w:rsidTr="001E4FF6">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Unit Descriptor</w:t>
            </w:r>
          </w:p>
        </w:tc>
        <w:tc>
          <w:tcPr>
            <w:tcW w:w="6029"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1</w:t>
            </w:r>
            <w:r w:rsidRPr="00381379">
              <w:t xml:space="preserve">) </w:t>
            </w:r>
          </w:p>
          <w:p w:rsidR="00000000" w:rsidP="00381379">
            <w:pPr>
              <w:pStyle w:val="BodyText"/>
              <w:rPr>
                <w:lang w:val="en-NZ"/>
              </w:rPr>
            </w:pPr>
            <w:r w:rsidRPr="00381379">
              <w:rPr>
                <w:rStyle w:val="SpecialBold"/>
              </w:rPr>
              <w:t>1</w:t>
            </w:r>
            <w:r w:rsidRPr="00381379">
              <w:t>.</w:t>
            </w:r>
            <w:r w:rsidRPr="00381379">
              <w:rPr>
                <w:rStyle w:val="SpecialBold"/>
              </w:rPr>
              <w:t>1</w:t>
            </w:r>
            <w:r w:rsidRPr="00381379">
              <w:t xml:space="preserve">) </w:t>
            </w:r>
            <w:r w:rsidRPr="00381379">
              <w:rPr>
                <w:rStyle w:val="SpecialBold"/>
              </w:rPr>
              <w:t>Descriptor</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9"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t>This Competency Standard Unit covers the maintenance of high voltage power system circuit breakers including the diagnosis of faults and the repair and replacement of high voltage power system circuit breakers components in accordance with enterprise requi</w:t>
            </w:r>
            <w:r w:rsidRPr="00381379">
              <w:t>rements. It includes the diagnostic checks, pre-commissioning tests and function checks involving the circuit breakers and their associated control circuits and interpretation of these tests against agreed specifications.</w:t>
            </w:r>
          </w:p>
        </w:tc>
      </w:tr>
    </w:tbl>
    <w:p w:rsidR="001E4FF6" w:rsidP="00381379">
      <w:pPr>
        <w:pStyle w:val="BodyText"/>
      </w:pPr>
    </w:p>
    <w:p w:rsidR="001E4FF6" w:rsidP="00381379">
      <w:pPr>
        <w:pStyle w:val="BodyText"/>
      </w:pPr>
    </w:p>
    <w:p w:rsidR="00000000" w:rsidRPr="00381379" w:rsidP="00381379">
      <w:pPr>
        <w:pStyle w:val="Heading1"/>
      </w:pPr>
      <w:bookmarkStart w:id="3" w:name="O_231814"/>
      <w:bookmarkEnd w:id="3"/>
      <w:r w:rsidRPr="00381379">
        <w:t>Application of</w:t>
      </w:r>
      <w:r w:rsidRPr="00381379">
        <w:t xml:space="preserve"> the Unit</w:t>
      </w:r>
    </w:p>
    <w:tbl>
      <w:tblPr>
        <w:tblW w:w="0" w:type="auto"/>
        <w:tblLayout w:type="fixed"/>
        <w:tblCellMar>
          <w:left w:w="62" w:type="dxa"/>
          <w:right w:w="62" w:type="dxa"/>
        </w:tblCellMar>
        <w:tblLook w:val="0000"/>
      </w:tblPr>
      <w:tblGrid>
        <w:gridCol w:w="2611"/>
        <w:gridCol w:w="6029"/>
      </w:tblGrid>
      <w:tr w:rsidTr="001E4FF6">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Application of the Unit</w:t>
            </w:r>
          </w:p>
        </w:tc>
        <w:tc>
          <w:tcPr>
            <w:tcW w:w="60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rPr>
                <w:rStyle w:val="SpecialBold"/>
              </w:rPr>
              <w:t>4</w:t>
            </w:r>
            <w:r w:rsidRPr="00381379">
              <w:t>)</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9"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t>This Competency Standard Unit is intended to augment formally acquired competencies. It is suitable for employment-based programs under an approved contract of training.</w:t>
            </w:r>
          </w:p>
        </w:tc>
      </w:tr>
    </w:tbl>
    <w:p w:rsidR="001E4FF6" w:rsidP="00381379">
      <w:pPr>
        <w:pStyle w:val="BodyText"/>
      </w:pPr>
    </w:p>
    <w:p w:rsidR="001E4FF6" w:rsidP="00381379">
      <w:pPr>
        <w:pStyle w:val="BodyText"/>
      </w:pPr>
    </w:p>
    <w:p w:rsidR="00000000" w:rsidRPr="00381379" w:rsidP="00381379">
      <w:pPr>
        <w:pStyle w:val="Heading1"/>
      </w:pPr>
      <w:bookmarkStart w:id="4" w:name="O_231810"/>
      <w:bookmarkEnd w:id="4"/>
      <w:r w:rsidRPr="00381379">
        <w:t>Licensing/Regulatory Information</w:t>
      </w:r>
    </w:p>
    <w:tbl>
      <w:tblPr>
        <w:tblW w:w="0" w:type="auto"/>
        <w:tblLayout w:type="fixed"/>
        <w:tblCellMar>
          <w:left w:w="62" w:type="dxa"/>
          <w:right w:w="62" w:type="dxa"/>
        </w:tblCellMar>
        <w:tblLook w:val="0000"/>
      </w:tblPr>
      <w:tblGrid>
        <w:gridCol w:w="8640"/>
      </w:tblGrid>
      <w:tr w:rsidTr="001E4FF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rPr>
                <w:rStyle w:val="SpecialBold"/>
              </w:rPr>
              <w:t>1</w:t>
            </w:r>
            <w:r w:rsidRPr="00381379">
              <w:t>.</w:t>
            </w:r>
            <w:r w:rsidRPr="00381379">
              <w:rPr>
                <w:rStyle w:val="SpecialBold"/>
              </w:rPr>
              <w:t>2</w:t>
            </w:r>
            <w:r w:rsidRPr="00381379">
              <w:t xml:space="preserve">) </w:t>
            </w:r>
            <w:r w:rsidRPr="00381379">
              <w:rPr>
                <w:rStyle w:val="SpecialBold"/>
              </w:rPr>
              <w:t>License to practice</w:t>
            </w:r>
          </w:p>
        </w:tc>
      </w:tr>
      <w:tr w:rsidTr="001E4FF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t>The skills and knowledge described in this unit requires a licence/registration to practice in the work place subject to regulations for undertaking of electrical work. Practice in workplace and du</w:t>
            </w:r>
            <w:r w:rsidRPr="00381379">
              <w:t>ring training is also subject to regulations directly related to Occupational Health and Safety, electricity/telecommunications/gas/water industry safety and compliance, industrial relations, environmental protection, anti discrimination and training. Comm</w:t>
            </w:r>
            <w:r w:rsidRPr="00381379">
              <w:t>onwealth, State/Territory or Local Government legislation and regulations may exist that limits the age of operating certain equipment.</w:t>
            </w:r>
          </w:p>
        </w:tc>
      </w:tr>
    </w:tbl>
    <w:p w:rsidR="001E4FF6" w:rsidP="00381379">
      <w:pPr>
        <w:pStyle w:val="BodyText"/>
      </w:pPr>
    </w:p>
    <w:p w:rsidR="001E4FF6" w:rsidP="00381379">
      <w:pPr>
        <w:pStyle w:val="BodyText"/>
      </w:pPr>
    </w:p>
    <w:p w:rsidR="00000000" w:rsidRPr="00381379" w:rsidP="00381379">
      <w:pPr>
        <w:pStyle w:val="Heading1"/>
      </w:pPr>
      <w:bookmarkStart w:id="5" w:name="O_231811"/>
      <w:bookmarkEnd w:id="5"/>
      <w:r w:rsidRPr="00381379">
        <w:t>Pre-Requisites</w:t>
      </w:r>
    </w:p>
    <w:tbl>
      <w:tblPr>
        <w:tblW w:w="0" w:type="auto"/>
        <w:tblLayout w:type="fixed"/>
        <w:tblCellMar>
          <w:left w:w="62" w:type="dxa"/>
          <w:right w:w="62" w:type="dxa"/>
        </w:tblCellMar>
        <w:tblLook w:val="0000"/>
      </w:tblPr>
      <w:tblGrid>
        <w:gridCol w:w="2611"/>
        <w:gridCol w:w="6029"/>
      </w:tblGrid>
      <w:tr w:rsidTr="001E4FF6">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Prerequisite Unit</w:t>
            </w:r>
            <w:r w:rsidRPr="00381379">
              <w:t>(</w:t>
            </w:r>
            <w:r w:rsidRPr="00381379">
              <w:rPr>
                <w:rStyle w:val="SpecialBold"/>
              </w:rPr>
              <w:t>s</w:t>
            </w:r>
            <w:r w:rsidRPr="00381379">
              <w:t>)</w:t>
            </w:r>
          </w:p>
        </w:tc>
        <w:tc>
          <w:tcPr>
            <w:tcW w:w="60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rPr>
                <w:rStyle w:val="SpecialBold"/>
              </w:rPr>
              <w:t>2</w:t>
            </w:r>
            <w:r w:rsidRPr="00381379">
              <w:t xml:space="preserve">) </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RPr="00381379">
            <w:pPr>
              <w:pStyle w:val="BodyText"/>
              <w:keepNext w:val="0"/>
              <w:keepLines w:val="0"/>
              <w:contextualSpacing w:val="0"/>
            </w:pPr>
          </w:p>
        </w:tc>
        <w:tc>
          <w:tcPr>
            <w:tcW w:w="60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rPr>
                <w:rStyle w:val="SpecialBold"/>
              </w:rPr>
              <w:t>2</w:t>
            </w:r>
            <w:r w:rsidRPr="00381379">
              <w:t>.</w:t>
            </w:r>
            <w:r w:rsidRPr="00381379">
              <w:rPr>
                <w:rStyle w:val="SpecialBold"/>
              </w:rPr>
              <w:t>1</w:t>
            </w:r>
            <w:r w:rsidRPr="00381379">
              <w:t xml:space="preserve">) </w:t>
            </w:r>
            <w:r w:rsidRPr="00381379">
              <w:rPr>
                <w:rStyle w:val="SpecialBold"/>
              </w:rPr>
              <w:t>Competencies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9"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t xml:space="preserve">Entry into this unit requires a current 'Unrestricted Electrician's Licence' or equivalent issued in an Australian State or Territory or satisfaction of the ERAC requirements for the issue of an unrestricted electrician's licence. </w:t>
            </w:r>
          </w:p>
        </w:tc>
      </w:tr>
    </w:tbl>
    <w:p w:rsidR="001E4FF6" w:rsidP="00381379">
      <w:pPr>
        <w:pStyle w:val="BodyText"/>
      </w:pPr>
    </w:p>
    <w:p w:rsidR="001E4FF6" w:rsidP="00381379">
      <w:pPr>
        <w:pStyle w:val="BodyText"/>
      </w:pPr>
    </w:p>
    <w:p w:rsidR="00000000" w:rsidRPr="00381379" w:rsidP="00381379">
      <w:pPr>
        <w:pStyle w:val="Heading1"/>
      </w:pPr>
      <w:bookmarkStart w:id="6" w:name="O_231813"/>
      <w:bookmarkEnd w:id="6"/>
      <w:r w:rsidRPr="00381379">
        <w:t>Empl</w:t>
      </w:r>
      <w:r w:rsidRPr="00381379">
        <w:t>oyability Skills Information</w:t>
      </w:r>
    </w:p>
    <w:tbl>
      <w:tblPr>
        <w:tblW w:w="0" w:type="auto"/>
        <w:tblLayout w:type="fixed"/>
        <w:tblCellMar>
          <w:left w:w="62" w:type="dxa"/>
          <w:right w:w="62" w:type="dxa"/>
        </w:tblCellMar>
        <w:tblLook w:val="0000"/>
      </w:tblPr>
      <w:tblGrid>
        <w:gridCol w:w="2611"/>
        <w:gridCol w:w="6029"/>
      </w:tblGrid>
      <w:tr w:rsidTr="001E4FF6">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Employability Skills</w:t>
            </w:r>
          </w:p>
        </w:tc>
        <w:tc>
          <w:tcPr>
            <w:tcW w:w="6029"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3</w:t>
            </w:r>
            <w:r w:rsidRPr="00381379">
              <w:t>)</w:t>
            </w:r>
          </w:p>
          <w:p w:rsidR="00000000" w:rsidRPr="00381379" w:rsidP="00381379">
            <w:pPr>
              <w:pStyle w:val="BodyText"/>
            </w:pPr>
            <w:r w:rsidRPr="00381379">
              <w:t>The required outcomes described in this unit of competency contain applicable facets of Employability Skills. The Employability Skills Summary of the qualification in which this unit of competency is pac</w:t>
            </w:r>
            <w:r w:rsidRPr="00381379">
              <w:t>kaged will assist in identifying Employability Skill requirements.</w:t>
            </w:r>
          </w:p>
        </w:tc>
      </w:tr>
    </w:tbl>
    <w:p w:rsidR="001E4FF6" w:rsidP="00381379">
      <w:pPr>
        <w:pStyle w:val="BodyText"/>
      </w:pPr>
    </w:p>
    <w:p w:rsidR="001E4FF6" w:rsidP="00381379">
      <w:pPr>
        <w:pStyle w:val="BodyText"/>
      </w:pPr>
    </w:p>
    <w:p w:rsidR="00000000" w:rsidRPr="00381379" w:rsidP="00381379">
      <w:pPr>
        <w:pStyle w:val="Heading1"/>
      </w:pPr>
      <w:bookmarkStart w:id="7" w:name="O_293569"/>
      <w:bookmarkEnd w:id="7"/>
      <w:r w:rsidRPr="00381379">
        <w:t>Elements and Performance Criteria Pre-Content</w:t>
      </w:r>
    </w:p>
    <w:tbl>
      <w:tblPr>
        <w:tblW w:w="0" w:type="auto"/>
        <w:tblLayout w:type="fixed"/>
        <w:tblCellMar>
          <w:left w:w="62" w:type="dxa"/>
          <w:right w:w="62" w:type="dxa"/>
        </w:tblCellMar>
        <w:tblLook w:val="0000"/>
      </w:tblPr>
      <w:tblGrid>
        <w:gridCol w:w="2611"/>
        <w:gridCol w:w="6029"/>
      </w:tblGrid>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rPr>
                <w:rStyle w:val="SpecialBold"/>
              </w:rPr>
              <w:t>6</w:t>
            </w:r>
            <w:r w:rsidRPr="00381379">
              <w:t xml:space="preserve">) </w:t>
            </w:r>
            <w:r w:rsidRPr="00381379">
              <w:rPr>
                <w:rStyle w:val="SpecialBold"/>
              </w:rPr>
              <w:t>Elements</w:t>
            </w:r>
            <w:r w:rsidRPr="00381379">
              <w:t>: Elements describe the essential outcomes of a competency standard unit</w:t>
            </w:r>
          </w:p>
        </w:tc>
        <w:tc>
          <w:tcPr>
            <w:tcW w:w="6029"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t>Performance Criteria describe the required performance needed to demonstrate achievement of the element. Assessment of performance is to be consistent with the evidence guide.</w:t>
            </w:r>
          </w:p>
        </w:tc>
      </w:tr>
    </w:tbl>
    <w:p w:rsidR="00000000" w:rsidRPr="00381379" w:rsidP="00381379">
      <w:pPr>
        <w:pStyle w:val="BodyText"/>
      </w:pPr>
    </w:p>
    <w:p w:rsidR="00000000" w:rsidRPr="00381379" w:rsidP="00381379">
      <w:pPr>
        <w:pStyle w:val="AllowPageBreak"/>
      </w:pPr>
    </w:p>
    <w:p w:rsidR="00000000" w:rsidRPr="00381379" w:rsidP="00381379">
      <w:pPr>
        <w:pStyle w:val="Heading1"/>
      </w:pPr>
      <w:bookmarkStart w:id="8" w:name="O_240237"/>
      <w:bookmarkEnd w:id="8"/>
      <w:r w:rsidRPr="00381379">
        <w:t>Elements and Performance Criteria</w:t>
      </w:r>
    </w:p>
    <w:tbl>
      <w:tblPr>
        <w:tblW w:w="0" w:type="auto"/>
        <w:tblLayout w:type="fixed"/>
        <w:tblCellMar>
          <w:left w:w="62" w:type="dxa"/>
          <w:right w:w="62" w:type="dxa"/>
        </w:tblCellMar>
        <w:tblLook w:val="0000"/>
      </w:tblPr>
      <w:tblGrid>
        <w:gridCol w:w="397"/>
        <w:gridCol w:w="2214"/>
        <w:gridCol w:w="1327"/>
        <w:gridCol w:w="4702"/>
      </w:tblGrid>
      <w:tr w:rsidTr="001E4FF6">
        <w:tblPrEx>
          <w:tblW w:w="0" w:type="auto"/>
          <w:tblLayout w:type="fixed"/>
          <w:tblCellMar>
            <w:left w:w="62" w:type="dxa"/>
            <w:right w:w="62" w:type="dxa"/>
          </w:tblCellMar>
          <w:tblLook w:val="0000"/>
        </w:tblPrEx>
        <w:trPr>
          <w:tblHeader/>
        </w:trPr>
        <w:tc>
          <w:tcPr>
            <w:tcW w:w="2611" w:type="dxa"/>
            <w:gridSpan w:val="2"/>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ELEMENT</w:t>
            </w:r>
          </w:p>
        </w:tc>
        <w:tc>
          <w:tcPr>
            <w:tcW w:w="6029" w:type="dxa"/>
            <w:gridSpan w:val="2"/>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rPr>
                <w:rStyle w:val="SpecialBold"/>
              </w:rPr>
              <w:t>PERFORMANCE CRITER</w:t>
            </w:r>
            <w:r w:rsidRPr="00381379">
              <w:rPr>
                <w:rStyle w:val="SpecialBold"/>
              </w:rPr>
              <w:t>IA</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1</w:t>
            </w:r>
          </w:p>
        </w:tc>
        <w:tc>
          <w:tcPr>
            <w:tcW w:w="2214"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Prepare/plan to maintain High Voltage power system circuit breakers</w:t>
            </w: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1.1</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Work schedules including drawings, plans, requirements procedures and material lists are acquired, analysed and the extent of work determined.</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1.2</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Relevant requirements and established procedures for the work are communicated to all personnel and identified for all work sites.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1.3</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Hazards are identified, OHS risks assessed and control measures are prioritised, implemented and monitored including e</w:t>
            </w:r>
            <w:r w:rsidRPr="00381379">
              <w:t>mergency exits kept clear, to ensure safe systems of work are followed and according to established procedures.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1.4</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Work is prio</w:t>
            </w:r>
            <w:r w:rsidRPr="00381379">
              <w:t xml:space="preserve">ritised and sequenced for the most efficient and effective outcome following </w:t>
            </w:r>
            <w:r w:rsidRPr="00381379">
              <w:t>consultation with others for completion within acceptable timeframes, to agreed quality standards and in accordance with established policies and procedures.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1.5</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Risk control m</w:t>
            </w:r>
            <w:r w:rsidRPr="00381379">
              <w:t>easures are identified, prioritised, implemented and evaluated against the work schedule.</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1.6</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Resources including personnel, equipment, tools and personal protective equipment required for the job are identified, acquired and confirmed in safe/technical</w:t>
            </w:r>
            <w:r w:rsidRPr="00381379">
              <w:t xml:space="preserve"> working order.</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1.7</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Liaison issues with other personnel and/or authorities are resolved and activities coordinated to facilitate the work.</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1.8</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Personnel participating in the work including plant operators and contractors are fully briefed, their respective responsibilities explained and coordinated and appropriate authorisation checked in accordance with established procedures.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1.9</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Work site i</w:t>
            </w:r>
            <w:r w:rsidRPr="00381379">
              <w:t>s prepared according to the work schedule and to minimise risk and damage to property and personnel in accordance with established procedures.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2</w:t>
            </w:r>
          </w:p>
        </w:tc>
        <w:tc>
          <w:tcPr>
            <w:tcW w:w="2214"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Carry out maintenance on high voltage power system circuit breakers</w:t>
            </w: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2.1</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 xml:space="preserve">OHS and sustainable energy principles </w:t>
            </w:r>
            <w:r w:rsidRPr="00381379">
              <w:t>and practices to reduce the incidence of accidents and minimise waste are implemented and monitored in accordance with established procedures.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2.2</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CPR, Rescue from live electrical apparatus and other related safety procedures are in place according to r</w:t>
            </w:r>
            <w:r w:rsidRPr="00381379">
              <w:t>equirements and established procedures.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2.3</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Safe working documentation is acquired and requirements completed in accordance with established procedures.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2.4</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 xml:space="preserve">Lifting, climbing and working aloft, use of power tools/equipment techniques and </w:t>
            </w:r>
            <w:r w:rsidRPr="00381379">
              <w:t>practices are safely exercised in accordance with established procedures.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2.5</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Hazard warnings and safety signs are recognised and hazards and assessed OHS risks are reporte</w:t>
            </w:r>
            <w:r w:rsidRPr="00381379">
              <w:t>d to the immediate authorised persons for directions according to established procedures.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2.6</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 xml:space="preserve">Essential knowledge and associated skills are applied for the safe maintenance of HV power system circuit breaker  to ensure completion in an agreed timeframe </w:t>
            </w:r>
            <w:r w:rsidRPr="00381379">
              <w:t>and, to quality standards with a minimum of waste according to requirements.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2.7</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Maintenance of HV power system circuit breakers is carried out in accordance with the work schedule and requirements and/or established procedures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2.8</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Maintenance of HV power system circuit breakers is completed in an agreed timeframe and to quality standards with a minimum of waste according to requirements.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2.9</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Unplanned events or conditions are responded to in accordance with established procedures</w:t>
            </w:r>
            <w:r w:rsidRPr="00381379">
              <w:t>.</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3</w:t>
            </w:r>
          </w:p>
        </w:tc>
        <w:tc>
          <w:tcPr>
            <w:tcW w:w="2214"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Complete the maintenance of high voltage power system circuit breakers</w:t>
            </w: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3.1</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Work undertaken is checked against work schedule for conformance with requirements, anomalies reported and solutions identified in accordance with established procedures.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3.</w:t>
            </w:r>
            <w:r w:rsidRPr="00381379">
              <w:t>2</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Safe working documentation is surrendered and High Voltage power system circuit breakers are made ready for service.</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3.3</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Work site is rehabilitated, cleaned up and confirmed safe in accordance with established procedures.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3.4</w:t>
            </w:r>
          </w:p>
        </w:tc>
        <w:tc>
          <w:tcPr>
            <w:tcW w:w="4702"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Tools,</w:t>
            </w:r>
            <w:r w:rsidRPr="00381379">
              <w:t xml:space="preserve"> equipment and any surplus resources and materials are cleaned, checked and returned to storage in accordance with established procedures.</w:t>
            </w:r>
          </w:p>
        </w:tc>
      </w:tr>
      <w:tr w:rsidTr="001E4FF6">
        <w:tblPrEx>
          <w:tblW w:w="0" w:type="auto"/>
          <w:tblLayout w:type="fixed"/>
          <w:tblCellMar>
            <w:left w:w="62" w:type="dxa"/>
            <w:right w:w="62" w:type="dxa"/>
          </w:tblCellMar>
          <w:tblLook w:val="0000"/>
        </w:tblPrEx>
        <w:tc>
          <w:tcPr>
            <w:tcW w:w="3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7"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3.5</w:t>
            </w:r>
          </w:p>
        </w:tc>
        <w:tc>
          <w:tcPr>
            <w:tcW w:w="4702"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t>Required works completion records, reports and/or documentation and information are completed, processed and a</w:t>
            </w:r>
            <w:r w:rsidRPr="00381379">
              <w:t>ppropriate personnel notified in accordance with established procedures.</w:t>
            </w:r>
          </w:p>
        </w:tc>
      </w:tr>
    </w:tbl>
    <w:p w:rsidR="001E4FF6" w:rsidP="00381379">
      <w:pPr>
        <w:pStyle w:val="BodyText"/>
      </w:pPr>
    </w:p>
    <w:p w:rsidR="001E4FF6" w:rsidP="00381379">
      <w:pPr>
        <w:pStyle w:val="BodyText"/>
      </w:pPr>
    </w:p>
    <w:p w:rsidR="00000000" w:rsidRPr="00381379" w:rsidP="00381379">
      <w:pPr>
        <w:pStyle w:val="Heading1"/>
      </w:pPr>
      <w:bookmarkStart w:id="9" w:name="O_264028"/>
      <w:bookmarkEnd w:id="9"/>
      <w:r w:rsidRPr="00381379">
        <w:t>Required Skills and Knowledge</w:t>
      </w:r>
    </w:p>
    <w:tbl>
      <w:tblPr>
        <w:tblW w:w="0" w:type="auto"/>
        <w:tblLayout w:type="fixed"/>
        <w:tblCellMar>
          <w:left w:w="62" w:type="dxa"/>
          <w:right w:w="62" w:type="dxa"/>
        </w:tblCellMar>
        <w:tblLook w:val="0000"/>
      </w:tblPr>
      <w:tblGrid>
        <w:gridCol w:w="2611"/>
        <w:gridCol w:w="1500"/>
        <w:gridCol w:w="4529"/>
      </w:tblGrid>
      <w:tr w:rsidTr="001E4FF6">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rPr>
                <w:rStyle w:val="SpecialBold"/>
              </w:rPr>
              <w:t>REQUIRED SKILLS AND KNOWLEDGE</w:t>
            </w:r>
          </w:p>
        </w:tc>
      </w:tr>
      <w:tr w:rsidTr="001E4FF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rPr>
                <w:rStyle w:val="SpecialBold"/>
              </w:rPr>
              <w:t>7</w:t>
            </w:r>
            <w:r w:rsidRPr="00381379">
              <w:t xml:space="preserve">) </w:t>
            </w:r>
            <w:r w:rsidRPr="00381379">
              <w:rPr>
                <w:rStyle w:val="SpecialBold"/>
              </w:rPr>
              <w:t>Essential Knowledge and Associated Skills</w:t>
            </w:r>
            <w:r w:rsidRPr="00381379">
              <w:t xml:space="preserve"> (</w:t>
            </w:r>
            <w:r w:rsidRPr="00381379">
              <w:rPr>
                <w:rStyle w:val="SpecialBold"/>
              </w:rPr>
              <w:t>EKAS</w:t>
            </w:r>
            <w:r w:rsidRPr="00381379">
              <w:t>): This describes the essential skills and knowledge and their level, required for this unit.</w:t>
            </w:r>
          </w:p>
        </w:tc>
      </w:tr>
      <w:tr w:rsidTr="001E4FF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t xml:space="preserve">Evidence shall show that knowledge has been acquired of maintaining HV power system breakers. </w:t>
            </w:r>
          </w:p>
          <w:p w:rsidR="00000000" w:rsidRPr="00381379" w:rsidP="00381379">
            <w:pPr>
              <w:pStyle w:val="BodyText"/>
            </w:pPr>
            <w:r w:rsidRPr="00381379">
              <w:t>All knowledge and skills detailed in this unit should be context</w:t>
            </w:r>
            <w:r w:rsidRPr="00381379">
              <w:t>ualised to current industry practices and technologies.</w:t>
            </w:r>
          </w:p>
          <w:p w:rsidR="00000000" w:rsidP="00381379">
            <w:pPr>
              <w:pStyle w:val="BodyText"/>
              <w:rPr>
                <w:lang w:val="en-NZ"/>
              </w:rPr>
            </w:pPr>
            <w:r w:rsidRPr="00381379">
              <w:t>The extent of the essential knowledge and associated skills (EKAS) required is given in Volume 2 - Part 2.2 EKAS. It forms an integral part of this unit.</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 xml:space="preserve">E2.18.1 </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Occupational Health and Safety pr</w:t>
            </w:r>
            <w:r w:rsidRPr="00381379">
              <w:t>inciples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E2.18.2</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Safe working practice</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T2.2.13</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Low voltage - energised work practices for substations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T2.4.2</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Low voltage switching principles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T2.8.1</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Enterprise specific - policy and procedures instructions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T2.8.2</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Enterprise specific - OHS instructions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T2.8.3</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Enterprise specific - technical drawing and documents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T2.8.4</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Enterprise specific - switching diagrams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T2.8.6</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Enterprise specific - specialised tools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T2.8.7</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Enterprise specific - equipment installation procedures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T2.8.8</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Enterprise specific - data management processes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T2.10.7</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Substation tools and equipment</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T2.10.8</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Typical fault conditions and symptoms - substations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T2.10.9</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Analyse and interpret results and measurements - substations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T2.10.10</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Equipment components and materials - substations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T2.10.11</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Substation safety practices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T2.10.12</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Substation LV supply design principles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T2.10.13</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Substation control systems design principles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T2.10.14</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Hydraulic and pneumatic operating mechanism principles - Substations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T2.10.19</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Substation switching practices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T2.10.20</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Low voltage substation switching principles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T2.10.21</w:t>
            </w:r>
          </w:p>
        </w:tc>
        <w:tc>
          <w:tcPr>
            <w:tcW w:w="45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Circuit breaker constru</w:t>
            </w:r>
            <w:r w:rsidRPr="00381379">
              <w:t>ction principles - substations</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T2.10.22</w:t>
            </w:r>
          </w:p>
        </w:tc>
        <w:tc>
          <w:tcPr>
            <w:tcW w:w="4529"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t>Circuit breaker operating principles - substations</w:t>
            </w:r>
          </w:p>
        </w:tc>
      </w:tr>
    </w:tbl>
    <w:p w:rsidR="001E4FF6" w:rsidP="00381379">
      <w:pPr>
        <w:pStyle w:val="BodyText"/>
      </w:pPr>
    </w:p>
    <w:p w:rsidR="001E4FF6" w:rsidP="00381379">
      <w:pPr>
        <w:pStyle w:val="BodyText"/>
      </w:pPr>
    </w:p>
    <w:p w:rsidR="00000000" w:rsidRPr="00381379" w:rsidP="00381379">
      <w:pPr>
        <w:pStyle w:val="Heading1"/>
      </w:pPr>
      <w:bookmarkStart w:id="10" w:name="O_248220"/>
      <w:bookmarkEnd w:id="10"/>
      <w:r w:rsidRPr="00381379">
        <w:t>Evidence Guide</w:t>
      </w:r>
    </w:p>
    <w:tbl>
      <w:tblPr>
        <w:tblW w:w="0" w:type="auto"/>
        <w:tblLayout w:type="fixed"/>
        <w:tblCellMar>
          <w:left w:w="62" w:type="dxa"/>
          <w:right w:w="62" w:type="dxa"/>
        </w:tblCellMar>
        <w:tblLook w:val="0000"/>
      </w:tblPr>
      <w:tblGrid>
        <w:gridCol w:w="2086"/>
        <w:gridCol w:w="700"/>
        <w:gridCol w:w="979"/>
        <w:gridCol w:w="1739"/>
        <w:gridCol w:w="3136"/>
      </w:tblGrid>
      <w:tr w:rsidTr="001E4FF6">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rPr>
                <w:rStyle w:val="SpecialBold"/>
              </w:rPr>
              <w:t>EVIDENCE GUIDE</w:t>
            </w:r>
          </w:p>
        </w:tc>
      </w:tr>
      <w:tr w:rsidTr="001E4FF6">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9</w:t>
            </w:r>
            <w:r w:rsidRPr="00381379">
              <w:t xml:space="preserve">) This provides essential advice for assessment of the competency standard unit and must be read </w:t>
            </w:r>
            <w:r w:rsidRPr="00381379">
              <w:t>in conjunction with the Performance Criteria and the Range Statement of the competency standard unit and the Training Package Assessment Guidelines.</w:t>
            </w:r>
          </w:p>
          <w:p w:rsidR="00000000" w:rsidP="00381379">
            <w:pPr>
              <w:pStyle w:val="BodyText"/>
              <w:rPr>
                <w:lang w:val="en-NZ"/>
              </w:rPr>
            </w:pPr>
            <w:r w:rsidRPr="00381379">
              <w:t>The Evidence Guide forms an integral part of this Competency Standard Unit and shall be used in conjunction</w:t>
            </w:r>
            <w:r w:rsidRPr="00381379">
              <w:t xml:space="preserve"> with all component parts of this unit and, performed in accordance with the Assessment Guidelines of this Training Package.</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Overview of Assessment</w:t>
            </w:r>
          </w:p>
        </w:tc>
        <w:tc>
          <w:tcPr>
            <w:tcW w:w="6554" w:type="dxa"/>
            <w:gridSpan w:val="4"/>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9</w:t>
            </w:r>
            <w:r w:rsidRPr="00381379">
              <w:t>.</w:t>
            </w:r>
            <w:r w:rsidRPr="00381379">
              <w:rPr>
                <w:rStyle w:val="SpecialBold"/>
              </w:rPr>
              <w:t>1</w:t>
            </w:r>
            <w:r w:rsidRPr="00381379">
              <w:t xml:space="preserve">) </w:t>
            </w:r>
          </w:p>
          <w:p w:rsidR="00000000" w:rsidRPr="00381379" w:rsidP="00381379">
            <w:pPr>
              <w:pStyle w:val="BodyText"/>
            </w:pPr>
            <w:r w:rsidRPr="00381379">
              <w:t>Longitudinal competency development approaches to assessment, such as Profiling, require data to be reliably gathered in a form that can be consistently interpreted over time. This approach is best utilised in Apprenticeship programs and reduces assessment</w:t>
            </w:r>
            <w:r w:rsidRPr="0038137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81379">
              <w:t>tency in a realistically simulated work environment. It is recognised that, in some circumstances, assessment in part or full can occur outside the workplace. However, it must be in accord with Industry and, Regulatory policy in this regard.</w:t>
            </w:r>
          </w:p>
          <w:p w:rsidR="00000000" w:rsidRPr="00381379" w:rsidP="00381379">
            <w:pPr>
              <w:pStyle w:val="BodyText"/>
            </w:pPr>
            <w:r w:rsidRPr="00381379">
              <w:t>Methods chosen</w:t>
            </w:r>
            <w:r w:rsidRPr="00381379">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381379">
              <w:t>equired and the critical nature of the competencies being assessed.</w:t>
            </w:r>
          </w:p>
          <w:p w:rsidR="00000000" w:rsidRPr="00381379" w:rsidP="00381379">
            <w:pPr>
              <w:pStyle w:val="BodyText"/>
            </w:pPr>
            <w:r w:rsidRPr="00381379">
              <w:t>The critical safety nature of working with electricity, electrical equipment, gas or any other hazardous substance/material carries risk in deeming a person competent. Hence, sources of ev</w:t>
            </w:r>
            <w:r w:rsidRPr="00381379">
              <w:t>idence need to be 'rich' in nature so as to minimise error in judgment.</w:t>
            </w:r>
          </w:p>
          <w:p w:rsidR="00000000" w:rsidP="00381379">
            <w:pPr>
              <w:pStyle w:val="BodyText"/>
              <w:rPr>
                <w:lang w:val="en-NZ"/>
              </w:rPr>
            </w:pPr>
            <w:r w:rsidRPr="00381379">
              <w:t>Activities associated with normal every day work have a bearing on the decision as to how much and how detailed the data gathered will contribute to its 'richness'. Some skills are mor</w:t>
            </w:r>
            <w:r w:rsidRPr="00381379">
              <w:t>e critical to safety and operational requirements while the same skills may be more or less frequently practiced. These points are raised for the assessors to consider when choosing an assessment method and developing assessment instruments. Sample assessm</w:t>
            </w:r>
            <w:r w:rsidRPr="00381379">
              <w:t>ent instruments are included for Assessors in the Assessment Guidelines of this Training Package.</w:t>
            </w:r>
          </w:p>
        </w:tc>
      </w:tr>
      <w:tr w:rsidTr="001E4FF6">
        <w:tblPrEx>
          <w:tblW w:w="0" w:type="auto"/>
          <w:tblLayout w:type="fixed"/>
          <w:tblCellMar>
            <w:left w:w="62" w:type="dxa"/>
            <w:right w:w="62" w:type="dxa"/>
          </w:tblCellMar>
          <w:tblLook w:val="0000"/>
        </w:tblPrEx>
        <w:tc>
          <w:tcPr>
            <w:tcW w:w="2086" w:type="dxa"/>
            <w:vMerge w:val="restart"/>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 xml:space="preserve">Critical aspects of evidence required to demonstrate </w:t>
            </w:r>
            <w:r w:rsidRPr="00381379">
              <w:rPr>
                <w:rStyle w:val="SpecialBold"/>
              </w:rPr>
              <w:t>competency in this unit</w:t>
            </w:r>
          </w:p>
        </w:tc>
        <w:tc>
          <w:tcPr>
            <w:tcW w:w="6554" w:type="dxa"/>
            <w:gridSpan w:val="4"/>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9</w:t>
            </w:r>
            <w:r w:rsidRPr="00381379">
              <w:t>.</w:t>
            </w:r>
            <w:r w:rsidRPr="00381379">
              <w:rPr>
                <w:rStyle w:val="SpecialBold"/>
              </w:rPr>
              <w:t>2</w:t>
            </w:r>
            <w:r w:rsidRPr="00381379">
              <w:t xml:space="preserve">) </w:t>
            </w:r>
          </w:p>
          <w:p w:rsidR="00000000" w:rsidP="00381379">
            <w:pPr>
              <w:pStyle w:val="BodyText"/>
              <w:rPr>
                <w:lang w:val="en-NZ"/>
              </w:rPr>
            </w:pPr>
            <w:r w:rsidRPr="00381379">
              <w:t>Before the critical aspects of evidence are considered all prerequisite</w:t>
            </w:r>
            <w:r w:rsidRPr="00381379">
              <w:t>s shall be met.</w:t>
            </w:r>
          </w:p>
        </w:tc>
      </w:tr>
      <w:tr w:rsidTr="001E4FF6">
        <w:tblPrEx>
          <w:tblW w:w="0" w:type="auto"/>
          <w:tblLayout w:type="fixed"/>
          <w:tblCellMar>
            <w:left w:w="62" w:type="dxa"/>
            <w:right w:w="62" w:type="dxa"/>
          </w:tblCellMar>
          <w:tblLook w:val="0000"/>
        </w:tblPrEx>
        <w:tc>
          <w:tcPr>
            <w:tcW w:w="20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4" w:type="dxa"/>
            <w:gridSpan w:val="4"/>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t xml:space="preserve">Evidence for competence in this unit shall be considered holistically. Each element and associated Performance Criteria shall be demonstrated </w:t>
            </w:r>
            <w:r w:rsidRPr="00381379">
              <w:t>on at least two occasions in accordance with the "Assessment Guidelines - UET09". Evidence shall also comprise:</w:t>
            </w:r>
          </w:p>
          <w:p w:rsidR="00000000" w:rsidP="00381379">
            <w:pPr>
              <w:pStyle w:val="ListBullet"/>
              <w:rPr>
                <w:lang w:val="en-NZ"/>
              </w:rPr>
            </w:pPr>
            <w:r w:rsidRPr="00381379">
              <w:t>A representative body of Performance Criteria demonstrated within the timeframes typically expected of the discipline, work function and indust</w:t>
            </w:r>
            <w:r w:rsidRPr="00381379">
              <w:t>rial environment. In particular this shall incorporate evidence that shows a candidate is able to:</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p>
        </w:tc>
        <w:tc>
          <w:tcPr>
            <w:tcW w:w="6554" w:type="dxa"/>
            <w:gridSpan w:val="4"/>
            <w:tcBorders>
              <w:top w:val="nil"/>
              <w:left w:val="nil"/>
              <w:bottom w:val="nil"/>
              <w:right w:val="nil"/>
            </w:tcBorders>
            <w:tcMar>
              <w:top w:w="0" w:type="dxa"/>
              <w:left w:w="62" w:type="dxa"/>
              <w:bottom w:w="0" w:type="dxa"/>
              <w:right w:w="62" w:type="dxa"/>
            </w:tcMar>
          </w:tcPr>
          <w:p w:rsidR="00000000" w:rsidRPr="00381379" w:rsidP="00381379">
            <w:pPr>
              <w:pStyle w:val="ListBullet2"/>
            </w:pPr>
            <w:r w:rsidRPr="00381379">
              <w:t xml:space="preserve">Implement Occupational Health and Safety workplace procedures and practices including </w:t>
            </w:r>
            <w:r w:rsidRPr="00381379">
              <w:t>the use of risk control measures as specified in the Performance Criteria and range; and</w:t>
            </w:r>
          </w:p>
          <w:p w:rsidR="00000000" w:rsidRPr="00381379" w:rsidP="00381379">
            <w:pPr>
              <w:pStyle w:val="ListBullet2"/>
            </w:pPr>
            <w:r w:rsidRPr="00381379">
              <w:t>Apply sustainable energy principles and practices as specified in the Performance Criteria and range; and</w:t>
            </w:r>
          </w:p>
          <w:p w:rsidR="00000000" w:rsidRPr="00381379" w:rsidP="00381379">
            <w:pPr>
              <w:pStyle w:val="ListBullet2"/>
            </w:pPr>
            <w:r w:rsidRPr="00381379">
              <w:t>Demonstrate an understanding of the essential knowledge and a</w:t>
            </w:r>
            <w:r w:rsidRPr="00381379">
              <w:t>ssociated skills as described in this unit to such an extent that the learner's performance outcome is reported in accordance with the preferred approach; namely a percentile graded result, where required by the regulated environment; and</w:t>
            </w:r>
          </w:p>
          <w:p w:rsidR="00000000" w:rsidRPr="00381379" w:rsidP="00381379">
            <w:pPr>
              <w:pStyle w:val="ListBullet2"/>
            </w:pPr>
            <w:r w:rsidRPr="00381379">
              <w:t>Demonstrate an ap</w:t>
            </w:r>
            <w:r w:rsidRPr="00381379">
              <w:t>propriate level of employability skills; and</w:t>
            </w:r>
          </w:p>
          <w:p w:rsidR="00000000" w:rsidP="00381379">
            <w:pPr>
              <w:pStyle w:val="ListBullet2"/>
              <w:rPr>
                <w:lang w:val="en-NZ"/>
              </w:rPr>
            </w:pPr>
            <w:r w:rsidRPr="00381379">
              <w:t>Conduct work observing the relevant Anti Discrimination legislation, regulations, policies and workplace procedures; and</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p>
        </w:tc>
        <w:tc>
          <w:tcPr>
            <w:tcW w:w="6554" w:type="dxa"/>
            <w:gridSpan w:val="4"/>
            <w:tcBorders>
              <w:top w:val="nil"/>
              <w:left w:val="nil"/>
              <w:bottom w:val="nil"/>
              <w:right w:val="nil"/>
            </w:tcBorders>
            <w:tcMar>
              <w:top w:w="0" w:type="dxa"/>
              <w:left w:w="62" w:type="dxa"/>
              <w:bottom w:w="0" w:type="dxa"/>
              <w:right w:w="62" w:type="dxa"/>
            </w:tcMar>
          </w:tcPr>
          <w:p w:rsidR="00000000" w:rsidP="00381379">
            <w:pPr>
              <w:pStyle w:val="ListBullet"/>
              <w:rPr>
                <w:lang w:val="en-NZ"/>
              </w:rPr>
            </w:pPr>
            <w:r w:rsidRPr="00381379">
              <w:t>Demonstrated performance across a representative range of contexts from the prescribed items below:</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 w:type="dxa"/>
            <w:tcBorders>
              <w:top w:val="nil"/>
              <w:left w:val="nil"/>
              <w:bottom w:val="nil"/>
              <w:right w:val="single" w:sz="6" w:space="0" w:color="auto"/>
            </w:tcBorders>
            <w:tcMar>
              <w:top w:w="0" w:type="dxa"/>
              <w:left w:w="62" w:type="dxa"/>
              <w:bottom w:w="0" w:type="dxa"/>
              <w:right w:w="62" w:type="dxa"/>
            </w:tcMar>
          </w:tcPr>
          <w:p w:rsidR="00000000" w:rsidRPr="00381379">
            <w:pPr>
              <w:pStyle w:val="BodyText"/>
              <w:keepNext w:val="0"/>
              <w:keepLines w:val="0"/>
              <w:contextualSpacing w:val="0"/>
            </w:pPr>
          </w:p>
        </w:tc>
        <w:tc>
          <w:tcPr>
            <w:tcW w:w="585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379">
            <w:pPr>
              <w:pStyle w:val="BodyText"/>
              <w:rPr>
                <w:lang w:val="en-NZ"/>
              </w:rPr>
            </w:pPr>
            <w:r w:rsidRPr="00381379">
              <w:rPr>
                <w:rStyle w:val="SpecialBold"/>
              </w:rPr>
              <w:t>Range of tools</w:t>
            </w:r>
            <w:r w:rsidRPr="00381379">
              <w:t>/</w:t>
            </w:r>
            <w:r w:rsidRPr="00381379">
              <w:rPr>
                <w:rStyle w:val="SpecialBold"/>
              </w:rPr>
              <w:t>equipment</w:t>
            </w:r>
            <w:r w:rsidRPr="00381379">
              <w:t>/</w:t>
            </w:r>
            <w:r w:rsidRPr="00381379">
              <w:rPr>
                <w:rStyle w:val="SpecialBold"/>
              </w:rPr>
              <w:t>materials</w:t>
            </w:r>
            <w:r w:rsidRPr="00381379">
              <w:t>/</w:t>
            </w:r>
            <w:r w:rsidRPr="00381379">
              <w:rPr>
                <w:rStyle w:val="SpecialBold"/>
              </w:rPr>
              <w:t>procedures</w:t>
            </w:r>
            <w:r w:rsidRPr="00381379">
              <w:t>/</w:t>
            </w:r>
            <w:r w:rsidRPr="00381379">
              <w:rPr>
                <w:rStyle w:val="SpecialBold"/>
              </w:rPr>
              <w:t>workplaces</w:t>
            </w:r>
            <w:r w:rsidRPr="00381379">
              <w:t>/</w:t>
            </w:r>
            <w:r w:rsidRPr="00381379">
              <w:rPr>
                <w:rStyle w:val="SpecialBold"/>
              </w:rPr>
              <w:t>other variables</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 w:type="dxa"/>
            <w:tcBorders>
              <w:top w:val="nil"/>
              <w:left w:val="nil"/>
              <w:bottom w:val="nil"/>
              <w:right w:val="single" w:sz="6" w:space="0" w:color="auto"/>
            </w:tcBorders>
            <w:tcMar>
              <w:top w:w="0" w:type="dxa"/>
              <w:left w:w="62" w:type="dxa"/>
              <w:bottom w:w="0" w:type="dxa"/>
              <w:right w:w="62" w:type="dxa"/>
            </w:tcMar>
          </w:tcPr>
          <w:p w:rsidR="00000000" w:rsidRPr="00381379">
            <w:pPr>
              <w:pStyle w:val="BodyText"/>
              <w:keepNext w:val="0"/>
              <w:keepLines w:val="0"/>
              <w:contextualSpacing w:val="0"/>
            </w:pPr>
          </w:p>
        </w:tc>
        <w:tc>
          <w:tcPr>
            <w:tcW w:w="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379" w:rsidP="00381379">
            <w:pPr>
              <w:pStyle w:val="BodyText"/>
            </w:pPr>
            <w:r w:rsidRPr="00381379">
              <w:rPr>
                <w:rStyle w:val="SpecialBold"/>
              </w:rPr>
              <w:t>Group No</w:t>
            </w:r>
          </w:p>
        </w:tc>
        <w:tc>
          <w:tcPr>
            <w:tcW w:w="1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379" w:rsidP="00381379">
            <w:pPr>
              <w:pStyle w:val="BodyText"/>
            </w:pPr>
            <w:r w:rsidRPr="00381379">
              <w:rPr>
                <w:rStyle w:val="SpecialBold"/>
              </w:rPr>
              <w:t>The minimum number of items on which skill is to be demonstrated</w:t>
            </w:r>
          </w:p>
        </w:tc>
        <w:tc>
          <w:tcPr>
            <w:tcW w:w="31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379">
            <w:pPr>
              <w:pStyle w:val="BodyText"/>
              <w:rPr>
                <w:lang w:val="en-NZ"/>
              </w:rPr>
            </w:pPr>
            <w:r w:rsidRPr="00381379">
              <w:rPr>
                <w:rStyle w:val="SpecialBold"/>
              </w:rPr>
              <w:t>Item List</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379">
            <w:pPr>
              <w:pStyle w:val="BodyText"/>
              <w:rPr>
                <w:lang w:val="en-NZ"/>
              </w:rPr>
            </w:pPr>
            <w:r w:rsidRPr="00381379">
              <w:t>A</w:t>
            </w:r>
          </w:p>
        </w:tc>
        <w:tc>
          <w:tcPr>
            <w:tcW w:w="1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379">
            <w:pPr>
              <w:pStyle w:val="BodyText"/>
              <w:rPr>
                <w:lang w:val="en-NZ"/>
              </w:rPr>
            </w:pPr>
            <w:r w:rsidRPr="00381379">
              <w:t>At least two of the following:</w:t>
            </w:r>
          </w:p>
        </w:tc>
        <w:tc>
          <w:tcPr>
            <w:tcW w:w="31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379" w:rsidP="00381379">
            <w:pPr>
              <w:pStyle w:val="BodyText"/>
            </w:pPr>
            <w:r w:rsidRPr="00381379">
              <w:t>Bulk oil circuit breakers</w:t>
            </w:r>
          </w:p>
          <w:p w:rsidR="00000000" w:rsidRPr="00381379" w:rsidP="00381379">
            <w:pPr>
              <w:pStyle w:val="BodyText"/>
            </w:pPr>
            <w:r w:rsidRPr="00381379">
              <w:t>Small oil volume circuit breaker</w:t>
            </w:r>
          </w:p>
          <w:p w:rsidR="00000000" w:rsidRPr="00381379" w:rsidP="00381379">
            <w:pPr>
              <w:pStyle w:val="BodyText"/>
            </w:pPr>
            <w:r w:rsidRPr="00381379">
              <w:t>Air blast circuit breaker</w:t>
            </w:r>
          </w:p>
          <w:p w:rsidR="00000000" w:rsidRPr="00381379" w:rsidP="00381379">
            <w:pPr>
              <w:pStyle w:val="BodyText"/>
            </w:pPr>
            <w:r w:rsidRPr="00381379">
              <w:t>Vacuum circuit breaker</w:t>
            </w:r>
          </w:p>
          <w:p w:rsidR="00000000" w:rsidRPr="00381379" w:rsidP="00381379">
            <w:pPr>
              <w:pStyle w:val="BodyText"/>
            </w:pPr>
            <w:r w:rsidRPr="00381379">
              <w:t>GIS circuit breakers</w:t>
            </w:r>
          </w:p>
          <w:p w:rsidR="00000000" w:rsidP="00381379">
            <w:pPr>
              <w:pStyle w:val="BodyText"/>
              <w:rPr>
                <w:lang w:val="en-NZ"/>
              </w:rPr>
            </w:pPr>
            <w:r w:rsidRPr="00381379">
              <w:t>Gas circuit breakers</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379">
            <w:pPr>
              <w:pStyle w:val="BodyText"/>
              <w:rPr>
                <w:lang w:val="en-NZ"/>
              </w:rPr>
            </w:pPr>
            <w:r w:rsidRPr="00381379">
              <w:t>B</w:t>
            </w:r>
          </w:p>
        </w:tc>
        <w:tc>
          <w:tcPr>
            <w:tcW w:w="1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379">
            <w:pPr>
              <w:pStyle w:val="BodyText"/>
              <w:rPr>
                <w:lang w:val="en-NZ"/>
              </w:rPr>
            </w:pPr>
            <w:r w:rsidRPr="00381379">
              <w:t>At least two of the following:</w:t>
            </w:r>
          </w:p>
        </w:tc>
        <w:tc>
          <w:tcPr>
            <w:tcW w:w="31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379" w:rsidP="00381379">
            <w:pPr>
              <w:pStyle w:val="BodyText"/>
            </w:pPr>
            <w:r w:rsidRPr="00381379">
              <w:t>Spring operated mechanism</w:t>
            </w:r>
          </w:p>
          <w:p w:rsidR="00000000" w:rsidRPr="00381379" w:rsidP="00381379">
            <w:pPr>
              <w:pStyle w:val="BodyText"/>
            </w:pPr>
            <w:r w:rsidRPr="00381379">
              <w:t>Solenoid operated mechanism</w:t>
            </w:r>
          </w:p>
          <w:p w:rsidR="00000000" w:rsidRPr="00381379" w:rsidP="00381379">
            <w:pPr>
              <w:pStyle w:val="BodyText"/>
            </w:pPr>
            <w:r w:rsidRPr="00381379">
              <w:t>Hydraulic operated mechanism</w:t>
            </w:r>
          </w:p>
          <w:p w:rsidR="00000000" w:rsidP="00381379">
            <w:pPr>
              <w:pStyle w:val="BodyText"/>
              <w:rPr>
                <w:lang w:val="en-NZ"/>
              </w:rPr>
            </w:pPr>
            <w:r w:rsidRPr="00381379">
              <w:t>Pneumatic operated mechanism</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379">
            <w:pPr>
              <w:pStyle w:val="BodyText"/>
              <w:rPr>
                <w:lang w:val="en-NZ"/>
              </w:rPr>
            </w:pPr>
            <w:r w:rsidRPr="00381379">
              <w:t>C</w:t>
            </w:r>
          </w:p>
        </w:tc>
        <w:tc>
          <w:tcPr>
            <w:tcW w:w="1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379">
            <w:pPr>
              <w:pStyle w:val="BodyText"/>
              <w:rPr>
                <w:lang w:val="en-NZ"/>
              </w:rPr>
            </w:pPr>
            <w:r w:rsidRPr="00381379">
              <w:t>At least three of the following:</w:t>
            </w:r>
          </w:p>
        </w:tc>
        <w:tc>
          <w:tcPr>
            <w:tcW w:w="31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379" w:rsidP="00381379">
            <w:pPr>
              <w:pStyle w:val="BodyText"/>
            </w:pPr>
            <w:r w:rsidRPr="00381379">
              <w:t>Insulation resistance tests</w:t>
            </w:r>
          </w:p>
          <w:p w:rsidR="00000000" w:rsidRPr="00381379" w:rsidP="00381379">
            <w:pPr>
              <w:pStyle w:val="BodyText"/>
            </w:pPr>
            <w:r w:rsidRPr="00381379">
              <w:t>Contact resistance tests</w:t>
            </w:r>
          </w:p>
          <w:p w:rsidR="00000000" w:rsidRPr="00381379" w:rsidP="00381379">
            <w:pPr>
              <w:pStyle w:val="BodyText"/>
            </w:pPr>
            <w:r w:rsidRPr="00381379">
              <w:t>Minimum close and open tests (reduced voltage tests)</w:t>
            </w:r>
          </w:p>
          <w:p w:rsidR="00000000" w:rsidRPr="00381379" w:rsidP="00381379">
            <w:pPr>
              <w:pStyle w:val="BodyText"/>
            </w:pPr>
            <w:r w:rsidRPr="00381379">
              <w:t>Sequence timing tests</w:t>
            </w:r>
          </w:p>
          <w:p w:rsidR="00000000" w:rsidRPr="00381379" w:rsidP="00381379">
            <w:pPr>
              <w:pStyle w:val="BodyText"/>
            </w:pPr>
            <w:r w:rsidRPr="00381379">
              <w:t>Contact travel/timing test</w:t>
            </w:r>
          </w:p>
          <w:p w:rsidR="00000000" w:rsidRPr="00381379" w:rsidP="00381379">
            <w:pPr>
              <w:pStyle w:val="BodyText"/>
            </w:pPr>
            <w:r w:rsidRPr="00381379">
              <w:t>Vibration test</w:t>
            </w:r>
          </w:p>
          <w:p w:rsidR="00000000" w:rsidP="00381379">
            <w:pPr>
              <w:pStyle w:val="BodyText"/>
              <w:rPr>
                <w:lang w:val="en-NZ"/>
              </w:rPr>
            </w:pPr>
            <w:r w:rsidRPr="00381379">
              <w:t>Gas pressure tests</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379">
            <w:pPr>
              <w:pStyle w:val="BodyText"/>
              <w:rPr>
                <w:lang w:val="en-NZ"/>
              </w:rPr>
            </w:pPr>
            <w:r w:rsidRPr="00381379">
              <w:t>D</w:t>
            </w:r>
          </w:p>
        </w:tc>
        <w:tc>
          <w:tcPr>
            <w:tcW w:w="1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379">
            <w:pPr>
              <w:pStyle w:val="BodyText"/>
              <w:rPr>
                <w:lang w:val="en-NZ"/>
              </w:rPr>
            </w:pPr>
            <w:r w:rsidRPr="00381379">
              <w:t>At least two of the following:</w:t>
            </w:r>
          </w:p>
        </w:tc>
        <w:tc>
          <w:tcPr>
            <w:tcW w:w="31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379" w:rsidP="00381379">
            <w:pPr>
              <w:pStyle w:val="BodyText"/>
            </w:pPr>
            <w:r w:rsidRPr="00381379">
              <w:t>Gas measuring devices</w:t>
            </w:r>
          </w:p>
          <w:p w:rsidR="00000000" w:rsidRPr="00381379" w:rsidP="00381379">
            <w:pPr>
              <w:pStyle w:val="BodyText"/>
            </w:pPr>
            <w:r w:rsidRPr="00381379">
              <w:t>Pressure measuring devices</w:t>
            </w:r>
          </w:p>
          <w:p w:rsidR="00000000" w:rsidRPr="00381379" w:rsidP="00381379">
            <w:pPr>
              <w:pStyle w:val="BodyText"/>
            </w:pPr>
            <w:r w:rsidRPr="00381379">
              <w:t>SF6 gas sa</w:t>
            </w:r>
            <w:r w:rsidRPr="00381379">
              <w:t>mpling</w:t>
            </w:r>
          </w:p>
          <w:p w:rsidR="00000000" w:rsidRPr="00381379" w:rsidP="00381379">
            <w:pPr>
              <w:pStyle w:val="BodyText"/>
            </w:pPr>
            <w:r w:rsidRPr="00381379">
              <w:t>Oil sampling</w:t>
            </w:r>
          </w:p>
          <w:p w:rsidR="00000000" w:rsidP="00381379">
            <w:pPr>
              <w:pStyle w:val="BodyText"/>
              <w:rPr>
                <w:lang w:val="en-NZ"/>
              </w:rPr>
            </w:pPr>
            <w:r w:rsidRPr="00381379">
              <w:t>SF6 moisture content (dew point)</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379">
            <w:pPr>
              <w:pStyle w:val="BodyText"/>
              <w:rPr>
                <w:lang w:val="en-NZ"/>
              </w:rPr>
            </w:pPr>
            <w:r w:rsidRPr="00381379">
              <w:t>E</w:t>
            </w:r>
          </w:p>
        </w:tc>
        <w:tc>
          <w:tcPr>
            <w:tcW w:w="1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379">
            <w:pPr>
              <w:pStyle w:val="BodyText"/>
              <w:rPr>
                <w:lang w:val="en-NZ"/>
              </w:rPr>
            </w:pPr>
            <w:r w:rsidRPr="00381379">
              <w:t>At least one occasion</w:t>
            </w:r>
          </w:p>
        </w:tc>
        <w:tc>
          <w:tcPr>
            <w:tcW w:w="31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379">
            <w:pPr>
              <w:pStyle w:val="BodyText"/>
              <w:rPr>
                <w:lang w:val="en-NZ"/>
              </w:rPr>
            </w:pPr>
            <w:r w:rsidRPr="00381379">
              <w:t xml:space="preserve">Dealing with an unplanned event by drawing on essential knowledge and associated skills to provide appropriate solutions incorporated in the </w:t>
            </w:r>
            <w:r w:rsidRPr="00381379">
              <w:t>holistic assessment with the above listed items.</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Context of and specific resources for assessment</w:t>
            </w:r>
          </w:p>
        </w:tc>
        <w:tc>
          <w:tcPr>
            <w:tcW w:w="6554" w:type="dxa"/>
            <w:gridSpan w:val="4"/>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9</w:t>
            </w:r>
            <w:r w:rsidRPr="00381379">
              <w:t>.</w:t>
            </w:r>
            <w:r w:rsidRPr="00381379">
              <w:rPr>
                <w:rStyle w:val="SpecialBold"/>
              </w:rPr>
              <w:t>3</w:t>
            </w:r>
            <w:r w:rsidRPr="00381379">
              <w:t xml:space="preserve">) </w:t>
            </w:r>
          </w:p>
          <w:p w:rsidR="00000000" w:rsidRPr="00381379" w:rsidP="00381379">
            <w:pPr>
              <w:pStyle w:val="BodyText"/>
            </w:pPr>
            <w:r w:rsidRPr="00381379">
              <w:t>This unit should be assessed as it relates to normal work practice using procedures, information and resources typical of a workplace. This should incl</w:t>
            </w:r>
            <w:r w:rsidRPr="00381379">
              <w:t>ude:</w:t>
            </w:r>
          </w:p>
          <w:p w:rsidR="00000000" w:rsidRPr="00381379" w:rsidP="00381379">
            <w:pPr>
              <w:pStyle w:val="ListBullet"/>
            </w:pPr>
            <w:r w:rsidRPr="00381379">
              <w:t>OHS policy and work procedures and instructions.</w:t>
            </w:r>
          </w:p>
          <w:p w:rsidR="00000000" w:rsidP="00381379">
            <w:pPr>
              <w:pStyle w:val="ListBullet"/>
              <w:rPr>
                <w:lang w:val="en-NZ"/>
              </w:rPr>
            </w:pPr>
            <w:r w:rsidRPr="00381379">
              <w:t>Suitable work environment, facilities, equipment and materials to undertake actual maintenance of HV and EHV circuit breakers in power system substations.</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4" w:type="dxa"/>
            <w:gridSpan w:val="4"/>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 xml:space="preserve">In addition to the resources listed above, in Context of and specific resources for assessment, evidence should show demonstrated competency working: </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4" w:type="dxa"/>
            <w:gridSpan w:val="4"/>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At realistic heights above ground, i.e. above 3 metres, in limited spaces, with different structural</w:t>
            </w:r>
            <w:r w:rsidRPr="00381379">
              <w:t>/construction types and method and in a variety of environments.</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Method of assessment</w:t>
            </w:r>
          </w:p>
        </w:tc>
        <w:tc>
          <w:tcPr>
            <w:tcW w:w="6554" w:type="dxa"/>
            <w:gridSpan w:val="4"/>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9</w:t>
            </w:r>
            <w:r w:rsidRPr="00381379">
              <w:t>.</w:t>
            </w:r>
            <w:r w:rsidRPr="00381379">
              <w:rPr>
                <w:rStyle w:val="SpecialBold"/>
              </w:rPr>
              <w:t>4</w:t>
            </w:r>
            <w:r w:rsidRPr="00381379">
              <w:t xml:space="preserve">) </w:t>
            </w:r>
          </w:p>
          <w:p w:rsidR="00000000" w:rsidRPr="00381379" w:rsidP="00381379">
            <w:pPr>
              <w:pStyle w:val="BodyText"/>
            </w:pPr>
            <w:r w:rsidRPr="00381379">
              <w:t>This Competency Standard Unit shall be assessed by methods given in Volume 1, Part 3 "Assessment Guidelines".</w:t>
            </w:r>
          </w:p>
          <w:p w:rsidR="00000000" w:rsidP="00381379">
            <w:pPr>
              <w:pStyle w:val="BodyText"/>
              <w:rPr>
                <w:lang w:val="en-NZ"/>
              </w:rPr>
            </w:pPr>
            <w:r w:rsidRPr="00381379">
              <w:t>Note:</w:t>
            </w:r>
            <w:r w:rsidRPr="00381379">
              <w:br/>
            </w:r>
            <w:r w:rsidRPr="00381379">
              <w:t>Competent performance with inherent safe working practices is expected in the Transmission, Distribution and Rail Traction Industry. This requires that the specified essential knowledge and associated skills are assessed in a structured environment which i</w:t>
            </w:r>
            <w:r w:rsidRPr="00381379">
              <w:t>s primarily intended for learning/assessment and incorporates all necessary equipment and facilities for learners to develop and demonstrate the essential knowledge and associated skills described in this unit.</w:t>
            </w:r>
          </w:p>
        </w:tc>
      </w:tr>
      <w:tr w:rsidTr="001E4FF6">
        <w:tblPrEx>
          <w:tblW w:w="0" w:type="auto"/>
          <w:tblLayout w:type="fixed"/>
          <w:tblCellMar>
            <w:left w:w="62" w:type="dxa"/>
            <w:right w:w="62" w:type="dxa"/>
          </w:tblCellMar>
          <w:tblLook w:val="0000"/>
        </w:tblPrEx>
        <w:tc>
          <w:tcPr>
            <w:tcW w:w="2086" w:type="dxa"/>
            <w:vMerge w:val="restart"/>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Concurrent assessment and relationship wi</w:t>
            </w:r>
            <w:r w:rsidRPr="00381379">
              <w:rPr>
                <w:rStyle w:val="SpecialBold"/>
              </w:rPr>
              <w:t>th other units</w:t>
            </w:r>
          </w:p>
        </w:tc>
        <w:tc>
          <w:tcPr>
            <w:tcW w:w="6554" w:type="dxa"/>
            <w:gridSpan w:val="4"/>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rPr>
                <w:rStyle w:val="SpecialBold"/>
              </w:rPr>
              <w:t>9</w:t>
            </w:r>
            <w:r w:rsidRPr="00381379">
              <w:t>.</w:t>
            </w:r>
            <w:r w:rsidRPr="00381379">
              <w:rPr>
                <w:rStyle w:val="SpecialBold"/>
              </w:rPr>
              <w:t>5</w:t>
            </w:r>
            <w:r w:rsidRPr="00381379">
              <w:t>)</w:t>
            </w:r>
          </w:p>
        </w:tc>
      </w:tr>
      <w:tr w:rsidTr="001E4FF6">
        <w:tblPrEx>
          <w:tblW w:w="0" w:type="auto"/>
          <w:tblLayout w:type="fixed"/>
          <w:tblCellMar>
            <w:left w:w="62" w:type="dxa"/>
            <w:right w:w="62" w:type="dxa"/>
          </w:tblCellMar>
          <w:tblLook w:val="0000"/>
        </w:tblPrEx>
        <w:tc>
          <w:tcPr>
            <w:tcW w:w="20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4" w:type="dxa"/>
            <w:gridSpan w:val="4"/>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t>There are no concurrent assessment recommendations for this unit.</w:t>
            </w:r>
          </w:p>
        </w:tc>
      </w:tr>
    </w:tbl>
    <w:p w:rsidR="001E4FF6" w:rsidP="00381379">
      <w:pPr>
        <w:pStyle w:val="BodyText"/>
      </w:pPr>
    </w:p>
    <w:p w:rsidR="001E4FF6" w:rsidP="00381379">
      <w:pPr>
        <w:pStyle w:val="BodyText"/>
      </w:pPr>
    </w:p>
    <w:p w:rsidR="00000000" w:rsidRPr="00381379" w:rsidP="00381379">
      <w:pPr>
        <w:pStyle w:val="Heading1"/>
      </w:pPr>
      <w:bookmarkStart w:id="11" w:name="O_256204"/>
      <w:bookmarkEnd w:id="11"/>
      <w:r w:rsidRPr="00381379">
        <w:t>Range Statement</w:t>
      </w:r>
    </w:p>
    <w:tbl>
      <w:tblPr>
        <w:tblW w:w="0" w:type="auto"/>
        <w:tblLayout w:type="fixed"/>
        <w:tblCellMar>
          <w:left w:w="62" w:type="dxa"/>
          <w:right w:w="62" w:type="dxa"/>
        </w:tblCellMar>
        <w:tblLook w:val="0000"/>
      </w:tblPr>
      <w:tblGrid>
        <w:gridCol w:w="2086"/>
        <w:gridCol w:w="6554"/>
      </w:tblGrid>
      <w:tr w:rsidTr="001E4FF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rPr>
                <w:rStyle w:val="SpecialBold"/>
              </w:rPr>
              <w:t>RANGE STATEMENT</w:t>
            </w:r>
          </w:p>
        </w:tc>
      </w:tr>
      <w:tr w:rsidTr="001E4FF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rPr>
                <w:rStyle w:val="SpecialBold"/>
              </w:rPr>
              <w:t>8</w:t>
            </w:r>
            <w:r w:rsidRPr="00381379">
              <w:t>) This relates to the competency standard unit as a whole providing the range of contexts and conditions to which the Performance Criteria apply. It allows for different work environments and situations that will affect performance.</w:t>
            </w:r>
          </w:p>
        </w:tc>
      </w:tr>
      <w:tr w:rsidTr="001E4FF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t>This Competency Stand</w:t>
            </w:r>
            <w:r w:rsidRPr="00381379">
              <w:t>ard Unit shall/may be demonstrated in relation to the maintenance of HV and EHV circuit breakers in power system substations, and switching stations.</w:t>
            </w:r>
          </w:p>
          <w:p w:rsidR="00000000" w:rsidRPr="00381379" w:rsidP="00381379">
            <w:pPr>
              <w:pStyle w:val="BodyText"/>
            </w:pPr>
            <w:r w:rsidRPr="00381379">
              <w:t>Circuit breaker types may include: Bulk oil, small oil volume, air blast, vacuum, air insulated and gas in</w:t>
            </w:r>
            <w:r w:rsidRPr="00381379">
              <w:t xml:space="preserve">sulated SF6. </w:t>
            </w:r>
          </w:p>
          <w:p w:rsidR="00000000" w:rsidRPr="00381379" w:rsidP="00381379">
            <w:pPr>
              <w:pStyle w:val="BodyText"/>
            </w:pPr>
            <w:r w:rsidRPr="00381379">
              <w:t>Associated control circuits include operating mechanisms, solenoids, spring, hydraulic and pneumatic drives, contactors, AC heaters, tripping and closing circuits and control wiring.</w:t>
            </w:r>
          </w:p>
          <w:p w:rsidR="00000000" w:rsidRPr="00381379" w:rsidP="00381379">
            <w:pPr>
              <w:pStyle w:val="BodyText"/>
            </w:pPr>
            <w:r w:rsidRPr="00381379">
              <w:t>Diagnostic checks may include insulation resistance, contac</w:t>
            </w:r>
            <w:r w:rsidRPr="00381379">
              <w:t xml:space="preserve">t resistance (dynamic and static), timing (in-service and out of service), gas pressure, air pressure, gas density, oil pressure, minimum operate checks. </w:t>
            </w:r>
          </w:p>
          <w:p w:rsidR="00000000" w:rsidRPr="00381379" w:rsidP="00381379">
            <w:pPr>
              <w:pStyle w:val="BodyText"/>
            </w:pPr>
            <w:r w:rsidRPr="00381379">
              <w:t>Specialised tools may include insulation resistance test sets, contact resistance tester, trip and cl</w:t>
            </w:r>
            <w:r w:rsidRPr="00381379">
              <w:t>ose coil testers, manufacturer's specific tools, sequence timing equipment.</w:t>
            </w:r>
          </w:p>
          <w:p w:rsidR="00000000" w:rsidP="00381379">
            <w:pPr>
              <w:pStyle w:val="BodyText"/>
              <w:rPr>
                <w:lang w:val="en-NZ"/>
              </w:rPr>
            </w:pPr>
            <w:r w:rsidRPr="00381379">
              <w:t>The following constants and variables included in the element/Performance Criteria in this unit are fully described in the Definitions Section 1 of this volume and form an integral</w:t>
            </w:r>
            <w:r w:rsidRPr="00381379">
              <w:t xml:space="preserve"> part of the Range Statement of this unit:</w:t>
            </w:r>
          </w:p>
        </w:tc>
      </w:tr>
      <w:tr w:rsidTr="001E4FF6">
        <w:tblPrEx>
          <w:tblW w:w="0" w:type="auto"/>
          <w:tblLayout w:type="fixed"/>
          <w:tblCellMar>
            <w:left w:w="62" w:type="dxa"/>
            <w:right w:w="62" w:type="dxa"/>
          </w:tblCellMar>
          <w:tblLook w:val="0000"/>
        </w:tblPrEx>
        <w:tc>
          <w:tcPr>
            <w:tcW w:w="2086"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p>
        </w:tc>
        <w:tc>
          <w:tcPr>
            <w:tcW w:w="6554" w:type="dxa"/>
            <w:tcBorders>
              <w:top w:val="nil"/>
              <w:left w:val="nil"/>
              <w:bottom w:val="nil"/>
              <w:right w:val="nil"/>
            </w:tcBorders>
            <w:tcMar>
              <w:top w:w="0" w:type="dxa"/>
              <w:left w:w="62" w:type="dxa"/>
              <w:bottom w:w="0" w:type="dxa"/>
              <w:right w:w="62" w:type="dxa"/>
            </w:tcMar>
          </w:tcPr>
          <w:p w:rsidR="00000000" w:rsidRPr="00381379" w:rsidP="00381379">
            <w:pPr>
              <w:pStyle w:val="ListBullet"/>
            </w:pPr>
            <w:r w:rsidRPr="00381379">
              <w:t>Appropriate and relevant persons (see Personnel)</w:t>
            </w:r>
          </w:p>
          <w:p w:rsidR="00000000" w:rsidRPr="00381379" w:rsidP="00381379">
            <w:pPr>
              <w:pStyle w:val="ListBullet"/>
            </w:pPr>
            <w:r w:rsidRPr="00381379">
              <w:t xml:space="preserve">Appropriate authorities </w:t>
            </w:r>
          </w:p>
          <w:p w:rsidR="00000000" w:rsidRPr="00381379" w:rsidP="00381379">
            <w:pPr>
              <w:pStyle w:val="ListBullet"/>
            </w:pPr>
            <w:r w:rsidRPr="00381379">
              <w:t>Appropriate work platform</w:t>
            </w:r>
          </w:p>
          <w:p w:rsidR="00000000" w:rsidRPr="00381379" w:rsidP="00381379">
            <w:pPr>
              <w:pStyle w:val="ListBullet"/>
            </w:pPr>
            <w:r w:rsidRPr="00381379">
              <w:t>Assessing risk</w:t>
            </w:r>
          </w:p>
          <w:p w:rsidR="00000000" w:rsidRPr="00381379" w:rsidP="00381379">
            <w:pPr>
              <w:pStyle w:val="ListBullet"/>
            </w:pPr>
            <w:r w:rsidRPr="00381379">
              <w:t>Assessment</w:t>
            </w:r>
          </w:p>
          <w:p w:rsidR="00000000" w:rsidRPr="00381379" w:rsidP="00381379">
            <w:pPr>
              <w:pStyle w:val="ListBullet"/>
            </w:pPr>
            <w:r w:rsidRPr="00381379">
              <w:t>Authorisation</w:t>
            </w:r>
          </w:p>
          <w:p w:rsidR="00000000" w:rsidRPr="00381379" w:rsidP="00381379">
            <w:pPr>
              <w:pStyle w:val="ListBullet"/>
            </w:pPr>
            <w:r w:rsidRPr="00381379">
              <w:t>Confined space</w:t>
            </w:r>
          </w:p>
          <w:p w:rsidR="00000000" w:rsidRPr="00381379" w:rsidP="00381379">
            <w:pPr>
              <w:pStyle w:val="ListBullet"/>
            </w:pPr>
            <w:r w:rsidRPr="00381379">
              <w:t>Diagnostic, testing and restoration</w:t>
            </w:r>
          </w:p>
          <w:p w:rsidR="00000000" w:rsidRPr="00381379" w:rsidP="00381379">
            <w:pPr>
              <w:pStyle w:val="ListBullet"/>
            </w:pPr>
            <w:r w:rsidRPr="00381379">
              <w:t>Documenting detail work events, record keeping and or storage of information</w:t>
            </w:r>
          </w:p>
          <w:p w:rsidR="00000000" w:rsidRPr="00381379" w:rsidP="00381379">
            <w:pPr>
              <w:pStyle w:val="ListBullet"/>
            </w:pPr>
            <w:r w:rsidRPr="00381379">
              <w:t>Drawings and specifications</w:t>
            </w:r>
          </w:p>
          <w:p w:rsidR="00000000" w:rsidRPr="00381379" w:rsidP="00381379">
            <w:pPr>
              <w:pStyle w:val="ListBullet"/>
            </w:pPr>
            <w:r w:rsidRPr="00381379">
              <w:t>Emergency</w:t>
            </w:r>
          </w:p>
          <w:p w:rsidR="00000000" w:rsidRPr="00381379" w:rsidP="00381379">
            <w:pPr>
              <w:pStyle w:val="ListBullet"/>
            </w:pPr>
            <w:r w:rsidRPr="00381379">
              <w:t>Environmental and sustainable energy procedures</w:t>
            </w:r>
          </w:p>
          <w:p w:rsidR="00000000" w:rsidRPr="00381379" w:rsidP="00381379">
            <w:pPr>
              <w:pStyle w:val="ListBullet"/>
            </w:pPr>
            <w:r w:rsidRPr="00381379">
              <w:t>Environmental legislation</w:t>
            </w:r>
          </w:p>
          <w:p w:rsidR="00000000" w:rsidRPr="00381379" w:rsidP="00381379">
            <w:pPr>
              <w:pStyle w:val="ListBullet"/>
            </w:pPr>
            <w:r w:rsidRPr="00381379">
              <w:t>Environmental management documentation</w:t>
            </w:r>
          </w:p>
          <w:p w:rsidR="00000000" w:rsidRPr="00381379" w:rsidP="00381379">
            <w:pPr>
              <w:pStyle w:val="ListBullet"/>
            </w:pPr>
            <w:r w:rsidRPr="00381379">
              <w:t>Established procedures</w:t>
            </w:r>
          </w:p>
          <w:p w:rsidR="00000000" w:rsidRPr="00381379" w:rsidP="00381379">
            <w:pPr>
              <w:pStyle w:val="ListBullet"/>
            </w:pPr>
            <w:r w:rsidRPr="00381379">
              <w:t xml:space="preserve">Fall </w:t>
            </w:r>
            <w:r w:rsidRPr="00381379">
              <w:t>prevention</w:t>
            </w:r>
          </w:p>
          <w:p w:rsidR="00000000" w:rsidRPr="00381379" w:rsidP="00381379">
            <w:pPr>
              <w:pStyle w:val="ListBullet"/>
            </w:pPr>
            <w:r w:rsidRPr="00381379">
              <w:t>Hazards</w:t>
            </w:r>
          </w:p>
          <w:p w:rsidR="00000000" w:rsidRPr="00381379" w:rsidP="00381379">
            <w:pPr>
              <w:pStyle w:val="ListBullet"/>
            </w:pPr>
            <w:r w:rsidRPr="00381379">
              <w:t>Identifying hazards</w:t>
            </w:r>
          </w:p>
          <w:p w:rsidR="00000000" w:rsidRPr="00381379" w:rsidP="00381379">
            <w:pPr>
              <w:pStyle w:val="ListBullet"/>
            </w:pPr>
            <w:r w:rsidRPr="00381379">
              <w:t>Inspect</w:t>
            </w:r>
          </w:p>
          <w:p w:rsidR="00000000" w:rsidRPr="00381379" w:rsidP="00381379">
            <w:pPr>
              <w:pStyle w:val="ListBullet"/>
            </w:pPr>
            <w:r w:rsidRPr="00381379">
              <w:t>Legislation</w:t>
            </w:r>
          </w:p>
          <w:p w:rsidR="00000000" w:rsidRPr="00381379" w:rsidP="00381379">
            <w:pPr>
              <w:pStyle w:val="ListBullet"/>
            </w:pPr>
            <w:r w:rsidRPr="00381379">
              <w:t>MSDS</w:t>
            </w:r>
          </w:p>
          <w:p w:rsidR="00000000" w:rsidRPr="00381379" w:rsidP="00381379">
            <w:pPr>
              <w:pStyle w:val="ListBullet"/>
            </w:pPr>
            <w:r w:rsidRPr="00381379">
              <w:t>Notification</w:t>
            </w:r>
          </w:p>
          <w:p w:rsidR="00000000" w:rsidRPr="00381379" w:rsidP="00381379">
            <w:pPr>
              <w:pStyle w:val="ListBullet"/>
            </w:pPr>
            <w:r w:rsidRPr="00381379">
              <w:t>OHS practices</w:t>
            </w:r>
          </w:p>
          <w:p w:rsidR="00000000" w:rsidRPr="00381379" w:rsidP="00381379">
            <w:pPr>
              <w:pStyle w:val="ListBullet"/>
            </w:pPr>
            <w:r w:rsidRPr="00381379">
              <w:t>OHS issues</w:t>
            </w:r>
          </w:p>
          <w:p w:rsidR="00000000" w:rsidRPr="00381379" w:rsidP="00381379">
            <w:pPr>
              <w:pStyle w:val="ListBullet"/>
            </w:pPr>
            <w:r w:rsidRPr="00381379">
              <w:t>Permits and/or permits to work</w:t>
            </w:r>
          </w:p>
          <w:p w:rsidR="00000000" w:rsidRPr="00381379" w:rsidP="00381379">
            <w:pPr>
              <w:pStyle w:val="ListBullet"/>
            </w:pPr>
            <w:r w:rsidRPr="00381379">
              <w:t>Personnel</w:t>
            </w:r>
          </w:p>
          <w:p w:rsidR="00000000" w:rsidRPr="00381379" w:rsidP="00381379">
            <w:pPr>
              <w:pStyle w:val="ListBullet"/>
            </w:pPr>
            <w:r w:rsidRPr="00381379">
              <w:t>Quality assurance systems</w:t>
            </w:r>
          </w:p>
          <w:p w:rsidR="00000000" w:rsidRPr="00381379" w:rsidP="00381379">
            <w:pPr>
              <w:pStyle w:val="ListBullet"/>
            </w:pPr>
            <w:r w:rsidRPr="00381379">
              <w:t>Requirements</w:t>
            </w:r>
          </w:p>
          <w:p w:rsidR="00000000" w:rsidRPr="00381379" w:rsidP="00381379">
            <w:pPr>
              <w:pStyle w:val="ListBullet"/>
            </w:pPr>
            <w:r w:rsidRPr="00381379">
              <w:t>Testing procedures</w:t>
            </w:r>
          </w:p>
          <w:p w:rsidR="00000000" w:rsidRPr="00381379" w:rsidP="00381379">
            <w:pPr>
              <w:pStyle w:val="ListBullet"/>
            </w:pPr>
            <w:r w:rsidRPr="00381379">
              <w:t>Work clearance systems</w:t>
            </w:r>
          </w:p>
        </w:tc>
      </w:tr>
    </w:tbl>
    <w:p w:rsidR="001E4FF6" w:rsidP="00381379">
      <w:pPr>
        <w:pStyle w:val="BodyText"/>
      </w:pPr>
    </w:p>
    <w:p w:rsidR="001E4FF6" w:rsidP="00381379">
      <w:pPr>
        <w:pStyle w:val="BodyText"/>
      </w:pPr>
    </w:p>
    <w:p w:rsidR="00000000" w:rsidRPr="00381379" w:rsidP="00381379">
      <w:pPr>
        <w:pStyle w:val="Heading1"/>
      </w:pPr>
      <w:bookmarkStart w:id="12" w:name="O_297217"/>
      <w:bookmarkEnd w:id="12"/>
      <w:r w:rsidRPr="00381379">
        <w:t>Unit Sector(s)</w:t>
      </w:r>
    </w:p>
    <w:p w:rsidR="00000000" w:rsidRPr="00381379" w:rsidP="00381379">
      <w:pPr>
        <w:pStyle w:val="BodyText"/>
      </w:pPr>
      <w:r w:rsidRPr="00381379">
        <w:t>Not Applicable</w:t>
      </w:r>
    </w:p>
    <w:p w:rsidR="00000000" w:rsidRPr="00381379" w:rsidP="00381379">
      <w:pPr>
        <w:pStyle w:val="AllowPageBreak"/>
      </w:pPr>
    </w:p>
    <w:p w:rsidR="00000000" w:rsidRPr="00381379" w:rsidP="00381379">
      <w:pPr>
        <w:pStyle w:val="Heading1"/>
      </w:pPr>
      <w:bookmarkStart w:id="13" w:name="O_231812"/>
      <w:bookmarkEnd w:id="13"/>
      <w:r w:rsidRPr="00381379">
        <w:t>Custom Content Section</w:t>
      </w:r>
    </w:p>
    <w:tbl>
      <w:tblPr>
        <w:tblW w:w="0" w:type="auto"/>
        <w:tblLayout w:type="fixed"/>
        <w:tblCellMar>
          <w:left w:w="62" w:type="dxa"/>
          <w:right w:w="62" w:type="dxa"/>
        </w:tblCellMar>
        <w:tblLook w:val="0000"/>
      </w:tblPr>
      <w:tblGrid>
        <w:gridCol w:w="2023"/>
        <w:gridCol w:w="1118"/>
        <w:gridCol w:w="1638"/>
        <w:gridCol w:w="1119"/>
        <w:gridCol w:w="1710"/>
        <w:gridCol w:w="1032"/>
      </w:tblGrid>
      <w:tr w:rsidTr="001E4FF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2</w:t>
            </w:r>
            <w:r w:rsidRPr="00381379">
              <w:t>.</w:t>
            </w:r>
            <w:r w:rsidRPr="00381379">
              <w:rPr>
                <w:rStyle w:val="SpecialBold"/>
              </w:rPr>
              <w:t>2</w:t>
            </w:r>
            <w:r w:rsidRPr="00381379">
              <w:t xml:space="preserve">) </w:t>
            </w:r>
            <w:r w:rsidRPr="00381379">
              <w:rPr>
                <w:rStyle w:val="SpecialBold"/>
              </w:rPr>
              <w:t>Literacy and numeracy skills</w:t>
            </w:r>
          </w:p>
          <w:p w:rsidR="00000000" w:rsidP="00381379">
            <w:pPr>
              <w:pStyle w:val="BodyText"/>
              <w:rPr>
                <w:lang w:val="en-NZ"/>
              </w:rPr>
            </w:pPr>
            <w:r w:rsidRPr="00381379">
              <w:t>Participants are best equipped to achieve this unit if they have reading, writing and numeracy skills indicated by the following scales. Description of each scale is given in Volume 2, Part 3 "Literacy and Numeracy"</w:t>
            </w:r>
          </w:p>
        </w:tc>
      </w:tr>
      <w:tr w:rsidTr="001E4FF6">
        <w:tblPrEx>
          <w:tblW w:w="0" w:type="auto"/>
          <w:tblLayout w:type="fixed"/>
          <w:tblCellMar>
            <w:left w:w="62" w:type="dxa"/>
            <w:right w:w="62" w:type="dxa"/>
          </w:tblCellMar>
          <w:tblLook w:val="0000"/>
        </w:tblPrEx>
        <w:tc>
          <w:tcPr>
            <w:tcW w:w="2023"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Reading</w:t>
            </w:r>
          </w:p>
        </w:tc>
        <w:tc>
          <w:tcPr>
            <w:tcW w:w="1118"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4</w:t>
            </w:r>
          </w:p>
        </w:tc>
        <w:tc>
          <w:tcPr>
            <w:tcW w:w="1638"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Writing</w:t>
            </w:r>
          </w:p>
        </w:tc>
        <w:tc>
          <w:tcPr>
            <w:tcW w:w="111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4</w:t>
            </w:r>
          </w:p>
        </w:tc>
        <w:tc>
          <w:tcPr>
            <w:tcW w:w="1710"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t>Numeracy</w:t>
            </w:r>
          </w:p>
        </w:tc>
        <w:tc>
          <w:tcPr>
            <w:tcW w:w="1032"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t>4</w:t>
            </w:r>
          </w:p>
        </w:tc>
      </w:tr>
    </w:tbl>
    <w:p w:rsidR="001E4FF6" w:rsidP="00381379">
      <w:pPr>
        <w:pStyle w:val="BodyText"/>
      </w:pPr>
    </w:p>
    <w:p w:rsidR="001E4FF6" w:rsidP="00381379">
      <w:pPr>
        <w:pStyle w:val="BodyText"/>
      </w:pPr>
    </w:p>
    <w:p w:rsidR="00000000" w:rsidRPr="00381379" w:rsidP="00381379">
      <w:pPr>
        <w:pStyle w:val="Heading1"/>
      </w:pPr>
      <w:bookmarkStart w:id="14" w:name="O_231815"/>
      <w:bookmarkEnd w:id="14"/>
      <w:r w:rsidRPr="00381379">
        <w:t>Competency Field</w:t>
      </w:r>
    </w:p>
    <w:tbl>
      <w:tblPr>
        <w:tblW w:w="0" w:type="auto"/>
        <w:tblLayout w:type="fixed"/>
        <w:tblCellMar>
          <w:left w:w="62" w:type="dxa"/>
          <w:right w:w="62" w:type="dxa"/>
        </w:tblCellMar>
        <w:tblLook w:val="0000"/>
      </w:tblPr>
      <w:tblGrid>
        <w:gridCol w:w="2611"/>
        <w:gridCol w:w="6029"/>
      </w:tblGrid>
      <w:tr w:rsidTr="001E4FF6">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rPr>
                <w:rStyle w:val="SpecialBold"/>
              </w:rPr>
              <w:t>Competency Field</w:t>
            </w:r>
          </w:p>
        </w:tc>
        <w:tc>
          <w:tcPr>
            <w:tcW w:w="6029" w:type="dxa"/>
            <w:tcBorders>
              <w:top w:val="nil"/>
              <w:left w:val="nil"/>
              <w:bottom w:val="nil"/>
              <w:right w:val="nil"/>
            </w:tcBorders>
            <w:tcMar>
              <w:top w:w="0" w:type="dxa"/>
              <w:left w:w="62" w:type="dxa"/>
              <w:bottom w:w="0" w:type="dxa"/>
              <w:right w:w="62" w:type="dxa"/>
            </w:tcMar>
          </w:tcPr>
          <w:p w:rsidR="00000000" w:rsidP="00381379">
            <w:pPr>
              <w:pStyle w:val="BodyText"/>
              <w:rPr>
                <w:lang w:val="en-NZ"/>
              </w:rPr>
            </w:pPr>
            <w:r w:rsidRPr="00381379">
              <w:rPr>
                <w:rStyle w:val="SpecialBold"/>
              </w:rPr>
              <w:t>5</w:t>
            </w:r>
            <w:r w:rsidRPr="00381379">
              <w:t>)</w:t>
            </w:r>
          </w:p>
        </w:tc>
      </w:tr>
      <w:tr w:rsidTr="001E4FF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9" w:type="dxa"/>
            <w:tcBorders>
              <w:top w:val="nil"/>
              <w:left w:val="nil"/>
              <w:bottom w:val="nil"/>
              <w:right w:val="nil"/>
            </w:tcBorders>
            <w:tcMar>
              <w:top w:w="0" w:type="dxa"/>
              <w:left w:w="62" w:type="dxa"/>
              <w:bottom w:w="0" w:type="dxa"/>
              <w:right w:w="62" w:type="dxa"/>
            </w:tcMar>
          </w:tcPr>
          <w:p w:rsidR="00000000" w:rsidRPr="00381379" w:rsidP="00381379">
            <w:pPr>
              <w:pStyle w:val="BodyText"/>
            </w:pPr>
            <w:r w:rsidRPr="00381379">
              <w:t>Substation Units</w:t>
            </w:r>
          </w:p>
        </w:tc>
      </w:tr>
    </w:tbl>
    <w:p w:rsidR="001E4FF6" w:rsidP="00381379">
      <w:pPr>
        <w:pStyle w:val="BodyText"/>
      </w:pPr>
    </w:p>
    <w:p w:rsidR="001E4FF6" w:rsidP="00381379">
      <w:pPr>
        <w:pStyle w:val="BodyText"/>
      </w:pPr>
    </w:p>
    <w:p w:rsidR="00000000" w:rsidRPr="00381379" w:rsidP="00381379"/>
    <w:sectPr w:rsidSect="003813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4FF6" w:rsidP="001E4F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F6" w:rsidP="00381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E4FF6" w:rsidP="003813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E4FF6" w:rsidP="003813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4FF6" w:rsidP="001E4F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F6" w:rsidP="00381379">
    <w:pPr>
      <w:pStyle w:val="Header"/>
      <w:framePr w:wrap="around"/>
    </w:pPr>
    <w:r>
      <w:fldChar w:fldCharType="begin"/>
    </w:r>
    <w:r>
      <w:instrText xml:space="preserve"> TITLE   \* MERGEFORMAT </w:instrText>
    </w:r>
    <w:r>
      <w:fldChar w:fldCharType="separate"/>
    </w:r>
    <w:r>
      <w:t>UETTDRSB04B Maintain HV power system breakers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4FF6" w:rsidP="003813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A8A6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0EB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86A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3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1379"/>
    <w:pPr>
      <w:spacing w:before="360" w:after="60"/>
      <w:outlineLvl w:val="0"/>
    </w:pPr>
    <w:rPr>
      <w:sz w:val="32"/>
    </w:rPr>
  </w:style>
  <w:style w:type="paragraph" w:styleId="Heading2">
    <w:name w:val="heading 2"/>
    <w:basedOn w:val="HeadingBase"/>
    <w:next w:val="BodyText"/>
    <w:link w:val="Heading2Char"/>
    <w:qFormat/>
    <w:rsid w:val="00381379"/>
    <w:pPr>
      <w:keepLines/>
      <w:spacing w:before="240" w:after="120"/>
      <w:outlineLvl w:val="1"/>
    </w:pPr>
    <w:rPr>
      <w:sz w:val="28"/>
      <w:szCs w:val="40"/>
    </w:rPr>
  </w:style>
  <w:style w:type="paragraph" w:styleId="Heading3">
    <w:name w:val="heading 3"/>
    <w:basedOn w:val="HeadingBase"/>
    <w:next w:val="BodyText"/>
    <w:link w:val="Heading3Char"/>
    <w:qFormat/>
    <w:rsid w:val="00381379"/>
    <w:pPr>
      <w:spacing w:before="180" w:after="120"/>
      <w:outlineLvl w:val="2"/>
    </w:pPr>
    <w:rPr>
      <w:spacing w:val="-10"/>
      <w:kern w:val="32"/>
    </w:rPr>
  </w:style>
  <w:style w:type="paragraph" w:styleId="Heading4">
    <w:name w:val="heading 4"/>
    <w:basedOn w:val="HeadingBase"/>
    <w:next w:val="BodyText"/>
    <w:link w:val="Heading4Char"/>
    <w:qFormat/>
    <w:rsid w:val="00381379"/>
    <w:pPr>
      <w:spacing w:before="160" w:after="120"/>
      <w:outlineLvl w:val="3"/>
    </w:pPr>
    <w:rPr>
      <w:sz w:val="22"/>
    </w:rPr>
  </w:style>
  <w:style w:type="paragraph" w:styleId="Heading5">
    <w:name w:val="heading 5"/>
    <w:basedOn w:val="HeadingBase"/>
    <w:next w:val="Normal"/>
    <w:link w:val="Heading5Char"/>
    <w:qFormat/>
    <w:rsid w:val="00381379"/>
    <w:pPr>
      <w:spacing w:before="80"/>
      <w:outlineLvl w:val="4"/>
    </w:pPr>
    <w:rPr>
      <w:color w:val="918585"/>
      <w:sz w:val="20"/>
    </w:rPr>
  </w:style>
  <w:style w:type="paragraph" w:styleId="Heading6">
    <w:name w:val="heading 6"/>
    <w:basedOn w:val="HeadingBase"/>
    <w:next w:val="Normal"/>
    <w:link w:val="Heading6Char"/>
    <w:qFormat/>
    <w:rsid w:val="00381379"/>
    <w:pPr>
      <w:spacing w:before="60"/>
      <w:outlineLvl w:val="5"/>
    </w:pPr>
    <w:rPr>
      <w:color w:val="918585"/>
      <w:sz w:val="20"/>
    </w:rPr>
  </w:style>
  <w:style w:type="paragraph" w:styleId="Heading7">
    <w:name w:val="heading 7"/>
    <w:basedOn w:val="Normal"/>
    <w:next w:val="Normal"/>
    <w:link w:val="Heading7Char"/>
    <w:qFormat/>
    <w:rsid w:val="00381379"/>
    <w:pPr>
      <w:ind w:left="720"/>
      <w:outlineLvl w:val="6"/>
    </w:pPr>
    <w:rPr>
      <w:i/>
    </w:rPr>
  </w:style>
  <w:style w:type="paragraph" w:styleId="Heading8">
    <w:name w:val="heading 8"/>
    <w:basedOn w:val="Normal"/>
    <w:next w:val="Normal"/>
    <w:link w:val="Heading8Char"/>
    <w:qFormat/>
    <w:rsid w:val="00381379"/>
    <w:pPr>
      <w:ind w:left="720"/>
      <w:outlineLvl w:val="7"/>
    </w:pPr>
    <w:rPr>
      <w:i/>
    </w:rPr>
  </w:style>
  <w:style w:type="paragraph" w:styleId="Heading9">
    <w:name w:val="heading 9"/>
    <w:basedOn w:val="Normal"/>
    <w:next w:val="Normal"/>
    <w:link w:val="Heading9Char"/>
    <w:qFormat/>
    <w:rsid w:val="00381379"/>
    <w:pPr>
      <w:ind w:left="720"/>
      <w:outlineLvl w:val="8"/>
    </w:pPr>
    <w:rPr>
      <w:i/>
    </w:rPr>
  </w:style>
  <w:style w:type="character" w:default="1" w:styleId="DefaultParagraphFont">
    <w:name w:val="Default Paragraph Font"/>
    <w:uiPriority w:val="1"/>
    <w:unhideWhenUsed/>
    <w:rsid w:val="00381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379"/>
  </w:style>
  <w:style w:type="character" w:customStyle="1" w:styleId="Heading1Char">
    <w:name w:val="Heading 1 Char"/>
    <w:basedOn w:val="DefaultParagraphFont"/>
    <w:link w:val="Heading1"/>
    <w:rsid w:val="00381379"/>
    <w:rPr>
      <w:rFonts w:ascii="Times New Roman" w:eastAsia="Times New Roman" w:hAnsi="Times New Roman" w:cs="Times New Roman"/>
      <w:b/>
      <w:sz w:val="32"/>
      <w:szCs w:val="20"/>
      <w:lang w:eastAsia="en-US"/>
    </w:rPr>
  </w:style>
  <w:style w:type="paragraph" w:styleId="BodyText">
    <w:name w:val="Body Text"/>
    <w:basedOn w:val="Normal"/>
    <w:link w:val="BodyTextChar"/>
    <w:rsid w:val="003813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1379"/>
    <w:rPr>
      <w:rFonts w:ascii="Times New Roman" w:eastAsia="Times New Roman" w:hAnsi="Times New Roman" w:cs="Times New Roman"/>
      <w:sz w:val="24"/>
      <w:lang w:val="en-US" w:eastAsia="en-US"/>
    </w:rPr>
  </w:style>
  <w:style w:type="paragraph" w:styleId="Footer">
    <w:name w:val="footer"/>
    <w:basedOn w:val="Normal"/>
    <w:link w:val="FooterChar"/>
    <w:rsid w:val="00381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379"/>
    <w:rPr>
      <w:rFonts w:ascii="Times New Roman" w:eastAsia="Times New Roman" w:hAnsi="Times New Roman" w:cs="Times New Roman"/>
      <w:sz w:val="16"/>
      <w:lang w:val="en-US" w:eastAsia="en-US"/>
    </w:rPr>
  </w:style>
  <w:style w:type="paragraph" w:styleId="ListBullet">
    <w:name w:val="List Bullet"/>
    <w:basedOn w:val="List"/>
    <w:rsid w:val="00381379"/>
    <w:pPr>
      <w:numPr>
        <w:numId w:val="13"/>
      </w:numPr>
      <w:tabs>
        <w:tab w:val="clear" w:pos="340"/>
      </w:tabs>
      <w:spacing w:before="40" w:after="40"/>
    </w:pPr>
  </w:style>
  <w:style w:type="character" w:customStyle="1" w:styleId="SpecialBold">
    <w:name w:val="Special Bold"/>
    <w:basedOn w:val="DefaultParagraphFont"/>
    <w:rsid w:val="00381379"/>
    <w:rPr>
      <w:b/>
      <w:spacing w:val="0"/>
    </w:rPr>
  </w:style>
  <w:style w:type="paragraph" w:styleId="ListBullet2">
    <w:name w:val="List Bullet 2"/>
    <w:basedOn w:val="List2"/>
    <w:rsid w:val="00381379"/>
    <w:pPr>
      <w:numPr>
        <w:numId w:val="14"/>
      </w:numPr>
      <w:tabs>
        <w:tab w:val="clear" w:pos="680"/>
      </w:tabs>
    </w:pPr>
  </w:style>
  <w:style w:type="paragraph" w:styleId="Header">
    <w:name w:val="header"/>
    <w:basedOn w:val="Normal"/>
    <w:link w:val="HeaderChar"/>
    <w:rsid w:val="00381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3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1379"/>
    <w:pPr>
      <w:spacing w:before="240" w:after="120"/>
      <w:outlineLvl w:val="0"/>
    </w:pPr>
    <w:rPr>
      <w:rFonts w:ascii="Times New Roman" w:hAnsi="Times New Roman"/>
      <w:b/>
      <w:sz w:val="28"/>
    </w:rPr>
  </w:style>
  <w:style w:type="paragraph" w:customStyle="1" w:styleId="AllowPageBreak">
    <w:name w:val="AllowPageBreak"/>
    <w:rsid w:val="003813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1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3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13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1379"/>
    <w:rPr>
      <w:rFonts w:ascii="Courier New" w:eastAsia="Times New Roman" w:hAnsi="Courier New" w:cs="Times New Roman"/>
      <w:i/>
      <w:szCs w:val="20"/>
      <w:lang w:val="en-US" w:eastAsia="en-US"/>
    </w:rPr>
  </w:style>
  <w:style w:type="paragraph" w:customStyle="1" w:styleId="HeadingBase">
    <w:name w:val="Heading Base"/>
    <w:rsid w:val="00381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379"/>
    <w:pPr>
      <w:tabs>
        <w:tab w:val="right" w:leader="dot" w:pos="9072"/>
      </w:tabs>
      <w:ind w:left="567"/>
    </w:pPr>
    <w:rPr>
      <w:szCs w:val="22"/>
    </w:rPr>
  </w:style>
  <w:style w:type="paragraph" w:customStyle="1" w:styleId="TOCBase">
    <w:name w:val="TOC Base"/>
    <w:rsid w:val="00381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379"/>
    <w:pPr>
      <w:tabs>
        <w:tab w:val="right" w:leader="dot" w:pos="9072"/>
      </w:tabs>
      <w:spacing w:before="40" w:after="40"/>
      <w:ind w:left="284"/>
    </w:pPr>
    <w:rPr>
      <w:rFonts w:ascii="Times New Roman" w:hAnsi="Times New Roman"/>
    </w:rPr>
  </w:style>
  <w:style w:type="paragraph" w:styleId="TOC1">
    <w:name w:val="toc 1"/>
    <w:basedOn w:val="TOCBase"/>
    <w:next w:val="Normal"/>
    <w:rsid w:val="003813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1379"/>
    <w:pPr>
      <w:spacing w:before="5040"/>
      <w:jc w:val="center"/>
    </w:pPr>
    <w:rPr>
      <w:sz w:val="48"/>
      <w:szCs w:val="72"/>
      <w:lang w:val="en-US"/>
    </w:rPr>
  </w:style>
  <w:style w:type="character" w:customStyle="1" w:styleId="TitleChar">
    <w:name w:val="Title Char"/>
    <w:basedOn w:val="DefaultParagraphFont"/>
    <w:link w:val="Title"/>
    <w:rsid w:val="00381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379"/>
    <w:pPr>
      <w:tabs>
        <w:tab w:val="left" w:pos="3600"/>
        <w:tab w:val="left" w:pos="3958"/>
      </w:tabs>
    </w:pPr>
  </w:style>
  <w:style w:type="paragraph" w:styleId="List">
    <w:name w:val="List"/>
    <w:basedOn w:val="BodyText"/>
    <w:next w:val="BodyText"/>
    <w:rsid w:val="00381379"/>
    <w:pPr>
      <w:tabs>
        <w:tab w:val="left" w:pos="340"/>
      </w:tabs>
      <w:spacing w:before="60" w:after="60"/>
      <w:ind w:left="340" w:hanging="340"/>
    </w:pPr>
  </w:style>
  <w:style w:type="paragraph" w:customStyle="1" w:styleId="Note">
    <w:name w:val="Note"/>
    <w:basedOn w:val="BodyText"/>
    <w:rsid w:val="00381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379"/>
    <w:pPr>
      <w:framePr w:wrap="auto" w:hAnchor="text" w:y="6049"/>
    </w:pPr>
    <w:rPr>
      <w:color w:val="000000"/>
      <w:sz w:val="40"/>
    </w:rPr>
  </w:style>
  <w:style w:type="paragraph" w:customStyle="1" w:styleId="TOCTitle">
    <w:name w:val="TOCTitle"/>
    <w:basedOn w:val="Heading1"/>
    <w:rsid w:val="00381379"/>
    <w:pPr>
      <w:spacing w:after="240"/>
      <w:jc w:val="center"/>
      <w:outlineLvl w:val="9"/>
    </w:pPr>
    <w:rPr>
      <w:caps/>
    </w:rPr>
  </w:style>
  <w:style w:type="paragraph" w:customStyle="1" w:styleId="Version">
    <w:name w:val="Version"/>
    <w:rsid w:val="003813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379"/>
    <w:pPr>
      <w:keepNext w:val="0"/>
      <w:tabs>
        <w:tab w:val="right" w:pos="4176"/>
      </w:tabs>
      <w:ind w:left="198" w:hanging="198"/>
    </w:pPr>
    <w:rPr>
      <w:rFonts w:ascii="Garamond" w:hAnsi="Garamond"/>
    </w:rPr>
  </w:style>
  <w:style w:type="paragraph" w:styleId="IndexHeading">
    <w:name w:val="index heading"/>
    <w:basedOn w:val="Normal"/>
    <w:next w:val="Index1"/>
    <w:semiHidden/>
    <w:rsid w:val="00381379"/>
    <w:pPr>
      <w:spacing w:before="120" w:after="120"/>
    </w:pPr>
    <w:rPr>
      <w:rFonts w:ascii="Arial" w:hAnsi="Arial"/>
      <w:b/>
      <w:color w:val="918585"/>
      <w:sz w:val="24"/>
    </w:rPr>
  </w:style>
  <w:style w:type="paragraph" w:customStyle="1" w:styleId="Chapter">
    <w:name w:val="Chapter"/>
    <w:basedOn w:val="Normal"/>
    <w:rsid w:val="00381379"/>
    <w:pPr>
      <w:spacing w:before="240"/>
    </w:pPr>
    <w:rPr>
      <w:rFonts w:ascii="Times New Roman" w:hAnsi="Times New Roman"/>
      <w:smallCaps/>
      <w:spacing w:val="80"/>
      <w:sz w:val="28"/>
    </w:rPr>
  </w:style>
  <w:style w:type="paragraph" w:customStyle="1" w:styleId="InChapter">
    <w:name w:val="InChapter"/>
    <w:basedOn w:val="Heading3"/>
    <w:rsid w:val="00381379"/>
    <w:pPr>
      <w:spacing w:after="240"/>
      <w:outlineLvl w:val="9"/>
    </w:pPr>
    <w:rPr>
      <w:noProof/>
    </w:rPr>
  </w:style>
  <w:style w:type="paragraph" w:styleId="Index2">
    <w:name w:val="index 2"/>
    <w:basedOn w:val="Normal"/>
    <w:next w:val="Normal"/>
    <w:semiHidden/>
    <w:rsid w:val="00381379"/>
    <w:pPr>
      <w:tabs>
        <w:tab w:val="right" w:pos="4176"/>
      </w:tabs>
      <w:ind w:left="568" w:hanging="284"/>
    </w:pPr>
    <w:rPr>
      <w:rFonts w:ascii="Garamond" w:hAnsi="Garamond"/>
    </w:rPr>
  </w:style>
  <w:style w:type="paragraph" w:customStyle="1" w:styleId="Byline">
    <w:name w:val="Byline"/>
    <w:rsid w:val="00381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379"/>
    <w:pPr>
      <w:tabs>
        <w:tab w:val="clear" w:pos="3600"/>
        <w:tab w:val="clear" w:pos="3958"/>
      </w:tabs>
      <w:jc w:val="right"/>
    </w:pPr>
  </w:style>
  <w:style w:type="character" w:styleId="Emphasis">
    <w:name w:val="Emphasis"/>
    <w:basedOn w:val="DefaultParagraphFont"/>
    <w:qFormat/>
    <w:rsid w:val="00381379"/>
    <w:rPr>
      <w:i/>
    </w:rPr>
  </w:style>
  <w:style w:type="paragraph" w:styleId="Caption">
    <w:name w:val="caption"/>
    <w:basedOn w:val="BodyText"/>
    <w:next w:val="Normal"/>
    <w:qFormat/>
    <w:rsid w:val="00381379"/>
    <w:pPr>
      <w:framePr w:w="2268" w:hSpace="181" w:vSpace="181" w:wrap="around" w:vAnchor="text" w:hAnchor="page" w:x="1135" w:y="285" w:anchorLock="1"/>
    </w:pPr>
    <w:rPr>
      <w:i/>
    </w:rPr>
  </w:style>
  <w:style w:type="paragraph" w:customStyle="1" w:styleId="MiniTOCTitle">
    <w:name w:val="MiniTOCTitle"/>
    <w:basedOn w:val="Heading4"/>
    <w:rsid w:val="00381379"/>
    <w:pPr>
      <w:spacing w:before="240"/>
      <w:outlineLvl w:val="9"/>
    </w:pPr>
    <w:rPr>
      <w:noProof/>
      <w:sz w:val="24"/>
    </w:rPr>
  </w:style>
  <w:style w:type="paragraph" w:customStyle="1" w:styleId="MiniTOCItem">
    <w:name w:val="MiniTOCItem"/>
    <w:basedOn w:val="ListBullet"/>
    <w:rsid w:val="00381379"/>
    <w:pPr>
      <w:numPr>
        <w:numId w:val="0"/>
      </w:numPr>
      <w:tabs>
        <w:tab w:val="right" w:leader="dot" w:pos="6521"/>
      </w:tabs>
      <w:spacing w:before="0" w:after="0"/>
    </w:pPr>
  </w:style>
  <w:style w:type="paragraph" w:customStyle="1" w:styleId="TOFTitle">
    <w:name w:val="TOFTitle"/>
    <w:basedOn w:val="TOCTitle"/>
    <w:rsid w:val="00381379"/>
  </w:style>
  <w:style w:type="paragraph" w:styleId="TableofFigures">
    <w:name w:val="table of figures"/>
    <w:basedOn w:val="Normal"/>
    <w:next w:val="Normal"/>
    <w:semiHidden/>
    <w:rsid w:val="00381379"/>
    <w:pPr>
      <w:tabs>
        <w:tab w:val="right" w:leader="dot" w:pos="9072"/>
      </w:tabs>
      <w:ind w:left="970" w:hanging="403"/>
    </w:pPr>
    <w:rPr>
      <w:rFonts w:ascii="Times New Roman" w:hAnsi="Times New Roman"/>
      <w:b/>
    </w:rPr>
  </w:style>
  <w:style w:type="paragraph" w:styleId="ListNumber">
    <w:name w:val="List Number"/>
    <w:basedOn w:val="List"/>
    <w:rsid w:val="00381379"/>
    <w:pPr>
      <w:numPr>
        <w:numId w:val="11"/>
      </w:numPr>
    </w:pPr>
  </w:style>
  <w:style w:type="character" w:customStyle="1" w:styleId="WingdingSymbols">
    <w:name w:val="Wingding Symbols"/>
    <w:rsid w:val="00381379"/>
    <w:rPr>
      <w:rFonts w:ascii="Wingdings" w:hAnsi="Wingdings"/>
    </w:rPr>
  </w:style>
  <w:style w:type="paragraph" w:customStyle="1" w:styleId="TableHeading">
    <w:name w:val="Table Heading"/>
    <w:basedOn w:val="HeadingBase"/>
    <w:rsid w:val="00381379"/>
    <w:pPr>
      <w:keepLines/>
      <w:pBdr>
        <w:bottom w:val="single" w:sz="6" w:space="1" w:color="918585"/>
      </w:pBdr>
      <w:spacing w:before="240"/>
    </w:pPr>
  </w:style>
  <w:style w:type="character" w:customStyle="1" w:styleId="HotSpot">
    <w:name w:val="HotSpot"/>
    <w:rsid w:val="00381379"/>
    <w:rPr>
      <w:color w:val="0033CC"/>
      <w:u w:val="none"/>
    </w:rPr>
  </w:style>
  <w:style w:type="paragraph" w:customStyle="1" w:styleId="BodyTextRight">
    <w:name w:val="Body Text Right"/>
    <w:basedOn w:val="BodyText"/>
    <w:rsid w:val="00381379"/>
    <w:pPr>
      <w:spacing w:before="0" w:after="0"/>
      <w:jc w:val="right"/>
    </w:pPr>
  </w:style>
  <w:style w:type="paragraph" w:styleId="Index3">
    <w:name w:val="index 3"/>
    <w:basedOn w:val="ListNumber2"/>
    <w:next w:val="Normal"/>
    <w:semiHidden/>
    <w:rsid w:val="00381379"/>
    <w:pPr>
      <w:numPr>
        <w:numId w:val="0"/>
      </w:numPr>
      <w:tabs>
        <w:tab w:val="right" w:leader="dot" w:pos="4176"/>
      </w:tabs>
    </w:pPr>
  </w:style>
  <w:style w:type="paragraph" w:styleId="ListNumber2">
    <w:name w:val="List Number 2"/>
    <w:basedOn w:val="List2"/>
    <w:rsid w:val="00381379"/>
    <w:pPr>
      <w:numPr>
        <w:numId w:val="10"/>
      </w:numPr>
      <w:tabs>
        <w:tab w:val="clear" w:pos="1060"/>
      </w:tabs>
    </w:pPr>
  </w:style>
  <w:style w:type="paragraph" w:customStyle="1" w:styleId="MarginNote">
    <w:name w:val="Margin Note"/>
    <w:basedOn w:val="BodyText"/>
    <w:rsid w:val="00381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3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1379"/>
    <w:rPr>
      <w:sz w:val="32"/>
    </w:rPr>
  </w:style>
  <w:style w:type="paragraph" w:customStyle="1" w:styleId="HeadingProcedure">
    <w:name w:val="Heading Procedure"/>
    <w:basedOn w:val="HeadingBase"/>
    <w:next w:val="Normal"/>
    <w:rsid w:val="00381379"/>
    <w:pPr>
      <w:tabs>
        <w:tab w:val="left" w:pos="0"/>
      </w:tabs>
      <w:spacing w:before="120" w:after="60"/>
    </w:pPr>
    <w:rPr>
      <w:i/>
      <w:color w:val="918585"/>
      <w:sz w:val="22"/>
    </w:rPr>
  </w:style>
  <w:style w:type="paragraph" w:customStyle="1" w:styleId="TableBodyText">
    <w:name w:val="Table Body Text"/>
    <w:basedOn w:val="BodyText"/>
    <w:rsid w:val="00381379"/>
    <w:pPr>
      <w:spacing w:before="60" w:after="60"/>
    </w:pPr>
  </w:style>
  <w:style w:type="paragraph" w:styleId="ListContinue">
    <w:name w:val="List Continue"/>
    <w:basedOn w:val="List"/>
    <w:rsid w:val="00381379"/>
    <w:pPr>
      <w:ind w:firstLine="0"/>
    </w:pPr>
  </w:style>
  <w:style w:type="paragraph" w:customStyle="1" w:styleId="ListNote">
    <w:name w:val="List Note"/>
    <w:basedOn w:val="List"/>
    <w:rsid w:val="00381379"/>
    <w:pPr>
      <w:pBdr>
        <w:top w:val="single" w:sz="6" w:space="2" w:color="918585"/>
        <w:bottom w:val="single" w:sz="6" w:space="2" w:color="918585"/>
      </w:pBdr>
      <w:tabs>
        <w:tab w:val="left" w:pos="1021"/>
      </w:tabs>
      <w:ind w:firstLine="0"/>
    </w:pPr>
  </w:style>
  <w:style w:type="paragraph" w:customStyle="1" w:styleId="Warning">
    <w:name w:val="Warning"/>
    <w:basedOn w:val="BodyText"/>
    <w:rsid w:val="00381379"/>
    <w:pPr>
      <w:shd w:val="clear" w:color="auto" w:fill="D9D9D9"/>
      <w:tabs>
        <w:tab w:val="left" w:pos="992"/>
      </w:tabs>
      <w:ind w:left="119" w:right="119"/>
    </w:pPr>
    <w:rPr>
      <w:sz w:val="20"/>
    </w:rPr>
  </w:style>
  <w:style w:type="paragraph" w:customStyle="1" w:styleId="MarginIcons">
    <w:name w:val="Margin Icons"/>
    <w:basedOn w:val="BodyText"/>
    <w:rsid w:val="00381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379"/>
    <w:rPr>
      <w:rFonts w:ascii="Courier New" w:hAnsi="Courier New"/>
    </w:rPr>
  </w:style>
  <w:style w:type="paragraph" w:customStyle="1" w:styleId="NoteBullet">
    <w:name w:val="Note Bullet"/>
    <w:basedOn w:val="Note"/>
    <w:rsid w:val="00381379"/>
    <w:pPr>
      <w:tabs>
        <w:tab w:val="clear" w:pos="680"/>
      </w:tabs>
      <w:spacing w:before="60" w:after="60"/>
    </w:pPr>
  </w:style>
  <w:style w:type="paragraph" w:customStyle="1" w:styleId="SubHeading2">
    <w:name w:val="SubHeading2"/>
    <w:basedOn w:val="HeadingBase"/>
    <w:rsid w:val="00381379"/>
    <w:pPr>
      <w:spacing w:before="240" w:after="60"/>
    </w:pPr>
    <w:rPr>
      <w:sz w:val="20"/>
    </w:rPr>
  </w:style>
  <w:style w:type="paragraph" w:customStyle="1" w:styleId="SubHeading1">
    <w:name w:val="SubHeading1"/>
    <w:basedOn w:val="HeadingBase"/>
    <w:rsid w:val="00381379"/>
    <w:pPr>
      <w:spacing w:before="240" w:after="60"/>
    </w:pPr>
    <w:rPr>
      <w:color w:val="918585"/>
      <w:sz w:val="22"/>
    </w:rPr>
  </w:style>
  <w:style w:type="paragraph" w:customStyle="1" w:styleId="SideHeading">
    <w:name w:val="Side Heading"/>
    <w:basedOn w:val="HeadingBase"/>
    <w:rsid w:val="00381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379"/>
    <w:pPr>
      <w:numPr>
        <w:numId w:val="12"/>
      </w:numPr>
    </w:pPr>
  </w:style>
  <w:style w:type="paragraph" w:styleId="PlainText">
    <w:name w:val="Plain Text"/>
    <w:basedOn w:val="Normal"/>
    <w:link w:val="PlainTextChar"/>
    <w:rsid w:val="00381379"/>
    <w:rPr>
      <w:sz w:val="20"/>
    </w:rPr>
  </w:style>
  <w:style w:type="character" w:customStyle="1" w:styleId="PlainTextChar">
    <w:name w:val="Plain Text Char"/>
    <w:basedOn w:val="DefaultParagraphFont"/>
    <w:link w:val="PlainText"/>
    <w:rsid w:val="003813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1379"/>
    <w:rPr>
      <w:b/>
      <w:smallCaps/>
    </w:rPr>
  </w:style>
  <w:style w:type="paragraph" w:customStyle="1" w:styleId="TableListNumber">
    <w:name w:val="Table List Number"/>
    <w:basedOn w:val="ListNumber"/>
    <w:rsid w:val="00381379"/>
    <w:pPr>
      <w:numPr>
        <w:numId w:val="0"/>
      </w:numPr>
    </w:pPr>
  </w:style>
  <w:style w:type="paragraph" w:styleId="TOC4">
    <w:name w:val="toc 4"/>
    <w:basedOn w:val="TOCBase"/>
    <w:next w:val="Normal"/>
    <w:semiHidden/>
    <w:rsid w:val="00381379"/>
    <w:pPr>
      <w:tabs>
        <w:tab w:val="right" w:leader="dot" w:pos="9071"/>
      </w:tabs>
      <w:ind w:left="1701"/>
    </w:pPr>
  </w:style>
  <w:style w:type="paragraph" w:customStyle="1" w:styleId="ListAlpha">
    <w:name w:val="List Alpha"/>
    <w:basedOn w:val="List"/>
    <w:rsid w:val="00381379"/>
    <w:pPr>
      <w:numPr>
        <w:numId w:val="9"/>
      </w:numPr>
    </w:pPr>
  </w:style>
  <w:style w:type="paragraph" w:customStyle="1" w:styleId="ListAlpha2">
    <w:name w:val="List Alpha 2"/>
    <w:basedOn w:val="List2"/>
    <w:rsid w:val="00381379"/>
    <w:pPr>
      <w:numPr>
        <w:numId w:val="8"/>
      </w:numPr>
    </w:pPr>
  </w:style>
  <w:style w:type="paragraph" w:styleId="List2">
    <w:name w:val="List 2"/>
    <w:basedOn w:val="BodyText"/>
    <w:rsid w:val="00381379"/>
    <w:pPr>
      <w:tabs>
        <w:tab w:val="left" w:pos="680"/>
      </w:tabs>
      <w:spacing w:before="60" w:after="60"/>
      <w:ind w:left="680" w:hanging="340"/>
    </w:pPr>
  </w:style>
  <w:style w:type="paragraph" w:styleId="List3">
    <w:name w:val="List 3"/>
    <w:basedOn w:val="BodyText"/>
    <w:rsid w:val="00381379"/>
    <w:pPr>
      <w:tabs>
        <w:tab w:val="left" w:pos="1021"/>
      </w:tabs>
      <w:spacing w:before="60" w:after="60"/>
      <w:ind w:left="1020" w:hanging="340"/>
    </w:pPr>
  </w:style>
  <w:style w:type="paragraph" w:styleId="List4">
    <w:name w:val="List 4"/>
    <w:basedOn w:val="BodyText"/>
    <w:rsid w:val="00381379"/>
    <w:pPr>
      <w:tabs>
        <w:tab w:val="left" w:pos="1361"/>
      </w:tabs>
      <w:spacing w:before="60" w:after="60"/>
      <w:ind w:left="1361" w:hanging="340"/>
    </w:pPr>
  </w:style>
  <w:style w:type="paragraph" w:styleId="List5">
    <w:name w:val="List 5"/>
    <w:basedOn w:val="BodyText"/>
    <w:rsid w:val="00381379"/>
    <w:pPr>
      <w:tabs>
        <w:tab w:val="left" w:pos="1701"/>
      </w:tabs>
      <w:spacing w:before="60" w:after="60"/>
      <w:ind w:left="1701" w:hanging="340"/>
    </w:pPr>
  </w:style>
  <w:style w:type="paragraph" w:styleId="ListBullet3">
    <w:name w:val="List Bullet 3"/>
    <w:basedOn w:val="List3"/>
    <w:rsid w:val="00381379"/>
    <w:pPr>
      <w:numPr>
        <w:numId w:val="15"/>
      </w:numPr>
      <w:tabs>
        <w:tab w:val="clear" w:pos="1021"/>
      </w:tabs>
      <w:ind w:left="1037" w:hanging="357"/>
    </w:pPr>
  </w:style>
  <w:style w:type="paragraph" w:styleId="ListBullet4">
    <w:name w:val="List Bullet 4"/>
    <w:basedOn w:val="List4"/>
    <w:rsid w:val="00381379"/>
    <w:pPr>
      <w:numPr>
        <w:numId w:val="3"/>
      </w:numPr>
    </w:pPr>
  </w:style>
  <w:style w:type="paragraph" w:styleId="ListBullet5">
    <w:name w:val="List Bullet 5"/>
    <w:basedOn w:val="List5"/>
    <w:rsid w:val="00381379"/>
    <w:pPr>
      <w:numPr>
        <w:numId w:val="4"/>
      </w:numPr>
    </w:pPr>
  </w:style>
  <w:style w:type="paragraph" w:styleId="ListContinue2">
    <w:name w:val="List Continue 2"/>
    <w:basedOn w:val="List2"/>
    <w:rsid w:val="00381379"/>
    <w:pPr>
      <w:ind w:firstLine="0"/>
    </w:pPr>
  </w:style>
  <w:style w:type="paragraph" w:styleId="ListContinue3">
    <w:name w:val="List Continue 3"/>
    <w:basedOn w:val="List3"/>
    <w:rsid w:val="00381379"/>
    <w:pPr>
      <w:ind w:left="1021" w:firstLine="0"/>
    </w:pPr>
  </w:style>
  <w:style w:type="paragraph" w:styleId="ListContinue4">
    <w:name w:val="List Continue 4"/>
    <w:basedOn w:val="List4"/>
    <w:rsid w:val="00381379"/>
    <w:pPr>
      <w:ind w:firstLine="0"/>
    </w:pPr>
  </w:style>
  <w:style w:type="paragraph" w:styleId="ListContinue5">
    <w:name w:val="List Continue 5"/>
    <w:basedOn w:val="List5"/>
    <w:rsid w:val="00381379"/>
    <w:pPr>
      <w:ind w:firstLine="0"/>
    </w:pPr>
  </w:style>
  <w:style w:type="paragraph" w:styleId="ListNumber3">
    <w:name w:val="List Number 3"/>
    <w:basedOn w:val="List3"/>
    <w:rsid w:val="00381379"/>
    <w:pPr>
      <w:numPr>
        <w:numId w:val="5"/>
      </w:numPr>
    </w:pPr>
  </w:style>
  <w:style w:type="paragraph" w:styleId="ListNumber4">
    <w:name w:val="List Number 4"/>
    <w:basedOn w:val="List4"/>
    <w:rsid w:val="00381379"/>
    <w:pPr>
      <w:numPr>
        <w:numId w:val="6"/>
      </w:numPr>
    </w:pPr>
  </w:style>
  <w:style w:type="paragraph" w:styleId="ListNumber5">
    <w:name w:val="List Number 5"/>
    <w:basedOn w:val="List5"/>
    <w:rsid w:val="00381379"/>
    <w:pPr>
      <w:numPr>
        <w:numId w:val="7"/>
      </w:numPr>
    </w:pPr>
  </w:style>
  <w:style w:type="paragraph" w:styleId="BlockText">
    <w:name w:val="Block Text"/>
    <w:basedOn w:val="Normal"/>
    <w:rsid w:val="00381379"/>
    <w:pPr>
      <w:spacing w:after="120"/>
      <w:ind w:left="1440" w:right="1440"/>
    </w:pPr>
  </w:style>
  <w:style w:type="character" w:customStyle="1" w:styleId="Subscript">
    <w:name w:val="Subscript"/>
    <w:basedOn w:val="DefaultParagraphFont"/>
    <w:rsid w:val="00381379"/>
    <w:rPr>
      <w:sz w:val="16"/>
      <w:vertAlign w:val="subscript"/>
    </w:rPr>
  </w:style>
  <w:style w:type="character" w:customStyle="1" w:styleId="Superscript">
    <w:name w:val="Superscript"/>
    <w:basedOn w:val="DefaultParagraphFont"/>
    <w:rsid w:val="00381379"/>
    <w:rPr>
      <w:sz w:val="16"/>
      <w:vertAlign w:val="superscript"/>
    </w:rPr>
  </w:style>
  <w:style w:type="character" w:customStyle="1" w:styleId="Symbols">
    <w:name w:val="Symbols"/>
    <w:basedOn w:val="DefaultParagraphFont"/>
    <w:rsid w:val="00381379"/>
    <w:rPr>
      <w:rFonts w:ascii="Symbol" w:hAnsi="Symbol"/>
    </w:rPr>
  </w:style>
  <w:style w:type="character" w:customStyle="1" w:styleId="MenuOptions">
    <w:name w:val="Menu Options"/>
    <w:basedOn w:val="DefaultParagraphFont"/>
    <w:rsid w:val="00381379"/>
    <w:rPr>
      <w:rFonts w:ascii="Arial Narrow" w:hAnsi="Arial Narrow"/>
      <w:smallCaps/>
    </w:rPr>
  </w:style>
  <w:style w:type="character" w:customStyle="1" w:styleId="Buttons">
    <w:name w:val="Buttons"/>
    <w:basedOn w:val="DefaultParagraphFont"/>
    <w:rsid w:val="00381379"/>
    <w:rPr>
      <w:b/>
    </w:rPr>
  </w:style>
  <w:style w:type="character" w:customStyle="1" w:styleId="Underlined">
    <w:name w:val="Underlined"/>
    <w:basedOn w:val="DefaultParagraphFont"/>
    <w:rsid w:val="00381379"/>
    <w:rPr>
      <w:u w:val="single"/>
    </w:rPr>
  </w:style>
  <w:style w:type="paragraph" w:customStyle="1" w:styleId="TableBodyTextRight">
    <w:name w:val="Table Body Text Right"/>
    <w:basedOn w:val="TableBodyText"/>
    <w:rsid w:val="00381379"/>
    <w:pPr>
      <w:widowControl w:val="0"/>
      <w:autoSpaceDE w:val="0"/>
      <w:autoSpaceDN w:val="0"/>
      <w:adjustRightInd w:val="0"/>
      <w:jc w:val="right"/>
    </w:pPr>
    <w:rPr>
      <w:rFonts w:cs="Arial"/>
      <w:szCs w:val="18"/>
    </w:rPr>
  </w:style>
  <w:style w:type="paragraph" w:customStyle="1" w:styleId="CopyrightText">
    <w:name w:val="Copyright Text"/>
    <w:basedOn w:val="BodyText"/>
    <w:rsid w:val="00381379"/>
    <w:rPr>
      <w:sz w:val="18"/>
    </w:rPr>
  </w:style>
  <w:style w:type="paragraph" w:customStyle="1" w:styleId="BodySmallRight">
    <w:name w:val="Body Small Right"/>
    <w:basedOn w:val="BodyTextRight"/>
    <w:rsid w:val="00381379"/>
    <w:rPr>
      <w:sz w:val="18"/>
      <w:szCs w:val="18"/>
    </w:rPr>
  </w:style>
  <w:style w:type="paragraph" w:customStyle="1" w:styleId="MarginEdition">
    <w:name w:val="Margin Edition"/>
    <w:basedOn w:val="MarginNote"/>
    <w:rsid w:val="00381379"/>
    <w:pPr>
      <w:spacing w:before="0" w:after="0"/>
    </w:pPr>
    <w:rPr>
      <w:rFonts w:ascii="Times New Roman" w:hAnsi="Times New Roman"/>
      <w:color w:val="999999"/>
    </w:rPr>
  </w:style>
  <w:style w:type="paragraph" w:customStyle="1" w:styleId="Spacer">
    <w:name w:val="Spacer"/>
    <w:basedOn w:val="Normal"/>
    <w:rsid w:val="00381379"/>
    <w:rPr>
      <w:sz w:val="2"/>
      <w:szCs w:val="2"/>
    </w:rPr>
  </w:style>
  <w:style w:type="character" w:customStyle="1" w:styleId="Small">
    <w:name w:val="Small"/>
    <w:basedOn w:val="DefaultParagraphFont"/>
    <w:rsid w:val="00381379"/>
    <w:rPr>
      <w:sz w:val="16"/>
    </w:rPr>
  </w:style>
  <w:style w:type="paragraph" w:customStyle="1" w:styleId="WideTable">
    <w:name w:val="Wide Table"/>
    <w:basedOn w:val="Normal"/>
    <w:rsid w:val="00381379"/>
    <w:pPr>
      <w:ind w:left="-1418"/>
    </w:pPr>
    <w:rPr>
      <w:sz w:val="2"/>
      <w:szCs w:val="2"/>
    </w:rPr>
  </w:style>
  <w:style w:type="character" w:styleId="PageNumber">
    <w:name w:val="page number"/>
    <w:basedOn w:val="DefaultParagraphFont"/>
    <w:rsid w:val="00381379"/>
  </w:style>
  <w:style w:type="paragraph" w:styleId="Quote">
    <w:name w:val="Quote"/>
    <w:basedOn w:val="Heading1"/>
    <w:link w:val="QuoteChar"/>
    <w:qFormat/>
    <w:rsid w:val="00381379"/>
    <w:rPr>
      <w:b w:val="0"/>
      <w:sz w:val="72"/>
      <w:szCs w:val="72"/>
      <w:lang w:val="en-NZ"/>
    </w:rPr>
  </w:style>
  <w:style w:type="character" w:customStyle="1" w:styleId="QuoteChar">
    <w:name w:val="Quote Char"/>
    <w:basedOn w:val="DefaultParagraphFont"/>
    <w:link w:val="Quote"/>
    <w:rsid w:val="00381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379"/>
    <w:pPr>
      <w:pageBreakBefore/>
    </w:pPr>
  </w:style>
  <w:style w:type="paragraph" w:customStyle="1" w:styleId="Border">
    <w:name w:val="Border"/>
    <w:basedOn w:val="Normal"/>
    <w:qFormat/>
    <w:rsid w:val="00381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379"/>
    <w:rPr>
      <w:b/>
      <w:bCs/>
      <w:i/>
      <w:iCs/>
      <w:color w:val="auto"/>
    </w:rPr>
  </w:style>
  <w:style w:type="paragraph" w:styleId="IntenseQuote">
    <w:name w:val="Intense Quote"/>
    <w:basedOn w:val="Normal"/>
    <w:next w:val="Normal"/>
    <w:link w:val="IntenseQuoteChar"/>
    <w:uiPriority w:val="30"/>
    <w:qFormat/>
    <w:rsid w:val="00381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3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1379"/>
    <w:rPr>
      <w:smallCaps/>
      <w:color w:val="auto"/>
      <w:u w:val="single"/>
    </w:rPr>
  </w:style>
  <w:style w:type="character" w:styleId="IntenseReference">
    <w:name w:val="Intense Reference"/>
    <w:basedOn w:val="DefaultParagraphFont"/>
    <w:uiPriority w:val="32"/>
    <w:qFormat/>
    <w:rsid w:val="00381379"/>
    <w:rPr>
      <w:b/>
      <w:bCs/>
      <w:smallCaps/>
      <w:color w:val="auto"/>
      <w:spacing w:val="5"/>
      <w:u w:val="single"/>
    </w:rPr>
  </w:style>
  <w:style w:type="paragraph" w:customStyle="1" w:styleId="2ColumnHeading">
    <w:name w:val="2Column Heading"/>
    <w:basedOn w:val="BodyText"/>
    <w:qFormat/>
    <w:rsid w:val="00381379"/>
    <w:pPr>
      <w:spacing w:after="60"/>
      <w:ind w:left="-2268"/>
    </w:pPr>
    <w:rPr>
      <w:b/>
    </w:rPr>
  </w:style>
  <w:style w:type="paragraph" w:customStyle="1" w:styleId="Heading1TOC">
    <w:name w:val="Heading1 TOC"/>
    <w:basedOn w:val="Normal"/>
    <w:qFormat/>
    <w:rsid w:val="00381379"/>
    <w:pPr>
      <w:spacing w:before="240" w:after="120"/>
    </w:pPr>
    <w:rPr>
      <w:rFonts w:ascii="Times New Roman" w:hAnsi="Times New Roman"/>
      <w:b/>
      <w:sz w:val="32"/>
    </w:rPr>
  </w:style>
  <w:style w:type="paragraph" w:customStyle="1" w:styleId="Heading2TOC">
    <w:name w:val="Heading2 TOC"/>
    <w:basedOn w:val="Normal"/>
    <w:qFormat/>
    <w:rsid w:val="00381379"/>
    <w:pPr>
      <w:spacing w:before="240" w:after="60"/>
    </w:pPr>
    <w:rPr>
      <w:rFonts w:ascii="Times New Roman" w:hAnsi="Times New Roman"/>
      <w:b/>
      <w:sz w:val="28"/>
    </w:rPr>
  </w:style>
  <w:style w:type="character" w:customStyle="1" w:styleId="Underline">
    <w:name w:val="Underline"/>
    <w:basedOn w:val="DefaultParagraphFont"/>
    <w:qFormat/>
    <w:rsid w:val="00381379"/>
    <w:rPr>
      <w:u w:val="single"/>
    </w:rPr>
  </w:style>
  <w:style w:type="character" w:customStyle="1" w:styleId="BoldandItalics">
    <w:name w:val="Bold and Italics"/>
    <w:qFormat/>
    <w:rsid w:val="00381379"/>
    <w:rPr>
      <w:b/>
      <w:i/>
      <w:u w:val="none"/>
    </w:rPr>
  </w:style>
  <w:style w:type="paragraph" w:styleId="BalloonText">
    <w:name w:val="Balloon Text"/>
    <w:basedOn w:val="Normal"/>
    <w:link w:val="BalloonTextChar"/>
    <w:rsid w:val="00381379"/>
    <w:rPr>
      <w:rFonts w:ascii="Tahoma" w:hAnsi="Tahoma" w:cs="Tahoma"/>
      <w:sz w:val="16"/>
      <w:szCs w:val="16"/>
    </w:rPr>
  </w:style>
  <w:style w:type="character" w:customStyle="1" w:styleId="BalloonTextChar">
    <w:name w:val="Balloon Text Char"/>
    <w:basedOn w:val="DefaultParagraphFont"/>
    <w:link w:val="BalloonText"/>
    <w:rsid w:val="003813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13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13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2390</Words>
  <Characters>14837</Characters>
  <Application>Microsoft Office Word</Application>
  <DocSecurity>0</DocSecurity>
  <Lines>626</Lines>
  <Paragraphs>262</Paragraphs>
  <ScaleCrop>false</ScaleCrop>
  <Company>Author-it Software Corporation Ltd.</Company>
  <LinksUpToDate>false</LinksUpToDate>
  <CharactersWithSpaces>17017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UETTDRSB04B Maintain HV power system breakers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2012-05-26T12:18:00Z</dcterms:created>
  <dcterms:modified xsi:type="dcterms:W3CDTF">2012-05-26T12:18:00Z</dcterms:modified>
</cp:coreProperties>
</file>