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39F" w:rsidP="0097439F">
      <w:pPr>
        <w:pStyle w:val="Title"/>
      </w:pPr>
      <w:bookmarkStart w:id="0" w:name="_GoBack"/>
      <w:bookmarkEnd w:id="0"/>
      <w:r>
        <w:fldChar w:fldCharType="begin"/>
      </w:r>
      <w:r>
        <w:instrText xml:space="preserve"> TITLE   \* MERGEFORMAT </w:instrText>
      </w:r>
      <w:r>
        <w:fldChar w:fldCharType="separate"/>
      </w:r>
      <w:r>
        <w:t>UETTDRSB01B Diagnose and rectify faults in power system substation environment</w:t>
      </w:r>
      <w:r>
        <w:fldChar w:fldCharType="end"/>
      </w:r>
    </w:p>
    <w:p w:rsidR="0097439F" w:rsidP="0097439F">
      <w:pPr>
        <w:pStyle w:val="Version"/>
        <w:sectPr w:rsidSect="00EE0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0A3" w:rsidP="00EE00A3">
      <w:pPr>
        <w:pStyle w:val="SuperHeading"/>
      </w:pPr>
      <w:r w:rsidRPr="00EE00A3">
        <w:t>UETTDRSB01B Diagnose and rectify faults in power system substation environment</w:t>
      </w:r>
    </w:p>
    <w:p w:rsidR="00000000" w:rsidRPr="00EE00A3" w:rsidP="00EE00A3">
      <w:pPr>
        <w:pStyle w:val="Heading1"/>
      </w:pPr>
      <w:bookmarkStart w:id="1" w:name="O_275520"/>
      <w:bookmarkEnd w:id="1"/>
      <w:r w:rsidRPr="00EE00A3">
        <w:t>Modification History</w:t>
      </w:r>
    </w:p>
    <w:p w:rsidR="00000000" w:rsidRPr="00EE00A3" w:rsidP="00EE00A3">
      <w:pPr>
        <w:pStyle w:val="BodyText"/>
      </w:pPr>
      <w:r w:rsidRPr="00EE00A3">
        <w:t>Not Applicable</w:t>
      </w:r>
    </w:p>
    <w:p w:rsidR="00000000" w:rsidRPr="00EE00A3" w:rsidP="00EE00A3">
      <w:pPr>
        <w:pStyle w:val="AllowPageBreak"/>
      </w:pPr>
    </w:p>
    <w:p w:rsidR="00000000" w:rsidRPr="00EE00A3" w:rsidP="00EE00A3">
      <w:pPr>
        <w:pStyle w:val="Heading1"/>
      </w:pPr>
      <w:bookmarkStart w:id="2" w:name="O_231788"/>
      <w:bookmarkEnd w:id="2"/>
      <w:r w:rsidRPr="00EE00A3">
        <w:t>Unit Descriptor</w:t>
      </w:r>
    </w:p>
    <w:tbl>
      <w:tblPr>
        <w:tblW w:w="0" w:type="auto"/>
        <w:tblLayout w:type="fixed"/>
        <w:tblCellMar>
          <w:left w:w="62" w:type="dxa"/>
          <w:right w:w="62" w:type="dxa"/>
        </w:tblCellMar>
        <w:tblLook w:val="0000"/>
      </w:tblPr>
      <w:tblGrid>
        <w:gridCol w:w="2757"/>
        <w:gridCol w:w="5883"/>
      </w:tblGrid>
      <w:tr w:rsidTr="0097439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1</w:t>
            </w:r>
            <w:r w:rsidRPr="00EE00A3">
              <w:t xml:space="preserve">) </w:t>
            </w:r>
          </w:p>
          <w:p w:rsidR="00000000" w:rsidP="00EE00A3">
            <w:pPr>
              <w:pStyle w:val="BodyText"/>
              <w:rPr>
                <w:lang w:val="en-NZ"/>
              </w:rPr>
            </w:pPr>
            <w:r w:rsidRPr="00EE00A3">
              <w:rPr>
                <w:rStyle w:val="SpecialBold"/>
              </w:rPr>
              <w:t>1</w:t>
            </w:r>
            <w:r w:rsidRPr="00EE00A3">
              <w:t>.</w:t>
            </w:r>
            <w:r w:rsidRPr="00EE00A3">
              <w:rPr>
                <w:rStyle w:val="SpecialBold"/>
              </w:rPr>
              <w:t>1</w:t>
            </w:r>
            <w:r w:rsidRPr="00EE00A3">
              <w:t xml:space="preserve">) </w:t>
            </w:r>
            <w:r w:rsidRPr="00EE00A3">
              <w:rPr>
                <w:rStyle w:val="SpecialBold"/>
              </w:rPr>
              <w:t>Descriptor</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 xml:space="preserve">This Competency Standard Unit covers the identification and analysis of fault conditions including the isolation, repair and restoration of substation control circuits. It encompasses the application of the full range of knowledge and skills from previous </w:t>
            </w:r>
            <w:r w:rsidRPr="00EE00A3">
              <w:t>competencies associated with the installation and maintenance of substations.</w:t>
            </w:r>
          </w:p>
        </w:tc>
      </w:tr>
    </w:tbl>
    <w:p w:rsidR="0097439F" w:rsidP="00EE00A3">
      <w:pPr>
        <w:pStyle w:val="BodyText"/>
      </w:pPr>
    </w:p>
    <w:p w:rsidR="0097439F" w:rsidP="00EE00A3">
      <w:pPr>
        <w:pStyle w:val="BodyText"/>
      </w:pPr>
    </w:p>
    <w:p w:rsidR="00000000" w:rsidRPr="00EE00A3" w:rsidP="00EE00A3">
      <w:pPr>
        <w:pStyle w:val="Heading1"/>
      </w:pPr>
      <w:bookmarkStart w:id="3" w:name="O_231793"/>
      <w:bookmarkEnd w:id="3"/>
      <w:r w:rsidRPr="00EE00A3">
        <w:t>Application of the Unit</w:t>
      </w:r>
    </w:p>
    <w:tbl>
      <w:tblPr>
        <w:tblW w:w="0" w:type="auto"/>
        <w:tblLayout w:type="fixed"/>
        <w:tblCellMar>
          <w:left w:w="62" w:type="dxa"/>
          <w:right w:w="62" w:type="dxa"/>
        </w:tblCellMar>
        <w:tblLook w:val="0000"/>
      </w:tblPr>
      <w:tblGrid>
        <w:gridCol w:w="2757"/>
        <w:gridCol w:w="5883"/>
      </w:tblGrid>
      <w:tr w:rsidTr="0097439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4</w:t>
            </w:r>
            <w:r w:rsidRPr="00EE00A3">
              <w:t>)</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This Competency Standard Unit is intended to augment formally acquired competencies. It is suitable for e</w:t>
            </w:r>
            <w:r w:rsidRPr="00EE00A3">
              <w:t>mployment-based programs under an approved contract of training.</w:t>
            </w:r>
          </w:p>
        </w:tc>
      </w:tr>
    </w:tbl>
    <w:p w:rsidR="0097439F" w:rsidP="00EE00A3">
      <w:pPr>
        <w:pStyle w:val="BodyText"/>
      </w:pPr>
    </w:p>
    <w:p w:rsidR="0097439F" w:rsidP="00EE00A3">
      <w:pPr>
        <w:pStyle w:val="BodyText"/>
      </w:pPr>
    </w:p>
    <w:p w:rsidR="00000000" w:rsidRPr="00EE00A3" w:rsidP="00EE00A3">
      <w:pPr>
        <w:pStyle w:val="Heading1"/>
      </w:pPr>
      <w:bookmarkStart w:id="4" w:name="O_231789"/>
      <w:bookmarkEnd w:id="4"/>
      <w:r w:rsidRPr="00EE00A3">
        <w:t>Licensing/Regulatory Information</w:t>
      </w:r>
    </w:p>
    <w:tbl>
      <w:tblPr>
        <w:tblW w:w="0" w:type="auto"/>
        <w:tblLayout w:type="fixed"/>
        <w:tblCellMar>
          <w:left w:w="62" w:type="dxa"/>
          <w:right w:w="62" w:type="dxa"/>
        </w:tblCellMar>
        <w:tblLook w:val="0000"/>
      </w:tblPr>
      <w:tblGrid>
        <w:gridCol w:w="8640"/>
      </w:tblGrid>
      <w:tr w:rsidTr="0097439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1</w:t>
            </w:r>
            <w:r w:rsidRPr="00EE00A3">
              <w:t>.</w:t>
            </w:r>
            <w:r w:rsidRPr="00EE00A3">
              <w:rPr>
                <w:rStyle w:val="SpecialBold"/>
              </w:rPr>
              <w:t>2</w:t>
            </w:r>
            <w:r w:rsidRPr="00EE00A3">
              <w:t xml:space="preserve">) </w:t>
            </w:r>
            <w:r w:rsidRPr="00EE00A3">
              <w:rPr>
                <w:rStyle w:val="SpecialBold"/>
              </w:rPr>
              <w:t>License to practice</w:t>
            </w:r>
          </w:p>
        </w:tc>
      </w:tr>
      <w:tr w:rsidTr="0097439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The skills and knowledge described in this unit requires a licence/registration</w:t>
            </w:r>
            <w:r w:rsidRPr="00EE00A3">
              <w:t xml:space="preserve"> to practice in the work place subject to regulations for undertaking of electrical work. Practice in workplace and during training is also subject to regulations directly related to Occupational Health and Safety, electricity/telecommunications/gas/water </w:t>
            </w:r>
            <w:r w:rsidRPr="00EE00A3">
              <w:t>industry safety and compliance, industrial relations, environmental protection, anti discrimination and training. Commonwealth, State/Territory or Local Government legislation and regulations may exist that limits the age of operating certain equipment.</w:t>
            </w:r>
          </w:p>
        </w:tc>
      </w:tr>
    </w:tbl>
    <w:p w:rsidR="0097439F" w:rsidP="00EE00A3">
      <w:pPr>
        <w:pStyle w:val="BodyText"/>
      </w:pPr>
    </w:p>
    <w:p w:rsidR="0097439F" w:rsidP="00EE00A3">
      <w:pPr>
        <w:pStyle w:val="BodyText"/>
      </w:pPr>
    </w:p>
    <w:p w:rsidR="00000000" w:rsidRPr="00EE00A3" w:rsidP="00EE00A3">
      <w:pPr>
        <w:pStyle w:val="Heading1"/>
      </w:pPr>
      <w:bookmarkStart w:id="5" w:name="O_231790"/>
      <w:bookmarkEnd w:id="5"/>
      <w:r w:rsidRPr="00EE00A3">
        <w:t>Pre-Requisites</w:t>
      </w:r>
    </w:p>
    <w:tbl>
      <w:tblPr>
        <w:tblW w:w="0" w:type="auto"/>
        <w:tblLayout w:type="fixed"/>
        <w:tblCellMar>
          <w:left w:w="62" w:type="dxa"/>
          <w:right w:w="62" w:type="dxa"/>
        </w:tblCellMar>
        <w:tblLook w:val="0000"/>
      </w:tblPr>
      <w:tblGrid>
        <w:gridCol w:w="2757"/>
        <w:gridCol w:w="5883"/>
      </w:tblGrid>
      <w:tr w:rsidTr="0097439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Prerequisite Unit</w:t>
            </w:r>
            <w:r w:rsidRPr="00EE00A3">
              <w:t>(</w:t>
            </w:r>
            <w:r w:rsidRPr="00EE00A3">
              <w:rPr>
                <w:rStyle w:val="SpecialBold"/>
              </w:rPr>
              <w:t>s</w:t>
            </w:r>
            <w:r w:rsidRPr="00EE00A3">
              <w:t>)</w:t>
            </w:r>
          </w:p>
        </w:tc>
        <w:tc>
          <w:tcPr>
            <w:tcW w:w="588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2</w:t>
            </w:r>
            <w:r w:rsidRPr="00EE00A3">
              <w:t xml:space="preserve">) </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EE00A3">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2</w:t>
            </w:r>
            <w:r w:rsidRPr="00EE00A3">
              <w:t>.</w:t>
            </w:r>
            <w:r w:rsidRPr="00EE00A3">
              <w:rPr>
                <w:rStyle w:val="SpecialBold"/>
              </w:rPr>
              <w:t>1</w:t>
            </w:r>
            <w:r w:rsidRPr="00EE00A3">
              <w:t xml:space="preserve">) </w:t>
            </w:r>
            <w:r w:rsidRPr="00EE00A3">
              <w:rPr>
                <w:rStyle w:val="SpecialBold"/>
              </w:rPr>
              <w:t>Competencies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 xml:space="preserve">Entry into this unit requires a current 'Unrestricted Electrician's Licence' or equivalent issued in an Australian State or Territory or satisfaction </w:t>
            </w:r>
            <w:r w:rsidRPr="00EE00A3">
              <w:t xml:space="preserve">of the ERAC requirements for the issue of an unrestricted electrician's licence. </w:t>
            </w:r>
          </w:p>
        </w:tc>
      </w:tr>
    </w:tbl>
    <w:p w:rsidR="0097439F" w:rsidP="00EE00A3">
      <w:pPr>
        <w:pStyle w:val="BodyText"/>
      </w:pPr>
    </w:p>
    <w:p w:rsidR="0097439F" w:rsidP="00EE00A3">
      <w:pPr>
        <w:pStyle w:val="BodyText"/>
      </w:pPr>
    </w:p>
    <w:p w:rsidR="00000000" w:rsidRPr="00EE00A3" w:rsidP="00EE00A3">
      <w:pPr>
        <w:pStyle w:val="Heading1"/>
      </w:pPr>
      <w:bookmarkStart w:id="6" w:name="O_231792"/>
      <w:bookmarkEnd w:id="6"/>
      <w:r w:rsidRPr="00EE00A3">
        <w:t>Employability Skills Information</w:t>
      </w:r>
    </w:p>
    <w:tbl>
      <w:tblPr>
        <w:tblW w:w="0" w:type="auto"/>
        <w:tblLayout w:type="fixed"/>
        <w:tblCellMar>
          <w:left w:w="62" w:type="dxa"/>
          <w:right w:w="62" w:type="dxa"/>
        </w:tblCellMar>
        <w:tblLook w:val="0000"/>
      </w:tblPr>
      <w:tblGrid>
        <w:gridCol w:w="2757"/>
        <w:gridCol w:w="5883"/>
      </w:tblGrid>
      <w:tr w:rsidTr="0097439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3</w:t>
            </w:r>
            <w:r w:rsidRPr="00EE00A3">
              <w:t>)</w:t>
            </w:r>
          </w:p>
          <w:p w:rsidR="00000000" w:rsidRPr="00EE00A3" w:rsidP="00EE00A3">
            <w:pPr>
              <w:pStyle w:val="BodyText"/>
            </w:pPr>
            <w:r w:rsidRPr="00EE00A3">
              <w:t>The required outcomes described in this unit of competency contain applicable facets of Employabi</w:t>
            </w:r>
            <w:r w:rsidRPr="00EE00A3">
              <w:t>lity Skills. The Employability Skills Summary of the qualification in which this unit of competency is packaged will assist in identifying Employability Skill requirements.</w:t>
            </w:r>
          </w:p>
        </w:tc>
      </w:tr>
    </w:tbl>
    <w:p w:rsidR="0097439F" w:rsidP="00EE00A3">
      <w:pPr>
        <w:pStyle w:val="BodyText"/>
      </w:pPr>
    </w:p>
    <w:p w:rsidR="0097439F" w:rsidP="00EE00A3">
      <w:pPr>
        <w:pStyle w:val="BodyText"/>
      </w:pPr>
    </w:p>
    <w:p w:rsidR="00000000" w:rsidRPr="00EE00A3" w:rsidP="00EE00A3">
      <w:pPr>
        <w:pStyle w:val="Heading1"/>
      </w:pPr>
      <w:bookmarkStart w:id="7" w:name="O_293566"/>
      <w:bookmarkEnd w:id="7"/>
      <w:r w:rsidRPr="00EE00A3">
        <w:t>Elements and Performance Criteria Pre-Content</w:t>
      </w:r>
    </w:p>
    <w:tbl>
      <w:tblPr>
        <w:tblW w:w="0" w:type="auto"/>
        <w:tblLayout w:type="fixed"/>
        <w:tblCellMar>
          <w:left w:w="62" w:type="dxa"/>
          <w:right w:w="62" w:type="dxa"/>
        </w:tblCellMar>
        <w:tblLook w:val="0000"/>
      </w:tblPr>
      <w:tblGrid>
        <w:gridCol w:w="2758"/>
        <w:gridCol w:w="5882"/>
      </w:tblGrid>
      <w:tr w:rsidTr="0097439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6</w:t>
            </w:r>
            <w:r w:rsidRPr="00EE00A3">
              <w:t xml:space="preserve">) </w:t>
            </w:r>
            <w:r w:rsidRPr="00EE00A3">
              <w:rPr>
                <w:rStyle w:val="SpecialBold"/>
              </w:rPr>
              <w:t>Elements</w:t>
            </w:r>
            <w:r w:rsidRPr="00EE00A3">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Performance Criteria describe the required performance needed to demonstrate achievement of the element. Assessment of performance is to be consistent with the evidence guide.</w:t>
            </w:r>
          </w:p>
        </w:tc>
      </w:tr>
    </w:tbl>
    <w:p w:rsidR="00000000" w:rsidRPr="00EE00A3" w:rsidP="00EE00A3">
      <w:pPr>
        <w:pStyle w:val="BodyText"/>
      </w:pPr>
    </w:p>
    <w:p w:rsidR="00000000" w:rsidRPr="00EE00A3" w:rsidP="00EE00A3">
      <w:pPr>
        <w:pStyle w:val="AllowPageBreak"/>
      </w:pPr>
    </w:p>
    <w:p w:rsidR="00000000" w:rsidRPr="00EE00A3" w:rsidP="00EE00A3">
      <w:pPr>
        <w:pStyle w:val="Heading1"/>
      </w:pPr>
      <w:bookmarkStart w:id="8" w:name="O_240234"/>
      <w:bookmarkEnd w:id="8"/>
      <w:r w:rsidRPr="00EE00A3">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97439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PERFORMANCE CRITERIA</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w:t>
            </w:r>
          </w:p>
        </w:tc>
        <w:tc>
          <w:tcPr>
            <w:tcW w:w="2345" w:type="dxa"/>
            <w:vMerge w:val="restart"/>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Prepare/plan for fault finding and rectification in power system substation environment</w:t>
            </w: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1.1</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 schedules including drawings, plans, requirements procedures and material lists are acquired, analysed and the extent of work determined.</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1.2</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Relevant requirements and established procedures for the work are communicated to all personnel and identi</w:t>
            </w:r>
            <w:r w:rsidRPr="00EE00A3">
              <w:t>fied for all work sites.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1.3</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 xml:space="preserve">Hazards are identified, OHS risks assessed and control measures are prioritised, implemented and monitored including emergency exits kept clear, </w:t>
            </w:r>
            <w:r w:rsidRPr="00EE00A3">
              <w:t>to ensure safe systems of work are followed and according to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1.4</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 is prioritised and sequenced for the most efficient and effective outcome following consultation with others for completion within acceptable timeframes, to ag</w:t>
            </w:r>
            <w:r w:rsidRPr="00EE00A3">
              <w:t>reed quality standards and in accordance with established policies and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1.5</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Risk control measures are identified, prioritised, implemented and evaluated against the work schedule.</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1.6</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Resources including personnel, equipment, tools and personal protective equipment required for the job are identified, acquired and confirmed in safe/technical working order.</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1.7</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Liaison issues with other personnel and/or authorities are resolved and ac</w:t>
            </w:r>
            <w:r w:rsidRPr="00EE00A3">
              <w:t>tivities coordinated to facilitate the work.</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1.8</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Personnel participating in the work including plant operators and contractors are fully briefed, their respective responsibilities explained and coordinated and appropriate authorisation checked in accord</w:t>
            </w:r>
            <w:r w:rsidRPr="00EE00A3">
              <w:t>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1.9</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 site is prepared according to the work schedule and to minimise OHS risk and damage to property and personnel in accordance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w:t>
            </w:r>
          </w:p>
        </w:tc>
        <w:tc>
          <w:tcPr>
            <w:tcW w:w="2345"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Carry out fault finding within the substation environm</w:t>
            </w:r>
            <w:r w:rsidRPr="00EE00A3">
              <w:t>ent</w:t>
            </w: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2.1</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OHS and sustainable energy principles and practices to reduce the incidence of accidents and minimise waste are implemented and monitored in accordance with requirements and/or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2.2</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CPR, Rescue from live electrical apparatus and other related safety procedures are in place according to requirements and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2.3</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Safe working documentation is acquired and requirements completed in accordance with established proced</w:t>
            </w:r>
            <w:r w:rsidRPr="00EE00A3">
              <w:t>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2.4</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Lifting, climbing and working aloft, use of power tools/equipment techniques and practices are safly exercised in accordance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2.5</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Hazard warnings and safety signs are recognised and hazards and assessed OHS risks</w:t>
            </w:r>
            <w:r w:rsidRPr="00EE00A3">
              <w:t xml:space="preserve"> are reported to the immediate authorised persons for directions/preventative action taken according to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2.6</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Essential knowledge and associated skills are applied for the safe diagnose and rectification of faults in power system substation to ensure completion inan agreed timeframe and, to quality standards with a minimum of waste according to requirements.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w:t>
            </w:r>
            <w:r w:rsidRPr="00EE00A3">
              <w:t>7</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Faults are located, identified and affected circuits isolated in accordance with the work schedule and requirements and/or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2.8</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Faults in power system substation control circuits are rectified in an agreed timeframe and to estab</w:t>
            </w:r>
            <w:r w:rsidRPr="00EE00A3">
              <w:t>lished quality standards with a minimum of waste.</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2.9</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Faults are diagnosed, analysed and recommendations made to prevent a reoccurrence.</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2.10</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Solutions to non-routine problems are identified and actioned using acquired essential knowledge and associated skills according to requirements.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2.11</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Circuit functions are restored in accordance with work schedule requirements and/or established proced</w:t>
            </w:r>
            <w:r w:rsidRPr="00EE00A3">
              <w:t>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2.12</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On going checks of quality of the work are undertaken in accordance with requirements and established procedures to ensure a quality outcome is achieved for the client/customer and to a community/industry standard.</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w:t>
            </w:r>
          </w:p>
        </w:tc>
        <w:tc>
          <w:tcPr>
            <w:tcW w:w="2345"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Complete fault finding w</w:t>
            </w:r>
            <w:r w:rsidRPr="00EE00A3">
              <w:t>ithin the substation environment</w:t>
            </w: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3.1</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 undertaken is checked against work schedule for conformance with requirements, anomalies reported and solutions identified in accordance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3.2</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Safe working documentation is surrendered and equipment made ready for service.</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3.3</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 site is rehabilitated, cleaned up and confirmed safe in accordance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3.4</w:t>
            </w:r>
          </w:p>
        </w:tc>
        <w:tc>
          <w:tcPr>
            <w:tcW w:w="496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 xml:space="preserve">Tools, equipment and any surplus resources and materials are </w:t>
            </w:r>
            <w:r w:rsidRPr="00EE00A3">
              <w:t>cleaned, checked and returned to storage in accordance with established procedures.</w:t>
            </w:r>
          </w:p>
        </w:tc>
      </w:tr>
      <w:tr w:rsidTr="0097439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3.5</w:t>
            </w:r>
          </w:p>
        </w:tc>
        <w:tc>
          <w:tcPr>
            <w:tcW w:w="496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Required works completion records, reports and/or documentation and information are completed, processed and appropriate personnel notified in accordance with establ</w:t>
            </w:r>
            <w:r w:rsidRPr="00EE00A3">
              <w:t>ished procedures.</w:t>
            </w:r>
          </w:p>
        </w:tc>
      </w:tr>
    </w:tbl>
    <w:p w:rsidR="0097439F" w:rsidP="00EE00A3">
      <w:pPr>
        <w:pStyle w:val="BodyText"/>
      </w:pPr>
    </w:p>
    <w:p w:rsidR="0097439F" w:rsidP="00EE00A3">
      <w:pPr>
        <w:pStyle w:val="BodyText"/>
      </w:pPr>
    </w:p>
    <w:p w:rsidR="00000000" w:rsidRPr="00EE00A3" w:rsidP="00EE00A3">
      <w:pPr>
        <w:pStyle w:val="Heading1"/>
      </w:pPr>
      <w:bookmarkStart w:id="9" w:name="O_264025"/>
      <w:bookmarkEnd w:id="9"/>
      <w:r w:rsidRPr="00EE00A3">
        <w:t>Required Skills and Knowledge</w:t>
      </w:r>
    </w:p>
    <w:tbl>
      <w:tblPr>
        <w:tblW w:w="0" w:type="auto"/>
        <w:tblLayout w:type="fixed"/>
        <w:tblCellMar>
          <w:left w:w="62" w:type="dxa"/>
          <w:right w:w="62" w:type="dxa"/>
        </w:tblCellMar>
        <w:tblLook w:val="0000"/>
      </w:tblPr>
      <w:tblGrid>
        <w:gridCol w:w="2757"/>
        <w:gridCol w:w="1103"/>
        <w:gridCol w:w="4780"/>
      </w:tblGrid>
      <w:tr w:rsidTr="0097439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REQUIRED SKILLS AND KNOWLEDGE</w:t>
            </w:r>
          </w:p>
        </w:tc>
      </w:tr>
      <w:tr w:rsidTr="0097439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7</w:t>
            </w:r>
            <w:r w:rsidRPr="00EE00A3">
              <w:t xml:space="preserve">) </w:t>
            </w:r>
            <w:r w:rsidRPr="00EE00A3">
              <w:rPr>
                <w:rStyle w:val="SpecialBold"/>
              </w:rPr>
              <w:t>Essential Knowledge and Associated Skills</w:t>
            </w:r>
            <w:r w:rsidRPr="00EE00A3">
              <w:t xml:space="preserve"> (</w:t>
            </w:r>
            <w:r w:rsidRPr="00EE00A3">
              <w:rPr>
                <w:rStyle w:val="SpecialBold"/>
              </w:rPr>
              <w:t>EKAS</w:t>
            </w:r>
            <w:r w:rsidRPr="00EE00A3">
              <w:t>): This describes the essential skills and knowledge and their level, required for this unit.</w:t>
            </w:r>
          </w:p>
        </w:tc>
      </w:tr>
      <w:tr w:rsidTr="0097439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 xml:space="preserve">Evidence shall show that knowledge has been acquired of diagnosing and rectifying faults in secondary systems substation environment. </w:t>
            </w:r>
          </w:p>
          <w:p w:rsidR="00000000" w:rsidRPr="00EE00A3" w:rsidP="00EE00A3">
            <w:pPr>
              <w:pStyle w:val="BodyText"/>
            </w:pPr>
            <w:r w:rsidRPr="00EE00A3">
              <w:t>All knowledge and skills detailed in this unit should be contextualised to current industry practices and technologies.</w:t>
            </w:r>
          </w:p>
          <w:p w:rsidR="00000000" w:rsidP="00EE00A3">
            <w:pPr>
              <w:pStyle w:val="BodyText"/>
              <w:rPr>
                <w:lang w:val="en-NZ"/>
              </w:rPr>
            </w:pPr>
            <w:r w:rsidRPr="00EE00A3">
              <w:t>T</w:t>
            </w:r>
            <w:r w:rsidRPr="00EE00A3">
              <w:t>he extent of the essential knowledge and associated skills (EKAS) required is given in Volume 2 - Part 2.2 EKAS. It forms an integral part of this unit.</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 xml:space="preserve">E2.18.1 </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Occupational Health and Safety principles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E2.18.2</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Electrical safe working practice</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T2.2.13</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Low voltage  energised work practices for substations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T2.8.1</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policy and procedures and Instructions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T2.8.2</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OHS instructions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T2.8.3</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technical drawing and documents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T2.8.4</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switching diagrams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T2.8.6</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specialised tools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T2.8.7</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equipment installation procedures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T2.8.8</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Enterprise specific - data management processes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T2.10.7</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Substation tools and equipment</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w:t>
            </w:r>
            <w:r w:rsidRPr="00EE00A3">
              <w:t>2.10.8</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Typical fault conditions and symptoms - substations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T2.10.9</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Analyse and interpret results and measurements - substations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T2.10.10</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Equipment components and materials - substations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T2.10.11</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Substation safety practices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T2.10.12</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Substation LV supply design principles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T2.10.13</w:t>
            </w:r>
          </w:p>
        </w:tc>
        <w:tc>
          <w:tcPr>
            <w:tcW w:w="4780"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Substation control systems design principles</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T2.10.20</w:t>
            </w:r>
          </w:p>
        </w:tc>
        <w:tc>
          <w:tcPr>
            <w:tcW w:w="4780"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Low voltage substation switching principles</w:t>
            </w:r>
          </w:p>
        </w:tc>
      </w:tr>
    </w:tbl>
    <w:p w:rsidR="0097439F" w:rsidP="00EE00A3">
      <w:pPr>
        <w:pStyle w:val="BodyText"/>
      </w:pPr>
    </w:p>
    <w:p w:rsidR="0097439F" w:rsidP="00EE00A3">
      <w:pPr>
        <w:pStyle w:val="BodyText"/>
      </w:pPr>
    </w:p>
    <w:p w:rsidR="00000000" w:rsidRPr="00EE00A3" w:rsidP="00EE00A3">
      <w:pPr>
        <w:pStyle w:val="Heading1"/>
      </w:pPr>
      <w:bookmarkStart w:id="10" w:name="O_248217"/>
      <w:bookmarkEnd w:id="10"/>
      <w:r w:rsidRPr="00EE00A3">
        <w:t>Evidence Guide</w:t>
      </w:r>
    </w:p>
    <w:tbl>
      <w:tblPr>
        <w:tblW w:w="0" w:type="auto"/>
        <w:tblLayout w:type="fixed"/>
        <w:tblCellMar>
          <w:left w:w="62" w:type="dxa"/>
          <w:right w:w="62" w:type="dxa"/>
        </w:tblCellMar>
        <w:tblLook w:val="0000"/>
      </w:tblPr>
      <w:tblGrid>
        <w:gridCol w:w="2207"/>
        <w:gridCol w:w="735"/>
        <w:gridCol w:w="919"/>
        <w:gridCol w:w="1654"/>
        <w:gridCol w:w="3125"/>
      </w:tblGrid>
      <w:tr w:rsidTr="0097439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EVIDENCE GUIDE</w:t>
            </w:r>
          </w:p>
        </w:tc>
      </w:tr>
      <w:tr w:rsidTr="0097439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9</w:t>
            </w:r>
            <w:r w:rsidRPr="00EE00A3">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EE00A3">
            <w:pPr>
              <w:pStyle w:val="BodyText"/>
              <w:rPr>
                <w:lang w:val="en-NZ"/>
              </w:rPr>
            </w:pPr>
            <w:r w:rsidRPr="00EE00A3">
              <w:t>The Evidence Guide forms an integral part of this Competency Standard Unit and shall be used in conjunction with all component parts of this unit and, performed in accordance with the Assessment Guidelines of this Training Package.</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Overview of Assessm</w:t>
            </w:r>
            <w:r w:rsidRPr="00EE00A3">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9</w:t>
            </w:r>
            <w:r w:rsidRPr="00EE00A3">
              <w:t>.</w:t>
            </w:r>
            <w:r w:rsidRPr="00EE00A3">
              <w:rPr>
                <w:rStyle w:val="SpecialBold"/>
              </w:rPr>
              <w:t>1</w:t>
            </w:r>
            <w:r w:rsidRPr="00EE00A3">
              <w:t xml:space="preserve">) </w:t>
            </w:r>
          </w:p>
          <w:p w:rsidR="00000000" w:rsidRPr="00EE00A3" w:rsidP="00EE00A3">
            <w:pPr>
              <w:pStyle w:val="BodyText"/>
            </w:pPr>
            <w:r w:rsidRPr="00EE00A3">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EE00A3">
              <w:t>assessment intervention. It is the Industry's preferred model for apprenticeships. However, where summative (or final) assessment is used it is to include the application of the competency in the normal work environment or, at a minimum, the application of</w:t>
            </w:r>
            <w:r w:rsidRPr="00EE00A3">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EE00A3" w:rsidP="00EE00A3">
            <w:pPr>
              <w:pStyle w:val="BodyText"/>
            </w:pPr>
            <w:r w:rsidRPr="00EE00A3">
              <w:t>Meth</w:t>
            </w:r>
            <w:r w:rsidRPr="00EE00A3">
              <w:t>ods chosen for a particular assessment will be influenced by various factors. These include the extent of the assessment, the most effective locations for the assessment activities to take place, access to physical resources, additional safety measures tha</w:t>
            </w:r>
            <w:r w:rsidRPr="00EE00A3">
              <w:t>t may be required and the critical nature of the competencies being assessed.</w:t>
            </w:r>
          </w:p>
          <w:p w:rsidR="00000000" w:rsidRPr="00EE00A3" w:rsidP="00EE00A3">
            <w:pPr>
              <w:pStyle w:val="BodyText"/>
            </w:pPr>
            <w:r w:rsidRPr="00EE00A3">
              <w:t>The critical safety nature of working with electricity, electrical equipment, gas or any other hazardous substance/material carries risk in deeming a person competent. Hence, sou</w:t>
            </w:r>
            <w:r w:rsidRPr="00EE00A3">
              <w:t>rces of evidence need to be 'rich' in nature so as to minimise error in judgment.</w:t>
            </w:r>
          </w:p>
          <w:p w:rsidR="00000000" w:rsidP="00EE00A3">
            <w:pPr>
              <w:pStyle w:val="BodyText"/>
              <w:rPr>
                <w:lang w:val="en-NZ"/>
              </w:rPr>
            </w:pPr>
            <w:r w:rsidRPr="00EE00A3">
              <w:t>Activities associated with normal every day work have a bearing on the decision as to how much and how detailed the data gathered will contribute to its 'richness'. Some skil</w:t>
            </w:r>
            <w:r w:rsidRPr="00EE00A3">
              <w:t>ls are more critical to safety and operational requirements while the same skills may be more or less frequently practiced. These points are raised for the assessors to consider when choosing an assessment method and developing assessment instruments. Samp</w:t>
            </w:r>
            <w:r w:rsidRPr="00EE00A3">
              <w:t>le assessment instruments are included for Assessors in the Assessment Guidelines of this Training Package.</w:t>
            </w:r>
          </w:p>
        </w:tc>
      </w:tr>
      <w:tr w:rsidTr="0097439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 xml:space="preserve">Critical aspects of evidence required to demonstrate competency </w:t>
            </w:r>
            <w:r w:rsidRPr="00EE00A3">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9</w:t>
            </w:r>
            <w:r w:rsidRPr="00EE00A3">
              <w:t>.</w:t>
            </w:r>
            <w:r w:rsidRPr="00EE00A3">
              <w:rPr>
                <w:rStyle w:val="SpecialBold"/>
              </w:rPr>
              <w:t>2</w:t>
            </w:r>
            <w:r w:rsidRPr="00EE00A3">
              <w:t xml:space="preserve">) </w:t>
            </w:r>
          </w:p>
          <w:p w:rsidR="00000000" w:rsidP="00EE00A3">
            <w:pPr>
              <w:pStyle w:val="BodyText"/>
              <w:rPr>
                <w:lang w:val="en-NZ"/>
              </w:rPr>
            </w:pPr>
            <w:r w:rsidRPr="00EE00A3">
              <w:t xml:space="preserve">Before the critical </w:t>
            </w:r>
            <w:r w:rsidRPr="00EE00A3">
              <w:t>aspects of evidence are considered all prerequisites shall be met.</w:t>
            </w:r>
          </w:p>
        </w:tc>
      </w:tr>
      <w:tr w:rsidTr="0097439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Evidence for competence in this unit shall be considered holistically. Each element and associated Performance Criteria shall be demonstrated on at least two occasions in accordance wi</w:t>
            </w:r>
            <w:r w:rsidRPr="00EE00A3">
              <w:t>th the "Assessment Guidelines - UET09". Evidence shall also comprise:</w:t>
            </w:r>
          </w:p>
          <w:p w:rsidR="00000000" w:rsidP="00EE00A3">
            <w:pPr>
              <w:pStyle w:val="ListBullet"/>
              <w:rPr>
                <w:lang w:val="en-NZ"/>
              </w:rPr>
            </w:pPr>
            <w:r w:rsidRPr="00EE00A3">
              <w:t xml:space="preserve">A representative body of Performance Criteria demonstrated within the timeframes typically expected of the discipline, work function and industrial environment. In particular this shall </w:t>
            </w:r>
            <w:r w:rsidRPr="00EE00A3">
              <w:t>incorporate evidence that shows a candidate is able to:</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ListBullet2"/>
            </w:pPr>
            <w:r w:rsidRPr="00EE00A3">
              <w:t>Implement Occupational Health and Safety workplace procedures and practices including the use of risk control measures as specified in the Performance Criteria and range; and</w:t>
            </w:r>
          </w:p>
          <w:p w:rsidR="00000000" w:rsidRPr="00EE00A3" w:rsidP="00EE00A3">
            <w:pPr>
              <w:pStyle w:val="ListBullet2"/>
            </w:pPr>
            <w:r w:rsidRPr="00EE00A3">
              <w:t>Apply sustainable energy principles and practices as specified in the Performance Criteria and range; and</w:t>
            </w:r>
          </w:p>
          <w:p w:rsidR="00000000" w:rsidRPr="00EE00A3" w:rsidP="00EE00A3">
            <w:pPr>
              <w:pStyle w:val="ListBullet2"/>
            </w:pPr>
            <w:r w:rsidRPr="00EE00A3">
              <w:t>Demonstrate an understanding of the essential knowledge and associated skills as described in this unit to such an extent that the learner's performan</w:t>
            </w:r>
            <w:r w:rsidRPr="00EE00A3">
              <w:t>ce outcome is reported in accordance with the preferred approach; namely a percentile graded result, where required by the regulated environment; and</w:t>
            </w:r>
          </w:p>
          <w:p w:rsidR="00000000" w:rsidRPr="00EE00A3" w:rsidP="00EE00A3">
            <w:pPr>
              <w:pStyle w:val="ListBullet2"/>
            </w:pPr>
            <w:r w:rsidRPr="00EE00A3">
              <w:t>Demonstrate an appropriate level of employability skills; and</w:t>
            </w:r>
          </w:p>
          <w:p w:rsidR="00000000" w:rsidP="00EE00A3">
            <w:pPr>
              <w:pStyle w:val="ListBullet2"/>
              <w:rPr>
                <w:lang w:val="en-NZ"/>
              </w:rPr>
            </w:pPr>
            <w:r w:rsidRPr="00EE00A3">
              <w:t>Conduct work observing the relevant Anti Dis</w:t>
            </w:r>
            <w:r w:rsidRPr="00EE00A3">
              <w:t>crimination legislation, regulations, policies and workplace procedures; and</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EE00A3">
            <w:pPr>
              <w:pStyle w:val="ListBullet"/>
              <w:rPr>
                <w:lang w:val="en-NZ"/>
              </w:rPr>
            </w:pPr>
            <w:r w:rsidRPr="00EE00A3">
              <w:t>Demonstrated performance across a representative range of contexts from the prescribed items below:</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E00A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rPr>
                <w:rStyle w:val="SpecialBold"/>
              </w:rPr>
              <w:t>Range of tools</w:t>
            </w:r>
            <w:r w:rsidRPr="00EE00A3">
              <w:t>/</w:t>
            </w:r>
            <w:r w:rsidRPr="00EE00A3">
              <w:rPr>
                <w:rStyle w:val="SpecialBold"/>
              </w:rPr>
              <w:t>equipment</w:t>
            </w:r>
            <w:r w:rsidRPr="00EE00A3">
              <w:t>/</w:t>
            </w:r>
            <w:r w:rsidRPr="00EE00A3">
              <w:rPr>
                <w:rStyle w:val="SpecialBold"/>
              </w:rPr>
              <w:t>materials</w:t>
            </w:r>
            <w:r w:rsidRPr="00EE00A3">
              <w:t>/</w:t>
            </w:r>
            <w:r w:rsidRPr="00EE00A3">
              <w:rPr>
                <w:rStyle w:val="SpecialBold"/>
              </w:rPr>
              <w:t>procedures</w:t>
            </w:r>
            <w:r w:rsidRPr="00EE00A3">
              <w:t>/</w:t>
            </w:r>
            <w:r w:rsidRPr="00EE00A3">
              <w:rPr>
                <w:rStyle w:val="SpecialBold"/>
              </w:rPr>
              <w:t>workplaces</w:t>
            </w:r>
            <w:r w:rsidRPr="00EE00A3">
              <w:t>/</w:t>
            </w:r>
            <w:r w:rsidRPr="00EE00A3">
              <w:rPr>
                <w:rStyle w:val="SpecialBold"/>
              </w:rPr>
              <w:t>other variables</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E00A3">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0A3" w:rsidP="00EE00A3">
            <w:pPr>
              <w:pStyle w:val="BodyText"/>
            </w:pPr>
            <w:r w:rsidRPr="00EE00A3">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0A3" w:rsidP="00EE00A3">
            <w:pPr>
              <w:pStyle w:val="BodyText"/>
            </w:pPr>
            <w:r w:rsidRPr="00EE00A3">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rPr>
                <w:rStyle w:val="SpecialBold"/>
              </w:rPr>
              <w:t>Item List</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0A3" w:rsidP="00EE00A3">
            <w:pPr>
              <w:pStyle w:val="BodyText"/>
            </w:pPr>
            <w:r w:rsidRPr="00EE00A3">
              <w:t>HV circuit breaker control system fault</w:t>
            </w:r>
          </w:p>
          <w:p w:rsidR="00000000" w:rsidRPr="00EE00A3" w:rsidP="00EE00A3">
            <w:pPr>
              <w:pStyle w:val="BodyText"/>
            </w:pPr>
            <w:r w:rsidRPr="00EE00A3">
              <w:t>Transformer control system fault</w:t>
            </w:r>
          </w:p>
          <w:p w:rsidR="00000000" w:rsidRPr="00EE00A3" w:rsidP="00EE00A3">
            <w:pPr>
              <w:pStyle w:val="BodyText"/>
            </w:pPr>
            <w:r w:rsidRPr="00EE00A3">
              <w:t>DC supply systems fault</w:t>
            </w:r>
          </w:p>
          <w:p w:rsidR="00000000" w:rsidP="00EE00A3">
            <w:pPr>
              <w:pStyle w:val="BodyText"/>
              <w:rPr>
                <w:lang w:val="en-NZ"/>
              </w:rPr>
            </w:pPr>
            <w:r w:rsidRPr="00EE00A3">
              <w:t xml:space="preserve">DC switchgear and equipment fault </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00A3" w:rsidP="00EE00A3">
            <w:pPr>
              <w:pStyle w:val="BodyText"/>
            </w:pPr>
            <w:r w:rsidRPr="00EE00A3">
              <w:t>Multimeters</w:t>
            </w:r>
          </w:p>
          <w:p w:rsidR="00000000" w:rsidRPr="00EE00A3" w:rsidP="00EE00A3">
            <w:pPr>
              <w:pStyle w:val="BodyText"/>
            </w:pPr>
            <w:r w:rsidRPr="00EE00A3">
              <w:t>Tong testers</w:t>
            </w:r>
          </w:p>
          <w:p w:rsidR="00000000" w:rsidRPr="00EE00A3" w:rsidP="00EE00A3">
            <w:pPr>
              <w:pStyle w:val="BodyText"/>
            </w:pPr>
            <w:r w:rsidRPr="00EE00A3">
              <w:t>Insulation resistance/continuity tester</w:t>
            </w:r>
          </w:p>
          <w:p w:rsidR="00000000" w:rsidRPr="00EE00A3" w:rsidP="00EE00A3">
            <w:pPr>
              <w:pStyle w:val="BodyText"/>
            </w:pPr>
            <w:r w:rsidRPr="00EE00A3">
              <w:t>Ductor tester</w:t>
            </w:r>
          </w:p>
          <w:p w:rsidR="00000000" w:rsidRPr="00EE00A3" w:rsidP="00EE00A3">
            <w:pPr>
              <w:pStyle w:val="BodyText"/>
            </w:pPr>
            <w:r w:rsidRPr="00EE00A3">
              <w:t>Overload injection tester</w:t>
            </w:r>
          </w:p>
          <w:p w:rsidR="00000000" w:rsidP="00EE00A3">
            <w:pPr>
              <w:pStyle w:val="BodyText"/>
              <w:rPr>
                <w:lang w:val="en-NZ"/>
              </w:rPr>
            </w:pPr>
            <w:r w:rsidRPr="00EE00A3">
              <w:t>Specialist test equipment</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00A3">
            <w:pPr>
              <w:pStyle w:val="BodyText"/>
              <w:rPr>
                <w:lang w:val="en-NZ"/>
              </w:rPr>
            </w:pPr>
            <w:r w:rsidRPr="00EE00A3">
              <w:t>Dealing with an unplanned event by drawing on essential knowledge and associated skills to provide appropriate solutions incorporated in the holistic assessment with the above listed items.</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9</w:t>
            </w:r>
            <w:r w:rsidRPr="00EE00A3">
              <w:t>.</w:t>
            </w:r>
            <w:r w:rsidRPr="00EE00A3">
              <w:rPr>
                <w:rStyle w:val="SpecialBold"/>
              </w:rPr>
              <w:t>3</w:t>
            </w:r>
            <w:r w:rsidRPr="00EE00A3">
              <w:t xml:space="preserve">) </w:t>
            </w:r>
          </w:p>
          <w:p w:rsidR="00000000" w:rsidRPr="00EE00A3" w:rsidP="00EE00A3">
            <w:pPr>
              <w:pStyle w:val="BodyText"/>
            </w:pPr>
            <w:r w:rsidRPr="00EE00A3">
              <w:t xml:space="preserve">This unit </w:t>
            </w:r>
            <w:r w:rsidRPr="00EE00A3">
              <w:t>should be assessed as it relates to normal work practice using procedures, information and resources typical of a workplace. This should include:</w:t>
            </w:r>
          </w:p>
          <w:p w:rsidR="00000000" w:rsidRPr="00EE00A3" w:rsidP="00EE00A3">
            <w:pPr>
              <w:pStyle w:val="ListBullet"/>
            </w:pPr>
            <w:r w:rsidRPr="00EE00A3">
              <w:t>OHS policy and work procedures and instructions.</w:t>
            </w:r>
          </w:p>
          <w:p w:rsidR="00000000" w:rsidP="00EE00A3">
            <w:pPr>
              <w:pStyle w:val="ListBullet"/>
              <w:rPr>
                <w:lang w:val="en-NZ"/>
              </w:rPr>
            </w:pPr>
            <w:r w:rsidRPr="00EE00A3">
              <w:t>Suitable work environment, facilities, equipment and material</w:t>
            </w:r>
            <w:r w:rsidRPr="00EE00A3">
              <w:t>s to undertake actual diagnosis and rectification of faults in power system substation environments.</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 xml:space="preserve">In addition to the resources listed above, in Context of and specific resources for assessment, evidence should show demonstrated competency of: </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Working at realistic heights above ground, i.e. above 3 metres, in limited spaces, with different structural/construction types and method and in a variety of environments.</w:t>
            </w:r>
          </w:p>
        </w:tc>
      </w:tr>
      <w:tr w:rsidTr="0097439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9</w:t>
            </w:r>
            <w:r w:rsidRPr="00EE00A3">
              <w:t>.</w:t>
            </w:r>
            <w:r w:rsidRPr="00EE00A3">
              <w:rPr>
                <w:rStyle w:val="SpecialBold"/>
              </w:rPr>
              <w:t>4</w:t>
            </w:r>
            <w:r w:rsidRPr="00EE00A3">
              <w:t xml:space="preserve">) </w:t>
            </w:r>
          </w:p>
          <w:p w:rsidR="00000000" w:rsidRPr="00EE00A3" w:rsidP="00EE00A3">
            <w:pPr>
              <w:pStyle w:val="BodyText"/>
            </w:pPr>
            <w:r w:rsidRPr="00EE00A3">
              <w:t xml:space="preserve">This Competency Standard Unit shall be assessed by </w:t>
            </w:r>
            <w:r w:rsidRPr="00EE00A3">
              <w:t>methods given in Volume 1, Part 3 "Assessment Guidelines".</w:t>
            </w:r>
          </w:p>
          <w:p w:rsidR="00000000" w:rsidP="00EE00A3">
            <w:pPr>
              <w:pStyle w:val="BodyText"/>
              <w:rPr>
                <w:lang w:val="en-NZ"/>
              </w:rPr>
            </w:pPr>
            <w:r w:rsidRPr="00EE00A3">
              <w:t>Note:</w:t>
            </w:r>
            <w:r w:rsidRPr="00EE00A3">
              <w:br/>
              <w:t>Competent performance with inherent safe working practices is expected in the Transmission, Distribution and Rail Traction Industry. This requires that the specified essential knowledge and a</w:t>
            </w:r>
            <w:r w:rsidRPr="00EE00A3">
              <w:t>ssociated skills are assessed in a structured environment which is primarily intended for learning/assessment and incorporates all necessary equipment and facilities for learners to develop and demonstrate the essential knowledge and associated skills desc</w:t>
            </w:r>
            <w:r w:rsidRPr="00EE00A3">
              <w:t>ribed in this unit.</w:t>
            </w:r>
          </w:p>
        </w:tc>
      </w:tr>
      <w:tr w:rsidTr="0097439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9</w:t>
            </w:r>
            <w:r w:rsidRPr="00EE00A3">
              <w:t>.</w:t>
            </w:r>
            <w:r w:rsidRPr="00EE00A3">
              <w:rPr>
                <w:rStyle w:val="SpecialBold"/>
              </w:rPr>
              <w:t>5</w:t>
            </w:r>
            <w:r w:rsidRPr="00EE00A3">
              <w:t>)</w:t>
            </w:r>
          </w:p>
        </w:tc>
      </w:tr>
      <w:tr w:rsidTr="0097439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There are no concurrent assessment recommendations for this unit.</w:t>
            </w:r>
          </w:p>
        </w:tc>
      </w:tr>
    </w:tbl>
    <w:p w:rsidR="0097439F" w:rsidP="00EE00A3">
      <w:pPr>
        <w:pStyle w:val="BodyText"/>
      </w:pPr>
    </w:p>
    <w:p w:rsidR="0097439F" w:rsidP="00EE00A3">
      <w:pPr>
        <w:pStyle w:val="BodyText"/>
      </w:pPr>
    </w:p>
    <w:p w:rsidR="00000000" w:rsidRPr="00EE00A3" w:rsidP="00EE00A3">
      <w:pPr>
        <w:pStyle w:val="Heading1"/>
      </w:pPr>
      <w:bookmarkStart w:id="11" w:name="O_256201"/>
      <w:bookmarkEnd w:id="11"/>
      <w:r w:rsidRPr="00EE00A3">
        <w:t>Range Statement</w:t>
      </w:r>
    </w:p>
    <w:tbl>
      <w:tblPr>
        <w:tblW w:w="0" w:type="auto"/>
        <w:tblLayout w:type="fixed"/>
        <w:tblCellMar>
          <w:left w:w="62" w:type="dxa"/>
          <w:right w:w="62" w:type="dxa"/>
        </w:tblCellMar>
        <w:tblLook w:val="0000"/>
      </w:tblPr>
      <w:tblGrid>
        <w:gridCol w:w="2206"/>
        <w:gridCol w:w="6434"/>
      </w:tblGrid>
      <w:tr w:rsidTr="0097439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RANGE STATEMENT</w:t>
            </w:r>
          </w:p>
        </w:tc>
      </w:tr>
      <w:tr w:rsidTr="0097439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8</w:t>
            </w:r>
            <w:r w:rsidRPr="00EE00A3">
              <w:t>) This relates to the competency standard unit as a whole providing the range of contexts and conditions to which the Performance Criteria apply. It allows for different work environments and situations that will affect performance.</w:t>
            </w:r>
          </w:p>
        </w:tc>
      </w:tr>
      <w:tr w:rsidTr="0097439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This Competency Stand</w:t>
            </w:r>
            <w:r w:rsidRPr="00EE00A3">
              <w:t>ard Unit shall/may be demonstrated in relation to low voltage AC/DC control and supervisory systems associated with substation plant and equipment. Control systems may include those associated with HV transformers, tap changers, switchgear and associated c</w:t>
            </w:r>
            <w:r w:rsidRPr="00EE00A3">
              <w:t>ontrol panels, alarms, alternators, mimic panels, cooling systems, automatic voltage regulators, batteries and battery chargers.</w:t>
            </w:r>
          </w:p>
          <w:p w:rsidR="00000000" w:rsidRPr="00EE00A3" w:rsidP="00EE00A3">
            <w:pPr>
              <w:pStyle w:val="BodyText"/>
            </w:pPr>
            <w:r w:rsidRPr="00EE00A3">
              <w:t>Test and measurement instruments may include multimeters, tong testers, insulation resistance/continuity tester, ductor tester,</w:t>
            </w:r>
            <w:r w:rsidRPr="00EE00A3">
              <w:t xml:space="preserve"> overload injection tester and specialist test equipment</w:t>
            </w:r>
          </w:p>
          <w:p w:rsidR="00000000" w:rsidRPr="00EE00A3" w:rsidP="00EE00A3">
            <w:pPr>
              <w:pStyle w:val="BodyText"/>
            </w:pPr>
            <w:r w:rsidRPr="00EE00A3">
              <w:t>Fault finding and diagnostic techniques may include linear approach, half split rule, sensory detection, loop test, insulation/resistance and continuity tests. Fault indicators may include indication</w:t>
            </w:r>
            <w:r w:rsidRPr="00EE00A3">
              <w:t xml:space="preserve"> lamps, LEDs, alarms and flag relays.</w:t>
            </w:r>
          </w:p>
          <w:p w:rsidR="00000000" w:rsidRPr="00EE00A3" w:rsidP="00EE00A3">
            <w:pPr>
              <w:pStyle w:val="BodyText"/>
            </w:pPr>
            <w:r w:rsidRPr="00EE00A3">
              <w:t>Initial fault location may be performed with the affected circuits energised.</w:t>
            </w:r>
          </w:p>
          <w:p w:rsidR="00000000" w:rsidP="00EE00A3">
            <w:pPr>
              <w:pStyle w:val="BodyText"/>
              <w:rPr>
                <w:lang w:val="en-NZ"/>
              </w:rPr>
            </w:pPr>
            <w:r w:rsidRPr="00EE00A3">
              <w:t>The following constants and variables included in the element/Performance Criteria in this unit are fully described in the Definitions Secti</w:t>
            </w:r>
            <w:r w:rsidRPr="00EE00A3">
              <w:t>on 1 of this volume and form an integral part of the Range Statement of this unit:</w:t>
            </w:r>
          </w:p>
        </w:tc>
      </w:tr>
      <w:tr w:rsidTr="0097439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EE00A3" w:rsidP="00EE00A3">
            <w:pPr>
              <w:pStyle w:val="ListBullet"/>
            </w:pPr>
            <w:r w:rsidRPr="00EE00A3">
              <w:t>Appropriate and relevant persons (see Personnel)</w:t>
            </w:r>
          </w:p>
          <w:p w:rsidR="00000000" w:rsidRPr="00EE00A3" w:rsidP="00EE00A3">
            <w:pPr>
              <w:pStyle w:val="ListBullet"/>
            </w:pPr>
            <w:r w:rsidRPr="00EE00A3">
              <w:t>Appropriate authorities</w:t>
            </w:r>
          </w:p>
          <w:p w:rsidR="00000000" w:rsidRPr="00EE00A3" w:rsidP="00EE00A3">
            <w:pPr>
              <w:pStyle w:val="ListBullet"/>
            </w:pPr>
            <w:r w:rsidRPr="00EE00A3">
              <w:t>Appropriate work platform</w:t>
            </w:r>
          </w:p>
          <w:p w:rsidR="00000000" w:rsidRPr="00EE00A3" w:rsidP="00EE00A3">
            <w:pPr>
              <w:pStyle w:val="ListBullet"/>
            </w:pPr>
            <w:r w:rsidRPr="00EE00A3">
              <w:t>Assessing risk</w:t>
            </w:r>
          </w:p>
          <w:p w:rsidR="00000000" w:rsidRPr="00EE00A3" w:rsidP="00EE00A3">
            <w:pPr>
              <w:pStyle w:val="ListBullet"/>
            </w:pPr>
            <w:r w:rsidRPr="00EE00A3">
              <w:t>Authorisation</w:t>
            </w:r>
          </w:p>
          <w:p w:rsidR="00000000" w:rsidRPr="00EE00A3" w:rsidP="00EE00A3">
            <w:pPr>
              <w:pStyle w:val="ListBullet"/>
            </w:pPr>
            <w:r w:rsidRPr="00EE00A3">
              <w:t>Confined space</w:t>
            </w:r>
          </w:p>
          <w:p w:rsidR="00000000" w:rsidRPr="00EE00A3" w:rsidP="00EE00A3">
            <w:pPr>
              <w:pStyle w:val="ListBullet"/>
            </w:pPr>
            <w:r w:rsidRPr="00EE00A3">
              <w:t>Diagnostic, testing and restoration</w:t>
            </w:r>
          </w:p>
          <w:p w:rsidR="00000000" w:rsidRPr="00EE00A3" w:rsidP="00EE00A3">
            <w:pPr>
              <w:pStyle w:val="ListBullet"/>
            </w:pPr>
            <w:r w:rsidRPr="00EE00A3">
              <w:t>Documenting detail work events, record keeping and or storage of information</w:t>
            </w:r>
          </w:p>
          <w:p w:rsidR="00000000" w:rsidRPr="00EE00A3" w:rsidP="00EE00A3">
            <w:pPr>
              <w:pStyle w:val="ListBullet"/>
            </w:pPr>
            <w:r w:rsidRPr="00EE00A3">
              <w:t>Drawings and specifications</w:t>
            </w:r>
          </w:p>
          <w:p w:rsidR="00000000" w:rsidRPr="00EE00A3" w:rsidP="00EE00A3">
            <w:pPr>
              <w:pStyle w:val="ListBullet"/>
            </w:pPr>
            <w:r w:rsidRPr="00EE00A3">
              <w:t>Emergency</w:t>
            </w:r>
          </w:p>
          <w:p w:rsidR="00000000" w:rsidRPr="00EE00A3" w:rsidP="00EE00A3">
            <w:pPr>
              <w:pStyle w:val="ListBullet"/>
            </w:pPr>
            <w:r w:rsidRPr="00EE00A3">
              <w:t>Environmental and sustainable energy procedures</w:t>
            </w:r>
          </w:p>
          <w:p w:rsidR="00000000" w:rsidRPr="00EE00A3" w:rsidP="00EE00A3">
            <w:pPr>
              <w:pStyle w:val="ListBullet"/>
            </w:pPr>
            <w:r w:rsidRPr="00EE00A3">
              <w:t>Environmental legislation</w:t>
            </w:r>
          </w:p>
          <w:p w:rsidR="00000000" w:rsidRPr="00EE00A3" w:rsidP="00EE00A3">
            <w:pPr>
              <w:pStyle w:val="ListBullet"/>
            </w:pPr>
            <w:r w:rsidRPr="00EE00A3">
              <w:t>Environmental management docume</w:t>
            </w:r>
            <w:r w:rsidRPr="00EE00A3">
              <w:t>ntation</w:t>
            </w:r>
          </w:p>
          <w:p w:rsidR="00000000" w:rsidRPr="00EE00A3" w:rsidP="00EE00A3">
            <w:pPr>
              <w:pStyle w:val="ListBullet"/>
            </w:pPr>
            <w:r w:rsidRPr="00EE00A3">
              <w:t>Established procedures</w:t>
            </w:r>
          </w:p>
          <w:p w:rsidR="00000000" w:rsidRPr="00EE00A3" w:rsidP="00EE00A3">
            <w:pPr>
              <w:pStyle w:val="ListBullet"/>
            </w:pPr>
            <w:r w:rsidRPr="00EE00A3">
              <w:t>Fall prevention</w:t>
            </w:r>
          </w:p>
          <w:p w:rsidR="00000000" w:rsidRPr="00EE00A3" w:rsidP="00EE00A3">
            <w:pPr>
              <w:pStyle w:val="ListBullet"/>
            </w:pPr>
            <w:r w:rsidRPr="00EE00A3">
              <w:t>Identifying hazards</w:t>
            </w:r>
          </w:p>
          <w:p w:rsidR="00000000" w:rsidRPr="00EE00A3" w:rsidP="00EE00A3">
            <w:pPr>
              <w:pStyle w:val="ListBullet"/>
            </w:pPr>
            <w:r w:rsidRPr="00EE00A3">
              <w:t>Inspect</w:t>
            </w:r>
          </w:p>
          <w:p w:rsidR="00000000" w:rsidRPr="00EE00A3" w:rsidP="00EE00A3">
            <w:pPr>
              <w:pStyle w:val="ListBullet"/>
            </w:pPr>
            <w:r w:rsidRPr="00EE00A3">
              <w:t>Legislation</w:t>
            </w:r>
          </w:p>
          <w:p w:rsidR="00000000" w:rsidRPr="00EE00A3" w:rsidP="00EE00A3">
            <w:pPr>
              <w:pStyle w:val="ListBullet"/>
            </w:pPr>
            <w:r w:rsidRPr="00EE00A3">
              <w:t>MSDS</w:t>
            </w:r>
          </w:p>
          <w:p w:rsidR="00000000" w:rsidRPr="00EE00A3" w:rsidP="00EE00A3">
            <w:pPr>
              <w:pStyle w:val="ListBullet"/>
            </w:pPr>
            <w:r w:rsidRPr="00EE00A3">
              <w:t>Notification</w:t>
            </w:r>
          </w:p>
          <w:p w:rsidR="00000000" w:rsidRPr="00EE00A3" w:rsidP="00EE00A3">
            <w:pPr>
              <w:pStyle w:val="ListBullet"/>
            </w:pPr>
            <w:r w:rsidRPr="00EE00A3">
              <w:t>OHS practices</w:t>
            </w:r>
          </w:p>
          <w:p w:rsidR="00000000" w:rsidRPr="00EE00A3" w:rsidP="00EE00A3">
            <w:pPr>
              <w:pStyle w:val="ListBullet"/>
            </w:pPr>
            <w:r w:rsidRPr="00EE00A3">
              <w:t>OHS issues</w:t>
            </w:r>
          </w:p>
          <w:p w:rsidR="00000000" w:rsidRPr="00EE00A3" w:rsidP="00EE00A3">
            <w:pPr>
              <w:pStyle w:val="ListBullet"/>
            </w:pPr>
            <w:r w:rsidRPr="00EE00A3">
              <w:t>Permits and/or permits to work</w:t>
            </w:r>
          </w:p>
          <w:p w:rsidR="00000000" w:rsidRPr="00EE00A3" w:rsidP="00EE00A3">
            <w:pPr>
              <w:pStyle w:val="ListBullet"/>
            </w:pPr>
            <w:r w:rsidRPr="00EE00A3">
              <w:t>Quality assurance systems</w:t>
            </w:r>
          </w:p>
          <w:p w:rsidR="00000000" w:rsidRPr="00EE00A3" w:rsidP="00EE00A3">
            <w:pPr>
              <w:pStyle w:val="ListBullet"/>
            </w:pPr>
            <w:r w:rsidRPr="00EE00A3">
              <w:t>Testing procedures</w:t>
            </w:r>
          </w:p>
          <w:p w:rsidR="00000000" w:rsidRPr="00EE00A3" w:rsidP="00EE00A3">
            <w:pPr>
              <w:pStyle w:val="ListBullet"/>
            </w:pPr>
            <w:r w:rsidRPr="00EE00A3">
              <w:t>Work clearance systems</w:t>
            </w:r>
          </w:p>
        </w:tc>
      </w:tr>
    </w:tbl>
    <w:p w:rsidR="0097439F" w:rsidP="00EE00A3">
      <w:pPr>
        <w:pStyle w:val="BodyText"/>
      </w:pPr>
    </w:p>
    <w:p w:rsidR="0097439F" w:rsidP="00EE00A3">
      <w:pPr>
        <w:pStyle w:val="BodyText"/>
      </w:pPr>
    </w:p>
    <w:p w:rsidR="00000000" w:rsidRPr="00EE00A3" w:rsidP="00EE00A3">
      <w:pPr>
        <w:pStyle w:val="Heading1"/>
      </w:pPr>
      <w:bookmarkStart w:id="12" w:name="O_297214"/>
      <w:bookmarkEnd w:id="12"/>
      <w:r w:rsidRPr="00EE00A3">
        <w:t>Unit Sector(s)</w:t>
      </w:r>
    </w:p>
    <w:p w:rsidR="00000000" w:rsidRPr="00EE00A3" w:rsidP="00EE00A3">
      <w:pPr>
        <w:pStyle w:val="BodyText"/>
      </w:pPr>
      <w:r w:rsidRPr="00EE00A3">
        <w:t>Not Applicable</w:t>
      </w:r>
    </w:p>
    <w:p w:rsidR="00000000" w:rsidRPr="00EE00A3" w:rsidP="00EE00A3">
      <w:pPr>
        <w:pStyle w:val="AllowPageBreak"/>
      </w:pPr>
    </w:p>
    <w:p w:rsidR="00000000" w:rsidRPr="00EE00A3" w:rsidP="00EE00A3">
      <w:pPr>
        <w:pStyle w:val="Heading1"/>
      </w:pPr>
      <w:bookmarkStart w:id="13" w:name="O_231791"/>
      <w:bookmarkEnd w:id="13"/>
      <w:r w:rsidRPr="00EE00A3">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97439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2</w:t>
            </w:r>
            <w:r w:rsidRPr="00EE00A3">
              <w:t>.</w:t>
            </w:r>
            <w:r w:rsidRPr="00EE00A3">
              <w:rPr>
                <w:rStyle w:val="SpecialBold"/>
              </w:rPr>
              <w:t>2</w:t>
            </w:r>
            <w:r w:rsidRPr="00EE00A3">
              <w:t xml:space="preserve">) </w:t>
            </w:r>
            <w:r w:rsidRPr="00EE00A3">
              <w:rPr>
                <w:rStyle w:val="SpecialBold"/>
              </w:rPr>
              <w:t>Literacy and numeracy skills</w:t>
            </w:r>
          </w:p>
          <w:p w:rsidR="00000000" w:rsidP="00EE00A3">
            <w:pPr>
              <w:pStyle w:val="BodyText"/>
              <w:rPr>
                <w:lang w:val="en-NZ"/>
              </w:rPr>
            </w:pPr>
            <w:r w:rsidRPr="00EE00A3">
              <w:t>Participants are best equipped to achieve this unit if they have reading, writing and numeracy skills indicated by the following scales. Description of each scale is given in Volume 2, Part 3 "Literacy and Numeracy"</w:t>
            </w:r>
          </w:p>
        </w:tc>
      </w:tr>
      <w:tr w:rsidTr="0097439F">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Reading</w:t>
            </w:r>
          </w:p>
        </w:tc>
        <w:tc>
          <w:tcPr>
            <w:tcW w:w="1207"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4</w:t>
            </w:r>
          </w:p>
        </w:tc>
        <w:tc>
          <w:tcPr>
            <w:tcW w:w="1776"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Writing</w:t>
            </w:r>
          </w:p>
        </w:tc>
        <w:tc>
          <w:tcPr>
            <w:tcW w:w="120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4</w:t>
            </w:r>
          </w:p>
        </w:tc>
        <w:tc>
          <w:tcPr>
            <w:tcW w:w="1758"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t>Numeracy</w:t>
            </w:r>
          </w:p>
        </w:tc>
        <w:tc>
          <w:tcPr>
            <w:tcW w:w="1208"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4</w:t>
            </w:r>
          </w:p>
        </w:tc>
      </w:tr>
    </w:tbl>
    <w:p w:rsidR="0097439F" w:rsidP="00EE00A3">
      <w:pPr>
        <w:pStyle w:val="BodyText"/>
      </w:pPr>
    </w:p>
    <w:p w:rsidR="0097439F" w:rsidP="00EE00A3">
      <w:pPr>
        <w:pStyle w:val="BodyText"/>
      </w:pPr>
    </w:p>
    <w:p w:rsidR="00000000" w:rsidRPr="00EE00A3" w:rsidP="00EE00A3">
      <w:pPr>
        <w:pStyle w:val="Heading1"/>
      </w:pPr>
      <w:bookmarkStart w:id="14" w:name="O_231794"/>
      <w:bookmarkEnd w:id="14"/>
      <w:r w:rsidRPr="00EE00A3">
        <w:t>Competency Field</w:t>
      </w:r>
    </w:p>
    <w:tbl>
      <w:tblPr>
        <w:tblW w:w="0" w:type="auto"/>
        <w:tblLayout w:type="fixed"/>
        <w:tblCellMar>
          <w:left w:w="62" w:type="dxa"/>
          <w:right w:w="62" w:type="dxa"/>
        </w:tblCellMar>
        <w:tblLook w:val="0000"/>
      </w:tblPr>
      <w:tblGrid>
        <w:gridCol w:w="2757"/>
        <w:gridCol w:w="5883"/>
      </w:tblGrid>
      <w:tr w:rsidTr="0097439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EE00A3">
            <w:pPr>
              <w:pStyle w:val="BodyText"/>
              <w:rPr>
                <w:lang w:val="en-NZ"/>
              </w:rPr>
            </w:pPr>
            <w:r w:rsidRPr="00EE00A3">
              <w:rPr>
                <w:rStyle w:val="SpecialBold"/>
              </w:rPr>
              <w:t>5</w:t>
            </w:r>
            <w:r w:rsidRPr="00EE00A3">
              <w:t>)</w:t>
            </w:r>
          </w:p>
        </w:tc>
      </w:tr>
      <w:tr w:rsidTr="0097439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E00A3" w:rsidP="00EE00A3">
            <w:pPr>
              <w:pStyle w:val="BodyText"/>
            </w:pPr>
            <w:r w:rsidRPr="00EE00A3">
              <w:t>Substation Units</w:t>
            </w:r>
          </w:p>
        </w:tc>
      </w:tr>
    </w:tbl>
    <w:p w:rsidR="0097439F" w:rsidP="00EE00A3">
      <w:pPr>
        <w:pStyle w:val="BodyText"/>
      </w:pPr>
    </w:p>
    <w:p w:rsidR="0097439F" w:rsidP="00EE00A3">
      <w:pPr>
        <w:pStyle w:val="BodyText"/>
      </w:pPr>
    </w:p>
    <w:p w:rsidR="00000000" w:rsidRPr="00EE00A3" w:rsidP="00EE00A3"/>
    <w:sectPr w:rsidSect="00EE0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39F" w:rsidP="009743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9F" w:rsidP="00EE00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439F" w:rsidP="00EE00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439F" w:rsidP="00EE00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rsidRPr="0097439F" w:rsidP="009743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39F" w:rsidRPr="002D2AF8" w:rsidP="00EE00A3">
    <w:pPr>
      <w:pStyle w:val="Header"/>
      <w:framePr w:wrap="around"/>
    </w:pPr>
    <w:r>
      <w:fldChar w:fldCharType="begin"/>
    </w:r>
    <w:r>
      <w:instrText xml:space="preserve"> TITLE   \* MERGEFORMAT </w:instrText>
    </w:r>
    <w:r>
      <w:fldChar w:fldCharType="separate"/>
    </w:r>
    <w:r>
      <w:t>UETTDRSB01B Diagnose and rectify faults in power system substation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7439F" w:rsidP="00EE0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C6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E8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63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0A3"/>
    <w:pPr>
      <w:spacing w:before="360" w:after="60"/>
      <w:outlineLvl w:val="0"/>
    </w:pPr>
    <w:rPr>
      <w:sz w:val="32"/>
    </w:rPr>
  </w:style>
  <w:style w:type="paragraph" w:styleId="Heading2">
    <w:name w:val="heading 2"/>
    <w:basedOn w:val="HeadingBase"/>
    <w:next w:val="BodyText"/>
    <w:link w:val="Heading2Char"/>
    <w:qFormat/>
    <w:rsid w:val="00EE00A3"/>
    <w:pPr>
      <w:keepLines/>
      <w:spacing w:before="240" w:after="120"/>
      <w:outlineLvl w:val="1"/>
    </w:pPr>
    <w:rPr>
      <w:sz w:val="28"/>
      <w:szCs w:val="40"/>
    </w:rPr>
  </w:style>
  <w:style w:type="paragraph" w:styleId="Heading3">
    <w:name w:val="heading 3"/>
    <w:basedOn w:val="HeadingBase"/>
    <w:next w:val="BodyText"/>
    <w:link w:val="Heading3Char"/>
    <w:qFormat/>
    <w:rsid w:val="00EE00A3"/>
    <w:pPr>
      <w:spacing w:before="180" w:after="120"/>
      <w:outlineLvl w:val="2"/>
    </w:pPr>
    <w:rPr>
      <w:spacing w:val="-10"/>
      <w:kern w:val="32"/>
    </w:rPr>
  </w:style>
  <w:style w:type="paragraph" w:styleId="Heading4">
    <w:name w:val="heading 4"/>
    <w:basedOn w:val="HeadingBase"/>
    <w:next w:val="BodyText"/>
    <w:link w:val="Heading4Char"/>
    <w:qFormat/>
    <w:rsid w:val="00EE00A3"/>
    <w:pPr>
      <w:spacing w:before="160" w:after="120"/>
      <w:outlineLvl w:val="3"/>
    </w:pPr>
    <w:rPr>
      <w:sz w:val="22"/>
    </w:rPr>
  </w:style>
  <w:style w:type="paragraph" w:styleId="Heading5">
    <w:name w:val="heading 5"/>
    <w:basedOn w:val="HeadingBase"/>
    <w:next w:val="Normal"/>
    <w:link w:val="Heading5Char"/>
    <w:qFormat/>
    <w:rsid w:val="00EE00A3"/>
    <w:pPr>
      <w:spacing w:before="80"/>
      <w:outlineLvl w:val="4"/>
    </w:pPr>
    <w:rPr>
      <w:color w:val="918585"/>
      <w:sz w:val="20"/>
    </w:rPr>
  </w:style>
  <w:style w:type="paragraph" w:styleId="Heading6">
    <w:name w:val="heading 6"/>
    <w:basedOn w:val="HeadingBase"/>
    <w:next w:val="Normal"/>
    <w:link w:val="Heading6Char"/>
    <w:qFormat/>
    <w:rsid w:val="00EE00A3"/>
    <w:pPr>
      <w:spacing w:before="60"/>
      <w:outlineLvl w:val="5"/>
    </w:pPr>
    <w:rPr>
      <w:color w:val="918585"/>
      <w:sz w:val="20"/>
    </w:rPr>
  </w:style>
  <w:style w:type="paragraph" w:styleId="Heading7">
    <w:name w:val="heading 7"/>
    <w:basedOn w:val="Normal"/>
    <w:next w:val="Normal"/>
    <w:link w:val="Heading7Char"/>
    <w:qFormat/>
    <w:rsid w:val="00EE00A3"/>
    <w:pPr>
      <w:ind w:left="720"/>
      <w:outlineLvl w:val="6"/>
    </w:pPr>
    <w:rPr>
      <w:i/>
    </w:rPr>
  </w:style>
  <w:style w:type="paragraph" w:styleId="Heading8">
    <w:name w:val="heading 8"/>
    <w:basedOn w:val="Normal"/>
    <w:next w:val="Normal"/>
    <w:link w:val="Heading8Char"/>
    <w:qFormat/>
    <w:rsid w:val="00EE00A3"/>
    <w:pPr>
      <w:ind w:left="720"/>
      <w:outlineLvl w:val="7"/>
    </w:pPr>
    <w:rPr>
      <w:i/>
    </w:rPr>
  </w:style>
  <w:style w:type="paragraph" w:styleId="Heading9">
    <w:name w:val="heading 9"/>
    <w:basedOn w:val="Normal"/>
    <w:next w:val="Normal"/>
    <w:link w:val="Heading9Char"/>
    <w:qFormat/>
    <w:rsid w:val="00EE00A3"/>
    <w:pPr>
      <w:ind w:left="720"/>
      <w:outlineLvl w:val="8"/>
    </w:pPr>
    <w:rPr>
      <w:i/>
    </w:rPr>
  </w:style>
  <w:style w:type="character" w:default="1" w:styleId="DefaultParagraphFont">
    <w:name w:val="Default Paragraph Font"/>
    <w:uiPriority w:val="1"/>
    <w:unhideWhenUsed/>
    <w:rsid w:val="00EE0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0A3"/>
  </w:style>
  <w:style w:type="character" w:customStyle="1" w:styleId="Heading1Char">
    <w:name w:val="Heading 1 Char"/>
    <w:basedOn w:val="DefaultParagraphFont"/>
    <w:link w:val="Heading1"/>
    <w:rsid w:val="00EE00A3"/>
    <w:rPr>
      <w:rFonts w:ascii="Times New Roman" w:eastAsia="Times New Roman" w:hAnsi="Times New Roman" w:cs="Times New Roman"/>
      <w:b/>
      <w:sz w:val="32"/>
      <w:szCs w:val="20"/>
      <w:lang w:eastAsia="en-US"/>
    </w:rPr>
  </w:style>
  <w:style w:type="paragraph" w:styleId="BodyText">
    <w:name w:val="Body Text"/>
    <w:basedOn w:val="Normal"/>
    <w:link w:val="BodyTextChar"/>
    <w:rsid w:val="00EE0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0A3"/>
    <w:rPr>
      <w:rFonts w:ascii="Times New Roman" w:eastAsia="Times New Roman" w:hAnsi="Times New Roman" w:cs="Times New Roman"/>
      <w:sz w:val="24"/>
      <w:lang w:eastAsia="en-US"/>
    </w:rPr>
  </w:style>
  <w:style w:type="paragraph" w:styleId="Footer">
    <w:name w:val="footer"/>
    <w:basedOn w:val="Normal"/>
    <w:link w:val="FooterChar"/>
    <w:rsid w:val="00EE0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0A3"/>
    <w:rPr>
      <w:rFonts w:ascii="Times New Roman" w:eastAsia="Times New Roman" w:hAnsi="Times New Roman" w:cs="Times New Roman"/>
      <w:sz w:val="16"/>
      <w:lang w:eastAsia="en-US"/>
    </w:rPr>
  </w:style>
  <w:style w:type="paragraph" w:styleId="ListBullet">
    <w:name w:val="List Bullet"/>
    <w:basedOn w:val="List"/>
    <w:rsid w:val="00EE00A3"/>
    <w:pPr>
      <w:numPr>
        <w:numId w:val="13"/>
      </w:numPr>
      <w:tabs>
        <w:tab w:val="clear" w:pos="340"/>
      </w:tabs>
      <w:spacing w:before="40" w:after="40"/>
    </w:pPr>
  </w:style>
  <w:style w:type="character" w:customStyle="1" w:styleId="SpecialBold">
    <w:name w:val="Special Bold"/>
    <w:basedOn w:val="DefaultParagraphFont"/>
    <w:rsid w:val="00EE00A3"/>
    <w:rPr>
      <w:b/>
      <w:spacing w:val="0"/>
    </w:rPr>
  </w:style>
  <w:style w:type="paragraph" w:styleId="ListBullet2">
    <w:name w:val="List Bullet 2"/>
    <w:basedOn w:val="List2"/>
    <w:rsid w:val="00EE00A3"/>
    <w:pPr>
      <w:numPr>
        <w:numId w:val="14"/>
      </w:numPr>
      <w:tabs>
        <w:tab w:val="clear" w:pos="680"/>
      </w:tabs>
    </w:pPr>
  </w:style>
  <w:style w:type="paragraph" w:customStyle="1" w:styleId="SuperHeading">
    <w:name w:val="SuperHeading"/>
    <w:basedOn w:val="Normal"/>
    <w:rsid w:val="00EE00A3"/>
    <w:pPr>
      <w:spacing w:before="240" w:after="120"/>
      <w:outlineLvl w:val="0"/>
    </w:pPr>
    <w:rPr>
      <w:rFonts w:ascii="Times New Roman" w:hAnsi="Times New Roman"/>
      <w:b/>
      <w:sz w:val="28"/>
    </w:rPr>
  </w:style>
  <w:style w:type="paragraph" w:customStyle="1" w:styleId="AllowPageBreak">
    <w:name w:val="AllowPageBreak"/>
    <w:rsid w:val="00EE0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0A3"/>
    <w:rPr>
      <w:rFonts w:ascii="Courier New" w:eastAsia="Times New Roman" w:hAnsi="Courier New" w:cs="Times New Roman"/>
      <w:i/>
      <w:szCs w:val="20"/>
      <w:lang w:eastAsia="en-US"/>
    </w:rPr>
  </w:style>
  <w:style w:type="paragraph" w:customStyle="1" w:styleId="HeadingBase">
    <w:name w:val="Heading Base"/>
    <w:rsid w:val="00EE0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0A3"/>
    <w:pPr>
      <w:tabs>
        <w:tab w:val="right" w:leader="dot" w:pos="9072"/>
      </w:tabs>
      <w:ind w:left="567"/>
    </w:pPr>
    <w:rPr>
      <w:szCs w:val="22"/>
    </w:rPr>
  </w:style>
  <w:style w:type="paragraph" w:customStyle="1" w:styleId="TOCBase">
    <w:name w:val="TOC Base"/>
    <w:rsid w:val="00EE0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0A3"/>
    <w:pPr>
      <w:tabs>
        <w:tab w:val="right" w:leader="dot" w:pos="9072"/>
      </w:tabs>
      <w:spacing w:before="40" w:after="40"/>
      <w:ind w:left="284"/>
    </w:pPr>
    <w:rPr>
      <w:rFonts w:ascii="Times New Roman" w:hAnsi="Times New Roman"/>
    </w:rPr>
  </w:style>
  <w:style w:type="paragraph" w:styleId="TOC1">
    <w:name w:val="toc 1"/>
    <w:basedOn w:val="TOCBase"/>
    <w:next w:val="Normal"/>
    <w:rsid w:val="00EE00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0A3"/>
    <w:pPr>
      <w:spacing w:before="5040"/>
      <w:jc w:val="center"/>
    </w:pPr>
    <w:rPr>
      <w:sz w:val="48"/>
      <w:szCs w:val="72"/>
      <w:lang w:val="en-US"/>
    </w:rPr>
  </w:style>
  <w:style w:type="character" w:customStyle="1" w:styleId="TitleChar">
    <w:name w:val="Title Char"/>
    <w:basedOn w:val="DefaultParagraphFont"/>
    <w:link w:val="Title"/>
    <w:rsid w:val="00EE0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0A3"/>
    <w:pPr>
      <w:tabs>
        <w:tab w:val="left" w:pos="3600"/>
        <w:tab w:val="left" w:pos="3958"/>
      </w:tabs>
    </w:pPr>
  </w:style>
  <w:style w:type="paragraph" w:styleId="List">
    <w:name w:val="List"/>
    <w:basedOn w:val="BodyText"/>
    <w:next w:val="BodyText"/>
    <w:rsid w:val="00EE00A3"/>
    <w:pPr>
      <w:tabs>
        <w:tab w:val="left" w:pos="340"/>
      </w:tabs>
      <w:spacing w:before="60" w:after="60"/>
      <w:ind w:left="340" w:hanging="340"/>
    </w:pPr>
  </w:style>
  <w:style w:type="paragraph" w:customStyle="1" w:styleId="Note">
    <w:name w:val="Note"/>
    <w:basedOn w:val="BodyText"/>
    <w:rsid w:val="00EE0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0A3"/>
    <w:pPr>
      <w:framePr w:wrap="auto" w:hAnchor="text" w:y="6049"/>
    </w:pPr>
    <w:rPr>
      <w:color w:val="000000"/>
      <w:sz w:val="40"/>
    </w:rPr>
  </w:style>
  <w:style w:type="paragraph" w:customStyle="1" w:styleId="TOCTitle">
    <w:name w:val="TOCTitle"/>
    <w:basedOn w:val="Heading1"/>
    <w:rsid w:val="00EE00A3"/>
    <w:pPr>
      <w:spacing w:after="240"/>
      <w:jc w:val="center"/>
      <w:outlineLvl w:val="9"/>
    </w:pPr>
    <w:rPr>
      <w:caps/>
    </w:rPr>
  </w:style>
  <w:style w:type="paragraph" w:customStyle="1" w:styleId="Version">
    <w:name w:val="Version"/>
    <w:rsid w:val="00EE0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00A3"/>
    <w:pPr>
      <w:keepNext w:val="0"/>
      <w:tabs>
        <w:tab w:val="right" w:pos="4176"/>
      </w:tabs>
      <w:ind w:left="198" w:hanging="198"/>
    </w:pPr>
    <w:rPr>
      <w:rFonts w:ascii="Garamond" w:hAnsi="Garamond"/>
    </w:rPr>
  </w:style>
  <w:style w:type="paragraph" w:styleId="IndexHeading">
    <w:name w:val="index heading"/>
    <w:basedOn w:val="Normal"/>
    <w:next w:val="Index1"/>
    <w:semiHidden/>
    <w:rsid w:val="00EE00A3"/>
    <w:pPr>
      <w:spacing w:before="120" w:after="120"/>
    </w:pPr>
    <w:rPr>
      <w:rFonts w:ascii="Arial" w:hAnsi="Arial"/>
      <w:b/>
      <w:color w:val="918585"/>
      <w:sz w:val="24"/>
    </w:rPr>
  </w:style>
  <w:style w:type="paragraph" w:styleId="Header">
    <w:name w:val="header"/>
    <w:basedOn w:val="Normal"/>
    <w:link w:val="HeaderChar"/>
    <w:rsid w:val="00EE0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0A3"/>
    <w:rPr>
      <w:rFonts w:ascii="Times New Roman" w:eastAsia="Times New Roman" w:hAnsi="Times New Roman" w:cs="Times New Roman"/>
      <w:sz w:val="16"/>
      <w:szCs w:val="20"/>
      <w:lang w:val="en-GB" w:eastAsia="en-US"/>
    </w:rPr>
  </w:style>
  <w:style w:type="paragraph" w:customStyle="1" w:styleId="Chapter">
    <w:name w:val="Chapter"/>
    <w:basedOn w:val="Normal"/>
    <w:rsid w:val="00EE00A3"/>
    <w:pPr>
      <w:spacing w:before="240"/>
    </w:pPr>
    <w:rPr>
      <w:rFonts w:ascii="Times New Roman" w:hAnsi="Times New Roman"/>
      <w:smallCaps/>
      <w:spacing w:val="80"/>
      <w:sz w:val="28"/>
    </w:rPr>
  </w:style>
  <w:style w:type="paragraph" w:customStyle="1" w:styleId="InChapter">
    <w:name w:val="InChapter"/>
    <w:basedOn w:val="Heading3"/>
    <w:rsid w:val="00EE00A3"/>
    <w:pPr>
      <w:spacing w:after="240"/>
      <w:outlineLvl w:val="9"/>
    </w:pPr>
    <w:rPr>
      <w:noProof/>
    </w:rPr>
  </w:style>
  <w:style w:type="paragraph" w:styleId="Index2">
    <w:name w:val="index 2"/>
    <w:basedOn w:val="Normal"/>
    <w:next w:val="Normal"/>
    <w:semiHidden/>
    <w:rsid w:val="00EE00A3"/>
    <w:pPr>
      <w:tabs>
        <w:tab w:val="right" w:pos="4176"/>
      </w:tabs>
      <w:ind w:left="568" w:hanging="284"/>
    </w:pPr>
    <w:rPr>
      <w:rFonts w:ascii="Garamond" w:hAnsi="Garamond"/>
    </w:rPr>
  </w:style>
  <w:style w:type="paragraph" w:customStyle="1" w:styleId="Byline">
    <w:name w:val="Byline"/>
    <w:rsid w:val="00EE0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0A3"/>
    <w:pPr>
      <w:tabs>
        <w:tab w:val="clear" w:pos="3600"/>
        <w:tab w:val="clear" w:pos="3958"/>
      </w:tabs>
      <w:jc w:val="right"/>
    </w:pPr>
  </w:style>
  <w:style w:type="character" w:styleId="Emphasis">
    <w:name w:val="Emphasis"/>
    <w:basedOn w:val="DefaultParagraphFont"/>
    <w:qFormat/>
    <w:rsid w:val="00EE00A3"/>
    <w:rPr>
      <w:i/>
    </w:rPr>
  </w:style>
  <w:style w:type="paragraph" w:styleId="Caption">
    <w:name w:val="caption"/>
    <w:basedOn w:val="BodyText"/>
    <w:next w:val="Normal"/>
    <w:qFormat/>
    <w:rsid w:val="00EE00A3"/>
    <w:pPr>
      <w:framePr w:w="2268" w:hSpace="181" w:vSpace="181" w:wrap="around" w:vAnchor="text" w:hAnchor="page" w:x="1135" w:y="285" w:anchorLock="1"/>
    </w:pPr>
    <w:rPr>
      <w:i/>
    </w:rPr>
  </w:style>
  <w:style w:type="paragraph" w:customStyle="1" w:styleId="MiniTOCTitle">
    <w:name w:val="MiniTOCTitle"/>
    <w:basedOn w:val="Heading4"/>
    <w:rsid w:val="00EE00A3"/>
    <w:pPr>
      <w:spacing w:before="240"/>
      <w:outlineLvl w:val="9"/>
    </w:pPr>
    <w:rPr>
      <w:noProof/>
      <w:sz w:val="24"/>
    </w:rPr>
  </w:style>
  <w:style w:type="paragraph" w:customStyle="1" w:styleId="MiniTOCItem">
    <w:name w:val="MiniTOCItem"/>
    <w:basedOn w:val="ListBullet"/>
    <w:rsid w:val="00EE00A3"/>
    <w:pPr>
      <w:numPr>
        <w:numId w:val="0"/>
      </w:numPr>
      <w:tabs>
        <w:tab w:val="right" w:leader="dot" w:pos="6521"/>
      </w:tabs>
      <w:spacing w:before="0" w:after="0"/>
    </w:pPr>
  </w:style>
  <w:style w:type="paragraph" w:customStyle="1" w:styleId="TOFTitle">
    <w:name w:val="TOFTitle"/>
    <w:basedOn w:val="TOCTitle"/>
    <w:rsid w:val="00EE00A3"/>
  </w:style>
  <w:style w:type="paragraph" w:styleId="TableofFigures">
    <w:name w:val="table of figures"/>
    <w:basedOn w:val="Normal"/>
    <w:next w:val="Normal"/>
    <w:semiHidden/>
    <w:rsid w:val="00EE00A3"/>
    <w:pPr>
      <w:tabs>
        <w:tab w:val="right" w:leader="dot" w:pos="9072"/>
      </w:tabs>
      <w:ind w:left="970" w:hanging="403"/>
    </w:pPr>
    <w:rPr>
      <w:rFonts w:ascii="Times New Roman" w:hAnsi="Times New Roman"/>
      <w:b/>
    </w:rPr>
  </w:style>
  <w:style w:type="paragraph" w:styleId="ListNumber">
    <w:name w:val="List Number"/>
    <w:basedOn w:val="List"/>
    <w:rsid w:val="00EE00A3"/>
    <w:pPr>
      <w:numPr>
        <w:numId w:val="11"/>
      </w:numPr>
    </w:pPr>
  </w:style>
  <w:style w:type="character" w:customStyle="1" w:styleId="WingdingSymbols">
    <w:name w:val="Wingding Symbols"/>
    <w:rsid w:val="00EE00A3"/>
    <w:rPr>
      <w:rFonts w:ascii="Wingdings" w:hAnsi="Wingdings"/>
    </w:rPr>
  </w:style>
  <w:style w:type="paragraph" w:customStyle="1" w:styleId="TableHeading">
    <w:name w:val="Table Heading"/>
    <w:basedOn w:val="HeadingBase"/>
    <w:rsid w:val="00EE00A3"/>
    <w:pPr>
      <w:keepLines/>
      <w:pBdr>
        <w:bottom w:val="single" w:sz="6" w:space="1" w:color="918585"/>
      </w:pBdr>
      <w:spacing w:before="240"/>
    </w:pPr>
  </w:style>
  <w:style w:type="character" w:customStyle="1" w:styleId="HotSpot">
    <w:name w:val="HotSpot"/>
    <w:rsid w:val="00EE00A3"/>
    <w:rPr>
      <w:color w:val="0033CC"/>
      <w:u w:val="none"/>
    </w:rPr>
  </w:style>
  <w:style w:type="paragraph" w:customStyle="1" w:styleId="BodyTextRight">
    <w:name w:val="Body Text Right"/>
    <w:basedOn w:val="BodyText"/>
    <w:rsid w:val="00EE00A3"/>
    <w:pPr>
      <w:spacing w:before="0" w:after="0"/>
      <w:jc w:val="right"/>
    </w:pPr>
  </w:style>
  <w:style w:type="paragraph" w:styleId="Index3">
    <w:name w:val="index 3"/>
    <w:basedOn w:val="ListNumber2"/>
    <w:next w:val="Normal"/>
    <w:semiHidden/>
    <w:rsid w:val="00EE00A3"/>
    <w:pPr>
      <w:numPr>
        <w:numId w:val="0"/>
      </w:numPr>
      <w:tabs>
        <w:tab w:val="right" w:leader="dot" w:pos="4176"/>
      </w:tabs>
    </w:pPr>
  </w:style>
  <w:style w:type="paragraph" w:styleId="ListNumber2">
    <w:name w:val="List Number 2"/>
    <w:basedOn w:val="List2"/>
    <w:rsid w:val="00EE00A3"/>
    <w:pPr>
      <w:numPr>
        <w:numId w:val="10"/>
      </w:numPr>
      <w:tabs>
        <w:tab w:val="clear" w:pos="1060"/>
      </w:tabs>
    </w:pPr>
  </w:style>
  <w:style w:type="paragraph" w:customStyle="1" w:styleId="MarginNote">
    <w:name w:val="Margin Note"/>
    <w:basedOn w:val="BodyText"/>
    <w:rsid w:val="00EE0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0A3"/>
    <w:rPr>
      <w:sz w:val="32"/>
    </w:rPr>
  </w:style>
  <w:style w:type="paragraph" w:customStyle="1" w:styleId="HeadingProcedure">
    <w:name w:val="Heading Procedure"/>
    <w:basedOn w:val="HeadingBase"/>
    <w:next w:val="Normal"/>
    <w:rsid w:val="00EE00A3"/>
    <w:pPr>
      <w:tabs>
        <w:tab w:val="left" w:pos="0"/>
      </w:tabs>
      <w:spacing w:before="120" w:after="60"/>
    </w:pPr>
    <w:rPr>
      <w:i/>
      <w:color w:val="918585"/>
      <w:sz w:val="22"/>
    </w:rPr>
  </w:style>
  <w:style w:type="paragraph" w:customStyle="1" w:styleId="TableBodyText">
    <w:name w:val="Table Body Text"/>
    <w:basedOn w:val="BodyText"/>
    <w:rsid w:val="00EE00A3"/>
    <w:pPr>
      <w:spacing w:before="60" w:after="60"/>
    </w:pPr>
  </w:style>
  <w:style w:type="paragraph" w:styleId="ListContinue">
    <w:name w:val="List Continue"/>
    <w:basedOn w:val="List"/>
    <w:rsid w:val="00EE00A3"/>
    <w:pPr>
      <w:ind w:firstLine="0"/>
    </w:pPr>
  </w:style>
  <w:style w:type="paragraph" w:customStyle="1" w:styleId="ListNote">
    <w:name w:val="List Note"/>
    <w:basedOn w:val="List"/>
    <w:rsid w:val="00EE00A3"/>
    <w:pPr>
      <w:pBdr>
        <w:top w:val="single" w:sz="6" w:space="2" w:color="918585"/>
        <w:bottom w:val="single" w:sz="6" w:space="2" w:color="918585"/>
      </w:pBdr>
      <w:tabs>
        <w:tab w:val="left" w:pos="1021"/>
      </w:tabs>
      <w:ind w:firstLine="0"/>
    </w:pPr>
  </w:style>
  <w:style w:type="paragraph" w:customStyle="1" w:styleId="Warning">
    <w:name w:val="Warning"/>
    <w:basedOn w:val="BodyText"/>
    <w:rsid w:val="00EE00A3"/>
    <w:pPr>
      <w:shd w:val="clear" w:color="auto" w:fill="D9D9D9"/>
      <w:tabs>
        <w:tab w:val="left" w:pos="992"/>
      </w:tabs>
      <w:ind w:left="119" w:right="119"/>
    </w:pPr>
    <w:rPr>
      <w:sz w:val="20"/>
    </w:rPr>
  </w:style>
  <w:style w:type="paragraph" w:customStyle="1" w:styleId="MarginIcons">
    <w:name w:val="Margin Icons"/>
    <w:basedOn w:val="BodyText"/>
    <w:rsid w:val="00EE0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0A3"/>
    <w:rPr>
      <w:rFonts w:ascii="Courier New" w:hAnsi="Courier New"/>
    </w:rPr>
  </w:style>
  <w:style w:type="paragraph" w:customStyle="1" w:styleId="NoteBullet">
    <w:name w:val="Note Bullet"/>
    <w:basedOn w:val="Note"/>
    <w:rsid w:val="00EE00A3"/>
    <w:pPr>
      <w:tabs>
        <w:tab w:val="clear" w:pos="680"/>
      </w:tabs>
      <w:spacing w:before="60" w:after="60"/>
    </w:pPr>
  </w:style>
  <w:style w:type="paragraph" w:customStyle="1" w:styleId="SubHeading2">
    <w:name w:val="SubHeading2"/>
    <w:basedOn w:val="HeadingBase"/>
    <w:rsid w:val="00EE00A3"/>
    <w:pPr>
      <w:spacing w:before="240" w:after="60"/>
    </w:pPr>
    <w:rPr>
      <w:sz w:val="20"/>
    </w:rPr>
  </w:style>
  <w:style w:type="paragraph" w:customStyle="1" w:styleId="SubHeading1">
    <w:name w:val="SubHeading1"/>
    <w:basedOn w:val="HeadingBase"/>
    <w:rsid w:val="00EE00A3"/>
    <w:pPr>
      <w:spacing w:before="240" w:after="60"/>
    </w:pPr>
    <w:rPr>
      <w:color w:val="918585"/>
      <w:sz w:val="22"/>
    </w:rPr>
  </w:style>
  <w:style w:type="paragraph" w:customStyle="1" w:styleId="SideHeading">
    <w:name w:val="Side Heading"/>
    <w:basedOn w:val="HeadingBase"/>
    <w:rsid w:val="00EE0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0A3"/>
    <w:pPr>
      <w:numPr>
        <w:numId w:val="12"/>
      </w:numPr>
    </w:pPr>
  </w:style>
  <w:style w:type="paragraph" w:styleId="PlainText">
    <w:name w:val="Plain Text"/>
    <w:basedOn w:val="Normal"/>
    <w:link w:val="PlainTextChar"/>
    <w:rsid w:val="00EE00A3"/>
    <w:rPr>
      <w:sz w:val="20"/>
    </w:rPr>
  </w:style>
  <w:style w:type="character" w:customStyle="1" w:styleId="PlainTextChar">
    <w:name w:val="Plain Text Char"/>
    <w:basedOn w:val="DefaultParagraphFont"/>
    <w:link w:val="PlainText"/>
    <w:rsid w:val="00EE00A3"/>
    <w:rPr>
      <w:rFonts w:ascii="Courier New" w:eastAsia="Times New Roman" w:hAnsi="Courier New" w:cs="Times New Roman"/>
      <w:sz w:val="20"/>
      <w:szCs w:val="20"/>
      <w:lang w:eastAsia="en-US"/>
    </w:rPr>
  </w:style>
  <w:style w:type="character" w:customStyle="1" w:styleId="MenuOption">
    <w:name w:val="Menu Option"/>
    <w:basedOn w:val="DefaultParagraphFont"/>
    <w:rsid w:val="00EE00A3"/>
    <w:rPr>
      <w:b/>
      <w:smallCaps/>
    </w:rPr>
  </w:style>
  <w:style w:type="paragraph" w:customStyle="1" w:styleId="TableListNumber">
    <w:name w:val="Table List Number"/>
    <w:basedOn w:val="ListNumber"/>
    <w:rsid w:val="00EE00A3"/>
    <w:pPr>
      <w:numPr>
        <w:numId w:val="0"/>
      </w:numPr>
    </w:pPr>
  </w:style>
  <w:style w:type="paragraph" w:styleId="TOC4">
    <w:name w:val="toc 4"/>
    <w:basedOn w:val="TOCBase"/>
    <w:next w:val="Normal"/>
    <w:semiHidden/>
    <w:rsid w:val="00EE00A3"/>
    <w:pPr>
      <w:tabs>
        <w:tab w:val="right" w:leader="dot" w:pos="9071"/>
      </w:tabs>
      <w:ind w:left="1701"/>
    </w:pPr>
  </w:style>
  <w:style w:type="paragraph" w:customStyle="1" w:styleId="ListAlpha">
    <w:name w:val="List Alpha"/>
    <w:basedOn w:val="List"/>
    <w:rsid w:val="00EE00A3"/>
    <w:pPr>
      <w:numPr>
        <w:numId w:val="9"/>
      </w:numPr>
    </w:pPr>
  </w:style>
  <w:style w:type="paragraph" w:customStyle="1" w:styleId="ListAlpha2">
    <w:name w:val="List Alpha 2"/>
    <w:basedOn w:val="List2"/>
    <w:rsid w:val="00EE00A3"/>
    <w:pPr>
      <w:numPr>
        <w:numId w:val="8"/>
      </w:numPr>
    </w:pPr>
  </w:style>
  <w:style w:type="paragraph" w:styleId="List2">
    <w:name w:val="List 2"/>
    <w:basedOn w:val="BodyText"/>
    <w:rsid w:val="00EE00A3"/>
    <w:pPr>
      <w:tabs>
        <w:tab w:val="left" w:pos="680"/>
      </w:tabs>
      <w:spacing w:before="60" w:after="60"/>
      <w:ind w:left="680" w:hanging="340"/>
    </w:pPr>
  </w:style>
  <w:style w:type="paragraph" w:styleId="List3">
    <w:name w:val="List 3"/>
    <w:basedOn w:val="BodyText"/>
    <w:rsid w:val="00EE00A3"/>
    <w:pPr>
      <w:tabs>
        <w:tab w:val="left" w:pos="1021"/>
      </w:tabs>
      <w:spacing w:before="60" w:after="60"/>
      <w:ind w:left="1020" w:hanging="340"/>
    </w:pPr>
  </w:style>
  <w:style w:type="paragraph" w:styleId="List4">
    <w:name w:val="List 4"/>
    <w:basedOn w:val="BodyText"/>
    <w:rsid w:val="00EE00A3"/>
    <w:pPr>
      <w:tabs>
        <w:tab w:val="left" w:pos="1361"/>
      </w:tabs>
      <w:spacing w:before="60" w:after="60"/>
      <w:ind w:left="1361" w:hanging="340"/>
    </w:pPr>
  </w:style>
  <w:style w:type="paragraph" w:styleId="List5">
    <w:name w:val="List 5"/>
    <w:basedOn w:val="BodyText"/>
    <w:rsid w:val="00EE00A3"/>
    <w:pPr>
      <w:tabs>
        <w:tab w:val="left" w:pos="1701"/>
      </w:tabs>
      <w:spacing w:before="60" w:after="60"/>
      <w:ind w:left="1701" w:hanging="340"/>
    </w:pPr>
  </w:style>
  <w:style w:type="paragraph" w:styleId="ListBullet3">
    <w:name w:val="List Bullet 3"/>
    <w:basedOn w:val="List3"/>
    <w:rsid w:val="00EE00A3"/>
    <w:pPr>
      <w:numPr>
        <w:numId w:val="15"/>
      </w:numPr>
      <w:tabs>
        <w:tab w:val="clear" w:pos="1021"/>
      </w:tabs>
      <w:ind w:left="1037" w:hanging="357"/>
    </w:pPr>
  </w:style>
  <w:style w:type="paragraph" w:styleId="ListBullet4">
    <w:name w:val="List Bullet 4"/>
    <w:basedOn w:val="List4"/>
    <w:rsid w:val="00EE00A3"/>
    <w:pPr>
      <w:numPr>
        <w:numId w:val="3"/>
      </w:numPr>
    </w:pPr>
  </w:style>
  <w:style w:type="paragraph" w:styleId="ListBullet5">
    <w:name w:val="List Bullet 5"/>
    <w:basedOn w:val="List5"/>
    <w:rsid w:val="00EE00A3"/>
    <w:pPr>
      <w:numPr>
        <w:numId w:val="4"/>
      </w:numPr>
    </w:pPr>
  </w:style>
  <w:style w:type="paragraph" w:styleId="ListContinue2">
    <w:name w:val="List Continue 2"/>
    <w:basedOn w:val="List2"/>
    <w:rsid w:val="00EE00A3"/>
    <w:pPr>
      <w:ind w:firstLine="0"/>
    </w:pPr>
  </w:style>
  <w:style w:type="paragraph" w:styleId="ListContinue3">
    <w:name w:val="List Continue 3"/>
    <w:basedOn w:val="List3"/>
    <w:rsid w:val="00EE00A3"/>
    <w:pPr>
      <w:ind w:left="1021" w:firstLine="0"/>
    </w:pPr>
  </w:style>
  <w:style w:type="paragraph" w:styleId="ListContinue4">
    <w:name w:val="List Continue 4"/>
    <w:basedOn w:val="List4"/>
    <w:rsid w:val="00EE00A3"/>
    <w:pPr>
      <w:ind w:firstLine="0"/>
    </w:pPr>
  </w:style>
  <w:style w:type="paragraph" w:styleId="ListContinue5">
    <w:name w:val="List Continue 5"/>
    <w:basedOn w:val="List5"/>
    <w:rsid w:val="00EE00A3"/>
    <w:pPr>
      <w:ind w:firstLine="0"/>
    </w:pPr>
  </w:style>
  <w:style w:type="paragraph" w:styleId="ListNumber3">
    <w:name w:val="List Number 3"/>
    <w:basedOn w:val="List3"/>
    <w:rsid w:val="00EE00A3"/>
    <w:pPr>
      <w:numPr>
        <w:numId w:val="5"/>
      </w:numPr>
    </w:pPr>
  </w:style>
  <w:style w:type="paragraph" w:styleId="ListNumber4">
    <w:name w:val="List Number 4"/>
    <w:basedOn w:val="List4"/>
    <w:rsid w:val="00EE00A3"/>
    <w:pPr>
      <w:numPr>
        <w:numId w:val="6"/>
      </w:numPr>
    </w:pPr>
  </w:style>
  <w:style w:type="paragraph" w:styleId="ListNumber5">
    <w:name w:val="List Number 5"/>
    <w:basedOn w:val="List5"/>
    <w:rsid w:val="00EE00A3"/>
    <w:pPr>
      <w:numPr>
        <w:numId w:val="7"/>
      </w:numPr>
    </w:pPr>
  </w:style>
  <w:style w:type="paragraph" w:styleId="BlockText">
    <w:name w:val="Block Text"/>
    <w:basedOn w:val="Normal"/>
    <w:rsid w:val="00EE00A3"/>
    <w:pPr>
      <w:spacing w:after="120"/>
      <w:ind w:left="1440" w:right="1440"/>
    </w:pPr>
  </w:style>
  <w:style w:type="character" w:customStyle="1" w:styleId="Subscript">
    <w:name w:val="Subscript"/>
    <w:basedOn w:val="DefaultParagraphFont"/>
    <w:rsid w:val="00EE00A3"/>
    <w:rPr>
      <w:sz w:val="16"/>
      <w:vertAlign w:val="subscript"/>
    </w:rPr>
  </w:style>
  <w:style w:type="character" w:customStyle="1" w:styleId="Superscript">
    <w:name w:val="Superscript"/>
    <w:basedOn w:val="DefaultParagraphFont"/>
    <w:rsid w:val="00EE00A3"/>
    <w:rPr>
      <w:sz w:val="16"/>
      <w:vertAlign w:val="superscript"/>
    </w:rPr>
  </w:style>
  <w:style w:type="character" w:customStyle="1" w:styleId="Symbols">
    <w:name w:val="Symbols"/>
    <w:basedOn w:val="DefaultParagraphFont"/>
    <w:rsid w:val="00EE00A3"/>
    <w:rPr>
      <w:rFonts w:ascii="Symbol" w:hAnsi="Symbol"/>
    </w:rPr>
  </w:style>
  <w:style w:type="character" w:customStyle="1" w:styleId="MenuOptions">
    <w:name w:val="Menu Options"/>
    <w:basedOn w:val="DefaultParagraphFont"/>
    <w:rsid w:val="00EE00A3"/>
    <w:rPr>
      <w:rFonts w:ascii="Arial Narrow" w:hAnsi="Arial Narrow"/>
      <w:smallCaps/>
    </w:rPr>
  </w:style>
  <w:style w:type="character" w:customStyle="1" w:styleId="Buttons">
    <w:name w:val="Buttons"/>
    <w:basedOn w:val="DefaultParagraphFont"/>
    <w:rsid w:val="00EE00A3"/>
    <w:rPr>
      <w:b/>
    </w:rPr>
  </w:style>
  <w:style w:type="character" w:customStyle="1" w:styleId="Underlined">
    <w:name w:val="Underlined"/>
    <w:basedOn w:val="DefaultParagraphFont"/>
    <w:rsid w:val="00EE00A3"/>
    <w:rPr>
      <w:u w:val="single"/>
    </w:rPr>
  </w:style>
  <w:style w:type="paragraph" w:customStyle="1" w:styleId="TableBodyTextRight">
    <w:name w:val="Table Body Text Right"/>
    <w:basedOn w:val="TableBodyText"/>
    <w:rsid w:val="00EE00A3"/>
    <w:pPr>
      <w:widowControl w:val="0"/>
      <w:autoSpaceDE w:val="0"/>
      <w:autoSpaceDN w:val="0"/>
      <w:adjustRightInd w:val="0"/>
      <w:jc w:val="right"/>
    </w:pPr>
    <w:rPr>
      <w:rFonts w:cs="Arial"/>
      <w:szCs w:val="18"/>
    </w:rPr>
  </w:style>
  <w:style w:type="paragraph" w:customStyle="1" w:styleId="CopyrightText">
    <w:name w:val="Copyright Text"/>
    <w:basedOn w:val="BodyText"/>
    <w:rsid w:val="00EE00A3"/>
    <w:rPr>
      <w:sz w:val="18"/>
    </w:rPr>
  </w:style>
  <w:style w:type="paragraph" w:customStyle="1" w:styleId="BodySmallRight">
    <w:name w:val="Body Small Right"/>
    <w:basedOn w:val="BodyTextRight"/>
    <w:rsid w:val="00EE00A3"/>
    <w:rPr>
      <w:sz w:val="18"/>
      <w:szCs w:val="18"/>
    </w:rPr>
  </w:style>
  <w:style w:type="paragraph" w:customStyle="1" w:styleId="MarginEdition">
    <w:name w:val="Margin Edition"/>
    <w:basedOn w:val="MarginNote"/>
    <w:rsid w:val="00EE00A3"/>
    <w:pPr>
      <w:spacing w:before="0" w:after="0"/>
    </w:pPr>
    <w:rPr>
      <w:rFonts w:ascii="Times New Roman" w:hAnsi="Times New Roman"/>
      <w:color w:val="999999"/>
    </w:rPr>
  </w:style>
  <w:style w:type="paragraph" w:customStyle="1" w:styleId="Spacer">
    <w:name w:val="Spacer"/>
    <w:basedOn w:val="Normal"/>
    <w:rsid w:val="00EE00A3"/>
    <w:rPr>
      <w:sz w:val="2"/>
      <w:szCs w:val="2"/>
    </w:rPr>
  </w:style>
  <w:style w:type="character" w:customStyle="1" w:styleId="Small">
    <w:name w:val="Small"/>
    <w:basedOn w:val="DefaultParagraphFont"/>
    <w:rsid w:val="00EE00A3"/>
    <w:rPr>
      <w:sz w:val="16"/>
    </w:rPr>
  </w:style>
  <w:style w:type="paragraph" w:customStyle="1" w:styleId="WideTable">
    <w:name w:val="Wide Table"/>
    <w:basedOn w:val="Normal"/>
    <w:rsid w:val="00EE00A3"/>
    <w:pPr>
      <w:ind w:left="-1418"/>
    </w:pPr>
    <w:rPr>
      <w:sz w:val="2"/>
      <w:szCs w:val="2"/>
    </w:rPr>
  </w:style>
  <w:style w:type="character" w:styleId="PageNumber">
    <w:name w:val="page number"/>
    <w:basedOn w:val="DefaultParagraphFont"/>
    <w:rsid w:val="00EE00A3"/>
  </w:style>
  <w:style w:type="paragraph" w:styleId="Quote">
    <w:name w:val="Quote"/>
    <w:basedOn w:val="Heading1"/>
    <w:link w:val="QuoteChar"/>
    <w:qFormat/>
    <w:rsid w:val="00EE00A3"/>
    <w:rPr>
      <w:b w:val="0"/>
      <w:sz w:val="72"/>
      <w:szCs w:val="72"/>
      <w:lang w:val="en-NZ"/>
    </w:rPr>
  </w:style>
  <w:style w:type="character" w:customStyle="1" w:styleId="QuoteChar">
    <w:name w:val="Quote Char"/>
    <w:basedOn w:val="DefaultParagraphFont"/>
    <w:link w:val="Quote"/>
    <w:rsid w:val="00EE0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0A3"/>
    <w:pPr>
      <w:pageBreakBefore/>
    </w:pPr>
  </w:style>
  <w:style w:type="paragraph" w:customStyle="1" w:styleId="Border">
    <w:name w:val="Border"/>
    <w:basedOn w:val="Normal"/>
    <w:qFormat/>
    <w:rsid w:val="00EE0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0A3"/>
    <w:rPr>
      <w:b/>
      <w:bCs/>
      <w:i/>
      <w:iCs/>
      <w:color w:val="auto"/>
    </w:rPr>
  </w:style>
  <w:style w:type="paragraph" w:styleId="IntenseQuote">
    <w:name w:val="Intense Quote"/>
    <w:basedOn w:val="Normal"/>
    <w:next w:val="Normal"/>
    <w:link w:val="IntenseQuoteChar"/>
    <w:uiPriority w:val="30"/>
    <w:qFormat/>
    <w:rsid w:val="00EE0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0A3"/>
    <w:rPr>
      <w:smallCaps/>
      <w:color w:val="auto"/>
      <w:u w:val="single"/>
    </w:rPr>
  </w:style>
  <w:style w:type="character" w:styleId="IntenseReference">
    <w:name w:val="Intense Reference"/>
    <w:basedOn w:val="DefaultParagraphFont"/>
    <w:uiPriority w:val="32"/>
    <w:qFormat/>
    <w:rsid w:val="00EE00A3"/>
    <w:rPr>
      <w:b/>
      <w:bCs/>
      <w:smallCaps/>
      <w:color w:val="auto"/>
      <w:spacing w:val="5"/>
      <w:u w:val="single"/>
    </w:rPr>
  </w:style>
  <w:style w:type="paragraph" w:customStyle="1" w:styleId="2ColumnHeading">
    <w:name w:val="2Column Heading"/>
    <w:basedOn w:val="BodyText"/>
    <w:qFormat/>
    <w:rsid w:val="00EE00A3"/>
    <w:pPr>
      <w:spacing w:after="60"/>
      <w:ind w:left="-2268"/>
    </w:pPr>
    <w:rPr>
      <w:b/>
    </w:rPr>
  </w:style>
  <w:style w:type="paragraph" w:customStyle="1" w:styleId="Heading1TOC">
    <w:name w:val="Heading1 TOC"/>
    <w:basedOn w:val="Normal"/>
    <w:qFormat/>
    <w:rsid w:val="00EE00A3"/>
    <w:pPr>
      <w:spacing w:before="240" w:after="120"/>
    </w:pPr>
    <w:rPr>
      <w:rFonts w:ascii="Times New Roman" w:hAnsi="Times New Roman"/>
      <w:b/>
      <w:sz w:val="32"/>
    </w:rPr>
  </w:style>
  <w:style w:type="paragraph" w:customStyle="1" w:styleId="Heading2TOC">
    <w:name w:val="Heading2 TOC"/>
    <w:basedOn w:val="Normal"/>
    <w:qFormat/>
    <w:rsid w:val="00EE00A3"/>
    <w:pPr>
      <w:spacing w:before="240" w:after="60"/>
    </w:pPr>
    <w:rPr>
      <w:rFonts w:ascii="Times New Roman" w:hAnsi="Times New Roman"/>
      <w:b/>
      <w:sz w:val="28"/>
    </w:rPr>
  </w:style>
  <w:style w:type="character" w:customStyle="1" w:styleId="Underline">
    <w:name w:val="Underline"/>
    <w:basedOn w:val="DefaultParagraphFont"/>
    <w:qFormat/>
    <w:rsid w:val="00EE00A3"/>
    <w:rPr>
      <w:u w:val="single"/>
    </w:rPr>
  </w:style>
  <w:style w:type="character" w:customStyle="1" w:styleId="BoldandItalics">
    <w:name w:val="Bold and Italics"/>
    <w:qFormat/>
    <w:rsid w:val="00EE00A3"/>
    <w:rPr>
      <w:b/>
      <w:i/>
      <w:u w:val="none"/>
    </w:rPr>
  </w:style>
  <w:style w:type="paragraph" w:styleId="BalloonText">
    <w:name w:val="Balloon Text"/>
    <w:basedOn w:val="Normal"/>
    <w:link w:val="BalloonTextChar"/>
    <w:rsid w:val="00EE00A3"/>
    <w:rPr>
      <w:rFonts w:ascii="Tahoma" w:hAnsi="Tahoma" w:cs="Tahoma"/>
      <w:sz w:val="16"/>
      <w:szCs w:val="16"/>
    </w:rPr>
  </w:style>
  <w:style w:type="character" w:customStyle="1" w:styleId="BalloonTextChar">
    <w:name w:val="Balloon Text Char"/>
    <w:basedOn w:val="DefaultParagraphFont"/>
    <w:link w:val="BalloonText"/>
    <w:rsid w:val="00EE0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0A3"/>
    <w:rPr>
      <w:b/>
      <w:color w:val="660033"/>
      <w:spacing w:val="0"/>
    </w:rPr>
  </w:style>
  <w:style w:type="paragraph" w:customStyle="1" w:styleId="Nameditemlist">
    <w:name w:val="Named item list"/>
    <w:basedOn w:val="BodyText"/>
    <w:qFormat/>
    <w:rsid w:val="00EE00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2349</Words>
  <Characters>14701</Characters>
  <Application>Microsoft Office Word</Application>
  <DocSecurity>0</DocSecurity>
  <Lines>595</Lines>
  <Paragraphs>237</Paragraphs>
  <ScaleCrop>false</ScaleCrop>
  <Company>Author-it Software Corporation Ltd.</Company>
  <LinksUpToDate>false</LinksUpToDate>
  <CharactersWithSpaces>16859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UETTDRSB01B Diagnose and rectify faults in power system substation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2012-10-11T18:16:00Z</dcterms:created>
  <dcterms:modified xsi:type="dcterms:W3CDTF">2012-10-11T18:16:00Z</dcterms:modified>
</cp:coreProperties>
</file>