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F79" w:rsidP="00E14F79">
      <w:pPr>
        <w:pStyle w:val="Title"/>
      </w:pPr>
      <w:bookmarkStart w:id="0" w:name="_GoBack"/>
      <w:bookmarkEnd w:id="0"/>
      <w:r>
        <w:fldChar w:fldCharType="begin"/>
      </w:r>
      <w:r>
        <w:instrText xml:space="preserve"> TITLE   \* MERGEFORMAT </w:instrText>
      </w:r>
      <w:r>
        <w:fldChar w:fldCharType="separate"/>
      </w:r>
      <w:r>
        <w:t>UETTDRRT12B Maintain energised traction overhead electrical apparatus (stick)</w:t>
      </w:r>
      <w:r>
        <w:fldChar w:fldCharType="end"/>
      </w:r>
    </w:p>
    <w:p w:rsidR="00E14F79" w:rsidP="00E14F79">
      <w:pPr>
        <w:pStyle w:val="Version"/>
        <w:sectPr w:rsidSect="002C14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426" w:rsidP="002C1426">
      <w:pPr>
        <w:pStyle w:val="SuperHeading"/>
      </w:pPr>
      <w:r w:rsidRPr="002C1426">
        <w:t>UETTDRRT12B Maintain energised traction overhead electrical apparatus (stick)</w:t>
      </w:r>
    </w:p>
    <w:p w:rsidR="00000000" w:rsidRPr="002C1426" w:rsidP="002C1426">
      <w:pPr>
        <w:pStyle w:val="Heading1"/>
      </w:pPr>
      <w:bookmarkStart w:id="1" w:name="O_275516"/>
      <w:bookmarkEnd w:id="1"/>
      <w:r w:rsidRPr="002C1426">
        <w:t>Modification History</w:t>
      </w:r>
    </w:p>
    <w:p w:rsidR="00000000" w:rsidRPr="002C1426" w:rsidP="002C1426">
      <w:pPr>
        <w:pStyle w:val="BodyText"/>
      </w:pPr>
      <w:r w:rsidRPr="002C1426">
        <w:t>Not Applicable</w:t>
      </w:r>
    </w:p>
    <w:p w:rsidR="00000000" w:rsidRPr="002C1426" w:rsidP="002C1426">
      <w:pPr>
        <w:pStyle w:val="AllowPageBreak"/>
      </w:pPr>
    </w:p>
    <w:p w:rsidR="00000000" w:rsidRPr="002C1426" w:rsidP="002C1426">
      <w:pPr>
        <w:pStyle w:val="Heading1"/>
      </w:pPr>
      <w:bookmarkStart w:id="2" w:name="O_231760"/>
      <w:bookmarkEnd w:id="2"/>
      <w:r w:rsidRPr="002C1426">
        <w:t>Unit Descriptor</w:t>
      </w:r>
    </w:p>
    <w:tbl>
      <w:tblPr>
        <w:tblW w:w="0" w:type="auto"/>
        <w:tblLayout w:type="fixed"/>
        <w:tblCellMar>
          <w:left w:w="62" w:type="dxa"/>
          <w:right w:w="62" w:type="dxa"/>
        </w:tblCellMar>
        <w:tblLook w:val="0000"/>
      </w:tblPr>
      <w:tblGrid>
        <w:gridCol w:w="2757"/>
        <w:gridCol w:w="5883"/>
      </w:tblGrid>
      <w:tr w:rsidTr="00E14F79">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1</w:t>
            </w:r>
            <w:r w:rsidRPr="002C1426">
              <w:t xml:space="preserve">) </w:t>
            </w:r>
          </w:p>
          <w:p w:rsidR="00000000" w:rsidP="002C1426">
            <w:pPr>
              <w:pStyle w:val="BodyText"/>
              <w:rPr>
                <w:lang w:val="en-NZ"/>
              </w:rPr>
            </w:pPr>
            <w:r w:rsidRPr="002C1426">
              <w:rPr>
                <w:rStyle w:val="SpecialBold"/>
              </w:rPr>
              <w:t>1</w:t>
            </w:r>
            <w:r w:rsidRPr="002C1426">
              <w:t>.</w:t>
            </w:r>
            <w:r w:rsidRPr="002C1426">
              <w:rPr>
                <w:rStyle w:val="SpecialBold"/>
              </w:rPr>
              <w:t>1</w:t>
            </w:r>
            <w:r w:rsidRPr="002C1426">
              <w:t xml:space="preserve">) </w:t>
            </w:r>
            <w:r w:rsidRPr="002C1426">
              <w:rPr>
                <w:rStyle w:val="SpecialBold"/>
              </w:rPr>
              <w:t>Descriptor</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t>This Competency Standard Unit covers the maintenance and repair of energised traction overhead electrical apparatus via the use of approved live line insulated stick techniques and includes the verification of site conditions and the potential hazards, the</w:t>
            </w:r>
            <w:r w:rsidRPr="002C1426">
              <w:t xml:space="preserve"> conformance with and calculation of physical loads, the selection of appropriate tools and equipment, and authorised work methods. It encompasses the undertaking of correct procedures and precautions to working live line in accordance with the work plan a</w:t>
            </w:r>
            <w:r w:rsidRPr="002C1426">
              <w:t>nd enterprise requirements. It also includes the visual inspection and necessary checks to confirm that; the electrical apparatus and components are in a safe condition to test and/or return to service, and the recommissioning tests of the electrical appar</w:t>
            </w:r>
            <w:r w:rsidRPr="002C1426">
              <w:t xml:space="preserve">atus and components. </w:t>
            </w:r>
          </w:p>
        </w:tc>
      </w:tr>
    </w:tbl>
    <w:p w:rsidR="00E14F79" w:rsidP="002C1426">
      <w:pPr>
        <w:pStyle w:val="BodyText"/>
      </w:pPr>
    </w:p>
    <w:p w:rsidR="00E14F79" w:rsidP="002C1426">
      <w:pPr>
        <w:pStyle w:val="BodyText"/>
      </w:pPr>
    </w:p>
    <w:p w:rsidR="00000000" w:rsidRPr="002C1426" w:rsidP="002C1426">
      <w:pPr>
        <w:pStyle w:val="Heading1"/>
      </w:pPr>
      <w:bookmarkStart w:id="3" w:name="O_231765"/>
      <w:bookmarkEnd w:id="3"/>
      <w:r w:rsidRPr="002C1426">
        <w:t>Application of the Unit</w:t>
      </w:r>
    </w:p>
    <w:tbl>
      <w:tblPr>
        <w:tblW w:w="0" w:type="auto"/>
        <w:tblLayout w:type="fixed"/>
        <w:tblCellMar>
          <w:left w:w="62" w:type="dxa"/>
          <w:right w:w="62" w:type="dxa"/>
        </w:tblCellMar>
        <w:tblLook w:val="0000"/>
      </w:tblPr>
      <w:tblGrid>
        <w:gridCol w:w="2757"/>
        <w:gridCol w:w="5883"/>
      </w:tblGrid>
      <w:tr w:rsidTr="00E14F79">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rPr>
                <w:rStyle w:val="SpecialBold"/>
              </w:rPr>
              <w:t>4</w:t>
            </w:r>
            <w:r w:rsidRPr="002C1426">
              <w:t>)</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t>This Competency Standard Unit is intended to augment formally acquired competencies. It is suitable for employment-based programs under an approved contract of t</w:t>
            </w:r>
            <w:r w:rsidRPr="002C1426">
              <w:t>raining.</w:t>
            </w:r>
          </w:p>
        </w:tc>
      </w:tr>
    </w:tbl>
    <w:p w:rsidR="00E14F79" w:rsidP="002C1426">
      <w:pPr>
        <w:pStyle w:val="BodyText"/>
      </w:pPr>
    </w:p>
    <w:p w:rsidR="00E14F79" w:rsidP="002C1426">
      <w:pPr>
        <w:pStyle w:val="BodyText"/>
      </w:pPr>
    </w:p>
    <w:p w:rsidR="00000000" w:rsidRPr="002C1426" w:rsidP="002C1426">
      <w:pPr>
        <w:pStyle w:val="Heading1"/>
      </w:pPr>
      <w:bookmarkStart w:id="4" w:name="O_231761"/>
      <w:bookmarkEnd w:id="4"/>
      <w:r w:rsidRPr="002C1426">
        <w:t>Licensing/Regulatory Information</w:t>
      </w:r>
    </w:p>
    <w:tbl>
      <w:tblPr>
        <w:tblW w:w="0" w:type="auto"/>
        <w:tblLayout w:type="fixed"/>
        <w:tblCellMar>
          <w:left w:w="62" w:type="dxa"/>
          <w:right w:w="62" w:type="dxa"/>
        </w:tblCellMar>
        <w:tblLook w:val="0000"/>
      </w:tblPr>
      <w:tblGrid>
        <w:gridCol w:w="8640"/>
      </w:tblGrid>
      <w:tr w:rsidTr="00E14F7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rPr>
                <w:rStyle w:val="SpecialBold"/>
              </w:rPr>
              <w:t>1</w:t>
            </w:r>
            <w:r w:rsidRPr="002C1426">
              <w:t>.</w:t>
            </w:r>
            <w:r w:rsidRPr="002C1426">
              <w:rPr>
                <w:rStyle w:val="SpecialBold"/>
              </w:rPr>
              <w:t>2</w:t>
            </w:r>
            <w:r w:rsidRPr="002C1426">
              <w:t xml:space="preserve">) </w:t>
            </w:r>
            <w:r w:rsidRPr="002C1426">
              <w:rPr>
                <w:rStyle w:val="SpecialBold"/>
              </w:rPr>
              <w:t>License to practice</w:t>
            </w:r>
          </w:p>
        </w:tc>
      </w:tr>
      <w:tr w:rsidTr="00E14F7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t xml:space="preserve">The skills and knowledge described in this unit may require a licence/registration to practice in the work place subject to regulations for </w:t>
            </w:r>
            <w:r w:rsidRPr="002C1426">
              <w:t>undertaking of electrical work. Practice in workplace and during training is also subject to regulations directly related to Occupational Health and Safety, electricity/telecommunications/gas/water industry safety and compliance, industrial relations, envi</w:t>
            </w:r>
            <w:r w:rsidRPr="002C1426">
              <w:t>ronmental protection, anti discrimination and training. Commonwealth, State/Territory or Local Government legislation and regulations may exist that limits the age of operating certain equipment.</w:t>
            </w:r>
          </w:p>
        </w:tc>
      </w:tr>
    </w:tbl>
    <w:p w:rsidR="00E14F79" w:rsidP="002C1426">
      <w:pPr>
        <w:pStyle w:val="BodyText"/>
      </w:pPr>
    </w:p>
    <w:p w:rsidR="00E14F79" w:rsidP="002C1426">
      <w:pPr>
        <w:pStyle w:val="BodyText"/>
      </w:pPr>
    </w:p>
    <w:p w:rsidR="00000000" w:rsidRPr="002C1426" w:rsidP="002C1426">
      <w:pPr>
        <w:pStyle w:val="Heading1"/>
      </w:pPr>
      <w:bookmarkStart w:id="5" w:name="O_231762"/>
      <w:bookmarkEnd w:id="5"/>
      <w:r w:rsidRPr="002C1426">
        <w:t>Pre-Requisites</w:t>
      </w:r>
    </w:p>
    <w:tbl>
      <w:tblPr>
        <w:tblW w:w="0" w:type="auto"/>
        <w:tblLayout w:type="fixed"/>
        <w:tblCellMar>
          <w:left w:w="62" w:type="dxa"/>
          <w:right w:w="62" w:type="dxa"/>
        </w:tblCellMar>
        <w:tblLook w:val="0000"/>
      </w:tblPr>
      <w:tblGrid>
        <w:gridCol w:w="2757"/>
        <w:gridCol w:w="735"/>
        <w:gridCol w:w="2023"/>
        <w:gridCol w:w="3125"/>
      </w:tblGrid>
      <w:tr w:rsidTr="00E14F79">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Prerequisite Unit</w:t>
            </w:r>
            <w:r w:rsidRPr="002C1426">
              <w:t>(</w:t>
            </w:r>
            <w:r w:rsidRPr="002C1426">
              <w:rPr>
                <w:rStyle w:val="SpecialBold"/>
              </w:rPr>
              <w:t>s</w:t>
            </w:r>
            <w:r w:rsidRPr="002C1426">
              <w:t>)</w:t>
            </w:r>
          </w:p>
        </w:tc>
        <w:tc>
          <w:tcPr>
            <w:tcW w:w="5883" w:type="dxa"/>
            <w:gridSpan w:val="3"/>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rPr>
                <w:rStyle w:val="SpecialBold"/>
              </w:rPr>
              <w:t>2</w:t>
            </w:r>
            <w:r w:rsidRPr="002C1426">
              <w:t xml:space="preserve">) </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2C1426">
            <w:pPr>
              <w:pStyle w:val="BodyText"/>
              <w:keepNext w:val="0"/>
              <w:keepLines w:val="0"/>
              <w:contextualSpacing w:val="0"/>
            </w:pPr>
          </w:p>
        </w:tc>
        <w:tc>
          <w:tcPr>
            <w:tcW w:w="5883" w:type="dxa"/>
            <w:gridSpan w:val="3"/>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rPr>
                <w:rStyle w:val="SpecialBold"/>
              </w:rPr>
              <w:t>2</w:t>
            </w:r>
            <w:r w:rsidRPr="002C1426">
              <w:t>.</w:t>
            </w:r>
            <w:r w:rsidRPr="002C1426">
              <w:rPr>
                <w:rStyle w:val="SpecialBold"/>
              </w:rPr>
              <w:t>1</w:t>
            </w:r>
            <w:r w:rsidRPr="002C1426">
              <w:t xml:space="preserve">) </w:t>
            </w:r>
            <w:r w:rsidRPr="002C1426">
              <w:rPr>
                <w:rStyle w:val="SpecialBold"/>
              </w:rPr>
              <w:t>Competencies</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Granting of competency in this unit shall be made only after competency in the following unit(s) has/have been confirmed:.</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UETTDRRT11B</w:t>
            </w:r>
          </w:p>
        </w:tc>
        <w:tc>
          <w:tcPr>
            <w:tcW w:w="3125"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Maintain energised direct current traction overhead wiring system</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t>For the full prerequisite chain details for this unit please refer to Table 3 in Volume 1, Part 2</w:t>
            </w:r>
          </w:p>
        </w:tc>
      </w:tr>
    </w:tbl>
    <w:p w:rsidR="00E14F79" w:rsidP="002C1426">
      <w:pPr>
        <w:pStyle w:val="BodyText"/>
      </w:pPr>
    </w:p>
    <w:p w:rsidR="00E14F79" w:rsidP="002C1426">
      <w:pPr>
        <w:pStyle w:val="BodyText"/>
      </w:pPr>
    </w:p>
    <w:p w:rsidR="00000000" w:rsidRPr="002C1426" w:rsidP="002C1426">
      <w:pPr>
        <w:pStyle w:val="Heading1"/>
      </w:pPr>
      <w:bookmarkStart w:id="6" w:name="O_231764"/>
      <w:bookmarkEnd w:id="6"/>
      <w:r w:rsidRPr="002C1426">
        <w:t>Employability Skills Information</w:t>
      </w:r>
    </w:p>
    <w:tbl>
      <w:tblPr>
        <w:tblW w:w="0" w:type="auto"/>
        <w:tblLayout w:type="fixed"/>
        <w:tblCellMar>
          <w:left w:w="62" w:type="dxa"/>
          <w:right w:w="62" w:type="dxa"/>
        </w:tblCellMar>
        <w:tblLook w:val="0000"/>
      </w:tblPr>
      <w:tblGrid>
        <w:gridCol w:w="2757"/>
        <w:gridCol w:w="5883"/>
      </w:tblGrid>
      <w:tr w:rsidTr="00E14F79">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3</w:t>
            </w:r>
            <w:r w:rsidRPr="002C1426">
              <w:t>)</w:t>
            </w:r>
          </w:p>
          <w:p w:rsidR="00000000" w:rsidRPr="002C1426" w:rsidP="002C1426">
            <w:pPr>
              <w:pStyle w:val="BodyText"/>
            </w:pPr>
            <w:r w:rsidRPr="002C1426">
              <w:t>The required outcomes described in this unit of competency contain applicable f</w:t>
            </w:r>
            <w:r w:rsidRPr="002C1426">
              <w:t>acets of Employability Skills. The Employability Skills Summary of the qualification in which this unit of competency is packaged will assist in identifying Employability Skill requirements.</w:t>
            </w:r>
          </w:p>
        </w:tc>
      </w:tr>
    </w:tbl>
    <w:p w:rsidR="00E14F79" w:rsidP="002C1426">
      <w:pPr>
        <w:pStyle w:val="BodyText"/>
      </w:pPr>
    </w:p>
    <w:p w:rsidR="00E14F79" w:rsidP="002C1426">
      <w:pPr>
        <w:pStyle w:val="BodyText"/>
      </w:pPr>
    </w:p>
    <w:p w:rsidR="00000000" w:rsidRPr="002C1426" w:rsidP="002C1426">
      <w:pPr>
        <w:pStyle w:val="Heading1"/>
      </w:pPr>
      <w:bookmarkStart w:id="7" w:name="O_293562"/>
      <w:bookmarkEnd w:id="7"/>
      <w:r w:rsidRPr="002C1426">
        <w:t>Elements and Performance Criteria Pre-Content</w:t>
      </w:r>
    </w:p>
    <w:tbl>
      <w:tblPr>
        <w:tblW w:w="0" w:type="auto"/>
        <w:tblLayout w:type="fixed"/>
        <w:tblCellMar>
          <w:left w:w="62" w:type="dxa"/>
          <w:right w:w="62" w:type="dxa"/>
        </w:tblCellMar>
        <w:tblLook w:val="0000"/>
      </w:tblPr>
      <w:tblGrid>
        <w:gridCol w:w="2757"/>
        <w:gridCol w:w="5883"/>
      </w:tblGrid>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rPr>
                <w:rStyle w:val="SpecialBold"/>
              </w:rPr>
              <w:t>6</w:t>
            </w:r>
            <w:r w:rsidRPr="002C1426">
              <w:t xml:space="preserve">) </w:t>
            </w:r>
            <w:r w:rsidRPr="002C1426">
              <w:rPr>
                <w:rStyle w:val="SpecialBold"/>
              </w:rPr>
              <w:t>Elements</w:t>
            </w:r>
            <w:r w:rsidRPr="002C1426">
              <w:t>: Elements describe the essential outcomes of a competency standard unit</w:t>
            </w:r>
          </w:p>
        </w:tc>
        <w:tc>
          <w:tcPr>
            <w:tcW w:w="5883"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t>Performance Criteria describe the required performance needed to demonstrate achievement of the element. Assessment of performance is to be consistent with the evidence gu</w:t>
            </w:r>
            <w:r w:rsidRPr="002C1426">
              <w:t>ide.</w:t>
            </w:r>
          </w:p>
        </w:tc>
      </w:tr>
    </w:tbl>
    <w:p w:rsidR="00000000" w:rsidRPr="002C1426" w:rsidP="002C1426">
      <w:pPr>
        <w:pStyle w:val="BodyText"/>
      </w:pPr>
    </w:p>
    <w:p w:rsidR="00000000" w:rsidRPr="002C1426" w:rsidP="002C1426">
      <w:pPr>
        <w:pStyle w:val="AllowPageBreak"/>
      </w:pPr>
    </w:p>
    <w:p w:rsidR="00000000" w:rsidRPr="002C1426" w:rsidP="002C1426">
      <w:pPr>
        <w:pStyle w:val="Heading1"/>
      </w:pPr>
      <w:bookmarkStart w:id="8" w:name="O_240230"/>
      <w:bookmarkEnd w:id="8"/>
      <w:r w:rsidRPr="002C1426">
        <w:t>Elements and Performance Criteria</w:t>
      </w:r>
    </w:p>
    <w:tbl>
      <w:tblPr>
        <w:tblW w:w="0" w:type="auto"/>
        <w:tblLayout w:type="fixed"/>
        <w:tblCellMar>
          <w:left w:w="62" w:type="dxa"/>
          <w:right w:w="62" w:type="dxa"/>
        </w:tblCellMar>
        <w:tblLook w:val="0000"/>
      </w:tblPr>
      <w:tblGrid>
        <w:gridCol w:w="413"/>
        <w:gridCol w:w="2344"/>
        <w:gridCol w:w="919"/>
        <w:gridCol w:w="4964"/>
      </w:tblGrid>
      <w:tr w:rsidTr="00E14F79">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rPr>
                <w:rStyle w:val="SpecialBold"/>
              </w:rPr>
              <w:t>PERFORMANCE CRITERIA</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1</w:t>
            </w:r>
          </w:p>
        </w:tc>
        <w:tc>
          <w:tcPr>
            <w:tcW w:w="234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Prepare/plan to maintain energised traction overhead electrical apparatus</w:t>
            </w: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1.1</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Works schedule(s), including drawings, plans, requirements, established procedures, and material lists, are obtained, analysed, if necessary, by site inspection and the extent of the preparation of the work determined for planning and coordination.</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1.2</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Work is prioritised and sequenced for the most efficient and effective outcome following consultation with others for completion within acceptable timeframes, to a quality standard and in accordance with established procedures.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1.3</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Calculation of physic</w:t>
            </w:r>
            <w:r w:rsidRPr="002C1426">
              <w:t>al loads and authorised work methods are obtained and relevant requirements and established procedures for the work are communicated to all personnel and identified for all work sites.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1.4</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Hazards are identified, OHS risks as</w:t>
            </w:r>
            <w:r w:rsidRPr="002C1426">
              <w:t>sessed and control measures are prioritised, implemented and monitored including emergency exits kept clear, to ensure safe systems of work are followed and according to established procedures.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1.5</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Identify hazards associated with the work and implement</w:t>
            </w:r>
            <w:r w:rsidRPr="002C1426">
              <w:t xml:space="preserve"> risk control measures including the rendering inoperative of automatic reclosing device.</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1.6</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Relevant work permits are secured to coordinate the performance of work according to requirements and/or established procedures.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1.7</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Resources including per</w:t>
            </w:r>
            <w:r w:rsidRPr="002C1426">
              <w:t>sonnel, equipment, tools and personal protective equipment required for the job are identified, scheduled and coordinated and confirmed in a safe and technical working order.</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1.8</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Relevant personnel at worksite are confirmed current in First Aid, CPR, Pole Top and other rescue procedures according to requirements.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1.9</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Liaison and communication issues with other/authorised personnel, authorities, clients and land owners are resolv</w:t>
            </w:r>
            <w:r w:rsidRPr="002C1426">
              <w:t>ed and activities coordinated to carry out work.</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1.10</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Site is prepared according to the work schedule and to minimise risk and damage to property, commerce, and individuals in accordance with established procedures.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1.11</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Personnel participating in th</w:t>
            </w:r>
            <w:r w:rsidRPr="002C1426">
              <w:t>e work, including plant operators and contractors, are fully briefed and respective responsibilities coordinated and authorised where applicable in accordance with established procedures.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1.12</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Positioning of road signs, barriers and warning devices is planned and coordinated in accordance with requirements.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2</w:t>
            </w:r>
          </w:p>
        </w:tc>
        <w:tc>
          <w:tcPr>
            <w:tcW w:w="234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Carry out the maintenance of energised traction overhead electrical apparatus</w:t>
            </w: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2.1</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 xml:space="preserve">OHS and sustainable energy principles and practices to </w:t>
            </w:r>
            <w:r w:rsidRPr="002C1426">
              <w:t>reduce the incidents of accidents and minimise waste are monitored and actioned in accordance with requirements and/or established procedures.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2.2</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First Aid, CPR, Pole Top and other Rescue Procedures and other related work procedures are performed accor</w:t>
            </w:r>
            <w:r w:rsidRPr="002C1426">
              <w:t>ding to requirements and/or established procedures.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2.3</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Lifting, climbing, and aloft, and use of power tools/equipment, techniques and practices are safely exercised according to requirements.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2.4</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Auto-reclose devices associated with the circuits bei</w:t>
            </w:r>
            <w:r w:rsidRPr="002C1426">
              <w:t>ng worked on have been rendered inoperative and necessary work documentation acquired in accordance with enterprise requirements.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2.5</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Essential knowledge and associated skills are applied in the safe maintenance of energised traction overhead electrical apparatus to ensure completion within an agreed timeframe and to quality standards with a minimum of waste according to requirements.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2.6</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Hazard warnings and safety signs are recognised and hazards and assessed OHS risks are reported to the immediate authorised persons for directions according to established procedures.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2.7</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Remedial actions are taken to overcome any shortfalls encoun</w:t>
            </w:r>
            <w:r w:rsidRPr="002C1426">
              <w:t>tered in the work schedule according to requirements and/or established procedures.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2.8</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Unplanned events in the maintenance of energised traction overhead electrical apparatus are managed within the scope of established procedures.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2.9</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On g</w:t>
            </w:r>
            <w:r w:rsidRPr="002C1426">
              <w:t>oing checks of quality of the work are undertaken in accordance with requirements and established procedures to ensure a quality like outcome is achieved for the client/customer and to a community/industry standard.</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3</w:t>
            </w:r>
          </w:p>
        </w:tc>
        <w:tc>
          <w:tcPr>
            <w:tcW w:w="2344" w:type="dxa"/>
            <w:vMerge w:val="restart"/>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Complete the maintenance of energised</w:t>
            </w:r>
            <w:r w:rsidRPr="002C1426">
              <w:t xml:space="preserve"> traction overhead electrical apparatus</w:t>
            </w: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3.1</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Work undertaken is checked against works schedule for conformance with requirements, anomalies reported and solutions identified in accordance with established procedures.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3.2</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Accidents and/or injuries are rep</w:t>
            </w:r>
            <w:r w:rsidRPr="002C1426">
              <w:t>orted and followed up in accordance with requirements/established procedures.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3.3</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Work site is rehabilitated, cleaned up and confirmed safe in accordance with established procedures.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3.4</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Tools, equipment an</w:t>
            </w:r>
            <w:r w:rsidRPr="002C1426">
              <w:t>d any surplus resources and materials are, where appropriate, cleaned, checked and returned to storage in accordance with established procedures.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3.5</w:t>
            </w:r>
          </w:p>
        </w:tc>
        <w:tc>
          <w:tcPr>
            <w:tcW w:w="4964"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Relevant work documentation is signed off and, traction overhead electrical apparatus are returned to s</w:t>
            </w:r>
            <w:r w:rsidRPr="002C1426">
              <w:t>ervice, including returning of auto-reclosing device to normal, and advised to client/customer in accordance with requirements.</w:t>
            </w:r>
          </w:p>
        </w:tc>
      </w:tr>
      <w:tr w:rsidTr="00E14F7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3.6</w:t>
            </w:r>
          </w:p>
        </w:tc>
        <w:tc>
          <w:tcPr>
            <w:tcW w:w="4964"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t>Works completion records, reports, as installed /modified drawing(s) and/or documentation and information are confirmed, processed and appropriate personnel notified.</w:t>
            </w:r>
          </w:p>
        </w:tc>
      </w:tr>
    </w:tbl>
    <w:p w:rsidR="00E14F79" w:rsidP="002C1426">
      <w:pPr>
        <w:pStyle w:val="BodyText"/>
      </w:pPr>
    </w:p>
    <w:p w:rsidR="00E14F79" w:rsidP="002C1426">
      <w:pPr>
        <w:pStyle w:val="BodyText"/>
      </w:pPr>
    </w:p>
    <w:p w:rsidR="00000000" w:rsidRPr="002C1426" w:rsidP="002C1426">
      <w:pPr>
        <w:pStyle w:val="Heading1"/>
      </w:pPr>
      <w:bookmarkStart w:id="9" w:name="O_264021"/>
      <w:bookmarkEnd w:id="9"/>
      <w:r w:rsidRPr="002C1426">
        <w:t>Required Skills and Knowledge</w:t>
      </w:r>
    </w:p>
    <w:tbl>
      <w:tblPr>
        <w:tblW w:w="0" w:type="auto"/>
        <w:tblLayout w:type="fixed"/>
        <w:tblCellMar>
          <w:left w:w="62" w:type="dxa"/>
          <w:right w:w="62" w:type="dxa"/>
        </w:tblCellMar>
        <w:tblLook w:val="0000"/>
      </w:tblPr>
      <w:tblGrid>
        <w:gridCol w:w="2757"/>
        <w:gridCol w:w="1103"/>
        <w:gridCol w:w="4780"/>
      </w:tblGrid>
      <w:tr w:rsidTr="00E14F79">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rPr>
                <w:rStyle w:val="SpecialBold"/>
              </w:rPr>
              <w:t>REQUIRED SKILLS AND KNOWLEDGE</w:t>
            </w:r>
          </w:p>
        </w:tc>
      </w:tr>
      <w:tr w:rsidTr="00E14F7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rPr>
                <w:rStyle w:val="SpecialBold"/>
              </w:rPr>
              <w:t>7</w:t>
            </w:r>
            <w:r w:rsidRPr="002C1426">
              <w:t xml:space="preserve">) </w:t>
            </w:r>
            <w:r w:rsidRPr="002C1426">
              <w:rPr>
                <w:rStyle w:val="SpecialBold"/>
              </w:rPr>
              <w:t>Ess</w:t>
            </w:r>
            <w:r w:rsidRPr="002C1426">
              <w:rPr>
                <w:rStyle w:val="SpecialBold"/>
              </w:rPr>
              <w:t>ential Knowledge and Associated Skills</w:t>
            </w:r>
            <w:r w:rsidRPr="002C1426">
              <w:t xml:space="preserve"> (</w:t>
            </w:r>
            <w:r w:rsidRPr="002C1426">
              <w:rPr>
                <w:rStyle w:val="SpecialBold"/>
              </w:rPr>
              <w:t>EKAS</w:t>
            </w:r>
            <w:r w:rsidRPr="002C1426">
              <w:t>): This describes the essential skills and knowledge and their level, required for this unit.</w:t>
            </w:r>
          </w:p>
        </w:tc>
      </w:tr>
      <w:tr w:rsidTr="00E14F7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t xml:space="preserve">Evidence shall show that knowledge has been acquired of maintaining energised traction overhead electrical apparatus (stick). </w:t>
            </w:r>
          </w:p>
          <w:p w:rsidR="00000000" w:rsidRPr="002C1426" w:rsidP="002C1426">
            <w:pPr>
              <w:pStyle w:val="BodyText"/>
            </w:pPr>
            <w:r w:rsidRPr="002C1426">
              <w:t>All knowledge and skills detailed in this unit should be contextualised to current industry practices and technologies.</w:t>
            </w:r>
          </w:p>
          <w:p w:rsidR="00000000" w:rsidP="002C1426">
            <w:pPr>
              <w:pStyle w:val="BodyText"/>
              <w:rPr>
                <w:lang w:val="en-NZ"/>
              </w:rPr>
            </w:pPr>
            <w:r w:rsidRPr="002C1426">
              <w:t>The exten</w:t>
            </w:r>
            <w:r w:rsidRPr="002C1426">
              <w:t>t of the essential knowledge and associated skills (EKAS) required is given in Volume 2 - Part 2.2 EKAS. It forms an integral part of this unit.</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T2.2.35</w:t>
            </w:r>
          </w:p>
        </w:tc>
        <w:tc>
          <w:tcPr>
            <w:tcW w:w="4780"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Live line working up to 132kV with Hotstick</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 xml:space="preserve">T2.2.39 </w:t>
            </w:r>
          </w:p>
        </w:tc>
        <w:tc>
          <w:tcPr>
            <w:tcW w:w="4780"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 xml:space="preserve"> Plant, equipment and tools used for HV live</w:t>
            </w:r>
            <w:r w:rsidRPr="002C1426">
              <w:t xml:space="preserve"> line work</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 xml:space="preserve">T2.2.53 </w:t>
            </w:r>
          </w:p>
        </w:tc>
        <w:tc>
          <w:tcPr>
            <w:tcW w:w="4780"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HV principles</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 xml:space="preserve">T2.4.3 </w:t>
            </w:r>
          </w:p>
        </w:tc>
        <w:tc>
          <w:tcPr>
            <w:tcW w:w="4780"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High voltage switching principles</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 xml:space="preserve">T2.4.4 </w:t>
            </w:r>
          </w:p>
        </w:tc>
        <w:tc>
          <w:tcPr>
            <w:tcW w:w="4780"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High voltage fault switching principles</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 xml:space="preserve">T2.4.5 </w:t>
            </w:r>
          </w:p>
        </w:tc>
        <w:tc>
          <w:tcPr>
            <w:tcW w:w="4780"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High voltage distribution transformer principles</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 xml:space="preserve">T2.4.6 </w:t>
            </w:r>
          </w:p>
        </w:tc>
        <w:tc>
          <w:tcPr>
            <w:tcW w:w="4780"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High voltage SWER system</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T2.4.7</w:t>
            </w:r>
          </w:p>
        </w:tc>
        <w:tc>
          <w:tcPr>
            <w:tcW w:w="4780"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Feeder automation system</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 xml:space="preserve">T2.6.9 </w:t>
            </w:r>
          </w:p>
        </w:tc>
        <w:tc>
          <w:tcPr>
            <w:tcW w:w="4780"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t>Traction live line work</w:t>
            </w:r>
          </w:p>
        </w:tc>
      </w:tr>
    </w:tbl>
    <w:p w:rsidR="00E14F79" w:rsidP="002C1426">
      <w:pPr>
        <w:pStyle w:val="BodyText"/>
      </w:pPr>
    </w:p>
    <w:p w:rsidR="00E14F79" w:rsidP="002C1426">
      <w:pPr>
        <w:pStyle w:val="BodyText"/>
      </w:pPr>
    </w:p>
    <w:p w:rsidR="00000000" w:rsidRPr="002C1426" w:rsidP="002C1426">
      <w:pPr>
        <w:pStyle w:val="Heading1"/>
      </w:pPr>
      <w:bookmarkStart w:id="10" w:name="O_248213"/>
      <w:bookmarkEnd w:id="10"/>
      <w:r w:rsidRPr="002C1426">
        <w:t>Evidence Guide</w:t>
      </w:r>
    </w:p>
    <w:tbl>
      <w:tblPr>
        <w:tblW w:w="0" w:type="auto"/>
        <w:tblLayout w:type="fixed"/>
        <w:tblCellMar>
          <w:left w:w="62" w:type="dxa"/>
          <w:right w:w="62" w:type="dxa"/>
        </w:tblCellMar>
        <w:tblLook w:val="0000"/>
      </w:tblPr>
      <w:tblGrid>
        <w:gridCol w:w="2206"/>
        <w:gridCol w:w="735"/>
        <w:gridCol w:w="919"/>
        <w:gridCol w:w="368"/>
        <w:gridCol w:w="1655"/>
        <w:gridCol w:w="2757"/>
      </w:tblGrid>
      <w:tr w:rsidTr="00E14F79">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rPr>
                <w:rStyle w:val="SpecialBold"/>
              </w:rPr>
              <w:t>EVIDENCE GUIDE</w:t>
            </w:r>
          </w:p>
        </w:tc>
      </w:tr>
      <w:tr w:rsidTr="00E14F79">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9</w:t>
            </w:r>
            <w:r w:rsidRPr="002C1426">
              <w:t xml:space="preserve">) This provides essential advice for assessment of the competency standard unit and must be read </w:t>
            </w:r>
            <w:r w:rsidRPr="002C1426">
              <w:t>in conjunction with the Performance Criteria and the range statement of the competency standard unit and the Training Package Assessment Guidelines.</w:t>
            </w:r>
          </w:p>
          <w:p w:rsidR="00000000" w:rsidP="002C1426">
            <w:pPr>
              <w:pStyle w:val="BodyText"/>
              <w:rPr>
                <w:lang w:val="en-NZ"/>
              </w:rPr>
            </w:pPr>
            <w:r w:rsidRPr="002C1426">
              <w:t>The Evidence Guide forms an integral part of this Competency Standard Unit and shall be used in conjunction</w:t>
            </w:r>
            <w:r w:rsidRPr="002C1426">
              <w:t xml:space="preserve"> with all component parts of this unit and, performed in accordance with the Assessment Guidelines of this Training Package.</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Overview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9</w:t>
            </w:r>
            <w:r w:rsidRPr="002C1426">
              <w:t>.</w:t>
            </w:r>
            <w:r w:rsidRPr="002C1426">
              <w:rPr>
                <w:rStyle w:val="SpecialBold"/>
              </w:rPr>
              <w:t>1</w:t>
            </w:r>
            <w:r w:rsidRPr="002C1426">
              <w:t xml:space="preserve">) </w:t>
            </w:r>
          </w:p>
          <w:p w:rsidR="00000000" w:rsidRPr="002C1426" w:rsidP="002C1426">
            <w:pPr>
              <w:pStyle w:val="BodyText"/>
            </w:pPr>
            <w:r w:rsidRPr="002C1426">
              <w:t>Longitudinal competency development approaches to assessment, such as Profiling, require data to</w:t>
            </w:r>
            <w:r w:rsidRPr="002C1426">
              <w:t xml:space="preserve"> be reliably gathered in a form that can be consistently interpreted over time. This approach is best utilised in Apprenticeship programs and reduces assessment intervention. It is the Industry's preferred model for apprenticeships. However, where summativ</w:t>
            </w:r>
            <w:r w:rsidRPr="002C1426">
              <w:t>e (or final) assessment is used it is to include the application of the competency in the normal work environment or, at a minimum, the application of the competency in a realistically simulated work environment. It is recognised that, in some circumstance</w:t>
            </w:r>
            <w:r w:rsidRPr="002C1426">
              <w:t>s, assessment in part or full can occur outside the workplace. However, it must be in accord with Industry and, Regulatory policy in this regard.</w:t>
            </w:r>
          </w:p>
          <w:p w:rsidR="00000000" w:rsidRPr="002C1426" w:rsidP="002C1426">
            <w:pPr>
              <w:pStyle w:val="BodyText"/>
            </w:pPr>
            <w:r w:rsidRPr="002C1426">
              <w:t xml:space="preserve">Methods chosen for a particular assessment will be influenced by various factors. These include the extent of </w:t>
            </w:r>
            <w:r w:rsidRPr="002C1426">
              <w:t>the assessment, the most effective locations for the assessment activities to take place, access to physical resources, additional safety measures that may be required and the critical nature of the competencies being assessed.</w:t>
            </w:r>
          </w:p>
          <w:p w:rsidR="00000000" w:rsidRPr="002C1426" w:rsidP="002C1426">
            <w:pPr>
              <w:pStyle w:val="BodyText"/>
            </w:pPr>
            <w:r w:rsidRPr="002C1426">
              <w:t>The critical safety nature o</w:t>
            </w:r>
            <w:r w:rsidRPr="002C1426">
              <w:t>f working with electricity, electrical equipment, gas or any other hazardous substance/material carries risk in deeming a person competent. Hence, sources of evidence need to be 'rich' in nature so as to minimise error in judgment.</w:t>
            </w:r>
          </w:p>
          <w:p w:rsidR="00000000" w:rsidP="002C1426">
            <w:pPr>
              <w:pStyle w:val="BodyText"/>
              <w:rPr>
                <w:lang w:val="en-NZ"/>
              </w:rPr>
            </w:pPr>
            <w:r w:rsidRPr="002C1426">
              <w:t>Activities associated wi</w:t>
            </w:r>
            <w:r w:rsidRPr="002C1426">
              <w:t>th normal every day work have a bearing on the decision as to how much and how detailed the data gathered will contribute to its 'richness'. Some skills are more critical to safety and operational requirements while the same skills may be more or less freq</w:t>
            </w:r>
            <w:r w:rsidRPr="002C1426">
              <w:t>uently practiced. These points are raised for the assessors to consider when choosing an assessment method and developing assessment instruments. Sample assessment instruments are included for Assessors in the Assessment Guidelines of this Training Package</w:t>
            </w:r>
            <w:r w:rsidRPr="002C1426">
              <w:t>.</w:t>
            </w:r>
          </w:p>
        </w:tc>
      </w:tr>
      <w:tr w:rsidTr="00E14F79">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Critical aspects of evidence required to demonstrate competency in this unit</w:t>
            </w:r>
          </w:p>
        </w:tc>
        <w:tc>
          <w:tcPr>
            <w:tcW w:w="6434" w:type="dxa"/>
            <w:gridSpan w:val="5"/>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9</w:t>
            </w:r>
            <w:r w:rsidRPr="002C1426">
              <w:t>.</w:t>
            </w:r>
            <w:r w:rsidRPr="002C1426">
              <w:rPr>
                <w:rStyle w:val="SpecialBold"/>
              </w:rPr>
              <w:t>2</w:t>
            </w:r>
            <w:r w:rsidRPr="002C1426">
              <w:t xml:space="preserve">) </w:t>
            </w:r>
          </w:p>
          <w:p w:rsidR="00000000" w:rsidP="002C1426">
            <w:pPr>
              <w:pStyle w:val="BodyText"/>
              <w:rPr>
                <w:lang w:val="en-NZ"/>
              </w:rPr>
            </w:pPr>
            <w:r w:rsidRPr="002C1426">
              <w:t>Before the critical aspects of evidence are considered all prerequisites shall be met.</w:t>
            </w:r>
          </w:p>
        </w:tc>
      </w:tr>
      <w:tr w:rsidTr="00E14F79">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2C1426">
            <w:pPr>
              <w:pStyle w:val="ListBullet"/>
              <w:rPr>
                <w:lang w:val="en-NZ"/>
              </w:rPr>
            </w:pPr>
            <w:r w:rsidRPr="002C1426">
              <w:t xml:space="preserve">A </w:t>
            </w:r>
            <w:r w:rsidRPr="002C1426">
              <w:t>representative body of Performance Criteria demonstrated within the timeframes typically expected of the discipline, work function and industrial environment. In particular this shall incorporate evidence that shows a candidate is able to:</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2C1426" w:rsidP="002C1426">
            <w:pPr>
              <w:pStyle w:val="ListBullet2"/>
            </w:pPr>
            <w:r w:rsidRPr="002C1426">
              <w:t>Implement Occupational Health and Safety workplace procedures and practices including the use of risk control measures as specified in the Performance Criteria and range; and</w:t>
            </w:r>
          </w:p>
          <w:p w:rsidR="00000000" w:rsidRPr="002C1426" w:rsidP="002C1426">
            <w:pPr>
              <w:pStyle w:val="ListBullet2"/>
            </w:pPr>
            <w:r w:rsidRPr="002C1426">
              <w:t>Apply sustainable energy principles and practices as specified in the Performance</w:t>
            </w:r>
            <w:r w:rsidRPr="002C1426">
              <w:t xml:space="preserve"> Criteria and range; and</w:t>
            </w:r>
          </w:p>
          <w:p w:rsidR="00000000" w:rsidRPr="002C1426" w:rsidP="002C1426">
            <w:pPr>
              <w:pStyle w:val="ListBullet2"/>
            </w:pPr>
            <w:r w:rsidRPr="002C1426">
              <w:t>Demonstrate an understanding of the essential knowledge and associated skills as described in this unit to such an extent that the learner's performance outcome is reported in accordance with the preferred approach; namely a percen</w:t>
            </w:r>
            <w:r w:rsidRPr="002C1426">
              <w:t>tile graded result, where required by the regulated environment; and</w:t>
            </w:r>
          </w:p>
          <w:p w:rsidR="00000000" w:rsidRPr="002C1426" w:rsidP="002C1426">
            <w:pPr>
              <w:pStyle w:val="ListBullet2"/>
            </w:pPr>
            <w:r w:rsidRPr="002C1426">
              <w:t>Demonstrate an appropriate level of employability skills; and</w:t>
            </w:r>
          </w:p>
          <w:p w:rsidR="00000000" w:rsidP="002C1426">
            <w:pPr>
              <w:pStyle w:val="ListBullet2"/>
              <w:rPr>
                <w:lang w:val="en-NZ"/>
              </w:rPr>
            </w:pPr>
            <w:r w:rsidRPr="002C1426">
              <w:t>Conduct work observing the relevant Anti Discrimination legislation, regulations, policies and workplace procedures; and</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2C1426">
            <w:pPr>
              <w:pStyle w:val="ListBullet"/>
              <w:rPr>
                <w:lang w:val="en-NZ"/>
              </w:rPr>
            </w:pPr>
            <w:r w:rsidRPr="002C1426">
              <w:t>Demonstrated performance across a representative range of contexts from the prescribed items below:</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2C1426">
            <w:pPr>
              <w:pStyle w:val="BodyText"/>
              <w:keepNext w:val="0"/>
              <w:keepLines w:val="0"/>
              <w:contextualSpacing w:val="0"/>
            </w:pPr>
          </w:p>
        </w:tc>
        <w:tc>
          <w:tcPr>
            <w:tcW w:w="5699"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rPr>
                <w:rStyle w:val="SpecialBold"/>
              </w:rPr>
              <w:t>Range of tools</w:t>
            </w:r>
            <w:r w:rsidRPr="002C1426">
              <w:t>/</w:t>
            </w:r>
            <w:r w:rsidRPr="002C1426">
              <w:rPr>
                <w:rStyle w:val="SpecialBold"/>
              </w:rPr>
              <w:t>equipment</w:t>
            </w:r>
            <w:r w:rsidRPr="002C1426">
              <w:t>/</w:t>
            </w:r>
            <w:r w:rsidRPr="002C1426">
              <w:rPr>
                <w:rStyle w:val="SpecialBold"/>
              </w:rPr>
              <w:t>materials</w:t>
            </w:r>
            <w:r w:rsidRPr="002C1426">
              <w:t>/</w:t>
            </w:r>
            <w:r w:rsidRPr="002C1426">
              <w:rPr>
                <w:rStyle w:val="SpecialBold"/>
              </w:rPr>
              <w:t>procedures</w:t>
            </w:r>
            <w:r w:rsidRPr="002C1426">
              <w:t>/</w:t>
            </w:r>
            <w:r w:rsidRPr="002C1426">
              <w:rPr>
                <w:rStyle w:val="SpecialBold"/>
              </w:rPr>
              <w:t>workplaces</w:t>
            </w:r>
            <w:r w:rsidRPr="002C1426">
              <w:t>/</w:t>
            </w:r>
            <w:r w:rsidRPr="002C1426">
              <w:rPr>
                <w:rStyle w:val="SpecialBold"/>
              </w:rPr>
              <w:t>other variables</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2C1426">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426" w:rsidP="002C1426">
            <w:pPr>
              <w:pStyle w:val="BodyText"/>
            </w:pPr>
            <w:r w:rsidRPr="002C1426">
              <w:rPr>
                <w:rStyle w:val="SpecialBold"/>
              </w:rPr>
              <w:t>Group No</w:t>
            </w:r>
          </w:p>
        </w:tc>
        <w:tc>
          <w:tcPr>
            <w:tcW w:w="20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426" w:rsidP="002C1426">
            <w:pPr>
              <w:pStyle w:val="BodyText"/>
            </w:pPr>
            <w:r w:rsidRPr="002C1426">
              <w:rPr>
                <w:rStyle w:val="SpecialBold"/>
              </w:rPr>
              <w:t>The minimum number of items on which skill is to be demonstrated</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rPr>
                <w:rStyle w:val="SpecialBold"/>
              </w:rPr>
              <w:t>Item List</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t>A</w:t>
            </w:r>
          </w:p>
        </w:tc>
        <w:tc>
          <w:tcPr>
            <w:tcW w:w="20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t>At least two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426" w:rsidP="002C1426">
            <w:pPr>
              <w:pStyle w:val="BodyText"/>
            </w:pPr>
            <w:r w:rsidRPr="002C1426">
              <w:t>Support structure</w:t>
            </w:r>
          </w:p>
          <w:p w:rsidR="00000000" w:rsidRPr="002C1426" w:rsidP="002C1426">
            <w:pPr>
              <w:pStyle w:val="BodyText"/>
            </w:pPr>
            <w:r w:rsidRPr="002C1426">
              <w:t>Span</w:t>
            </w:r>
          </w:p>
          <w:p w:rsidR="00000000" w:rsidRPr="002C1426" w:rsidP="002C1426">
            <w:pPr>
              <w:pStyle w:val="BodyText"/>
            </w:pPr>
            <w:r w:rsidRPr="002C1426">
              <w:t>Section insulator</w:t>
            </w:r>
          </w:p>
          <w:p w:rsidR="00000000" w:rsidRPr="002C1426" w:rsidP="002C1426">
            <w:pPr>
              <w:pStyle w:val="BodyText"/>
            </w:pPr>
            <w:r w:rsidRPr="002C1426">
              <w:t>Neutral section</w:t>
            </w:r>
          </w:p>
          <w:p w:rsidR="00000000" w:rsidRPr="002C1426" w:rsidP="002C1426">
            <w:pPr>
              <w:pStyle w:val="BodyText"/>
            </w:pPr>
            <w:r w:rsidRPr="002C1426">
              <w:t>Midpoint anchor</w:t>
            </w:r>
          </w:p>
          <w:p w:rsidR="00000000" w:rsidRPr="002C1426" w:rsidP="002C1426">
            <w:pPr>
              <w:pStyle w:val="BodyText"/>
            </w:pPr>
            <w:r w:rsidRPr="002C1426">
              <w:t>Support equipment</w:t>
            </w:r>
          </w:p>
          <w:p w:rsidR="00000000" w:rsidP="002C1426">
            <w:pPr>
              <w:pStyle w:val="BodyText"/>
              <w:rPr>
                <w:lang w:val="en-NZ"/>
              </w:rPr>
            </w:pPr>
            <w:r w:rsidRPr="002C1426">
              <w:t>Tension regulators</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t>B</w:t>
            </w:r>
          </w:p>
        </w:tc>
        <w:tc>
          <w:tcPr>
            <w:tcW w:w="20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t>At least two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426" w:rsidP="002C1426">
            <w:pPr>
              <w:pStyle w:val="BodyText"/>
            </w:pPr>
            <w:r w:rsidRPr="002C1426">
              <w:t>Catenary</w:t>
            </w:r>
          </w:p>
          <w:p w:rsidR="00000000" w:rsidRPr="002C1426" w:rsidP="002C1426">
            <w:pPr>
              <w:pStyle w:val="BodyText"/>
            </w:pPr>
            <w:r w:rsidRPr="002C1426">
              <w:t>Dropper</w:t>
            </w:r>
          </w:p>
          <w:p w:rsidR="00000000" w:rsidP="002C1426">
            <w:pPr>
              <w:pStyle w:val="BodyText"/>
              <w:rPr>
                <w:lang w:val="en-NZ"/>
              </w:rPr>
            </w:pPr>
            <w:r w:rsidRPr="002C1426">
              <w:t xml:space="preserve">Contact feeder </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t>C</w:t>
            </w:r>
          </w:p>
        </w:tc>
        <w:tc>
          <w:tcPr>
            <w:tcW w:w="20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t>At least one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426" w:rsidP="002C1426">
            <w:pPr>
              <w:pStyle w:val="BodyText"/>
            </w:pPr>
            <w:r w:rsidRPr="002C1426">
              <w:t>Insulated elevating work platform</w:t>
            </w:r>
          </w:p>
          <w:p w:rsidR="00000000" w:rsidRPr="002C1426" w:rsidP="002C1426">
            <w:pPr>
              <w:pStyle w:val="BodyText"/>
            </w:pPr>
            <w:r w:rsidRPr="002C1426">
              <w:t>Insulated ladder</w:t>
            </w:r>
          </w:p>
          <w:p w:rsidR="00000000" w:rsidP="002C1426">
            <w:pPr>
              <w:pStyle w:val="BodyText"/>
              <w:rPr>
                <w:lang w:val="en-NZ"/>
              </w:rPr>
            </w:pPr>
            <w:r w:rsidRPr="002C1426">
              <w:t>Insulated mobile platform</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t>D</w:t>
            </w:r>
          </w:p>
        </w:tc>
        <w:tc>
          <w:tcPr>
            <w:tcW w:w="20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t>At least two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426" w:rsidP="002C1426">
            <w:pPr>
              <w:pStyle w:val="BodyText"/>
            </w:pPr>
            <w:r w:rsidRPr="002C1426">
              <w:t>Specialised insulated tools</w:t>
            </w:r>
          </w:p>
          <w:p w:rsidR="00000000" w:rsidRPr="002C1426" w:rsidP="002C1426">
            <w:pPr>
              <w:pStyle w:val="BodyText"/>
            </w:pPr>
            <w:r w:rsidRPr="002C1426">
              <w:t>Insulated sticks</w:t>
            </w:r>
          </w:p>
          <w:p w:rsidR="00000000" w:rsidRPr="002C1426" w:rsidP="002C1426">
            <w:pPr>
              <w:pStyle w:val="BodyText"/>
            </w:pPr>
            <w:r w:rsidRPr="002C1426">
              <w:t>Tensioning equipment</w:t>
            </w:r>
          </w:p>
          <w:p w:rsidR="00000000" w:rsidP="002C1426">
            <w:pPr>
              <w:pStyle w:val="BodyText"/>
              <w:rPr>
                <w:lang w:val="en-NZ"/>
              </w:rPr>
            </w:pPr>
            <w:r w:rsidRPr="002C1426">
              <w:t>Geometry profiling equipment.</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t>E</w:t>
            </w:r>
          </w:p>
        </w:tc>
        <w:tc>
          <w:tcPr>
            <w:tcW w:w="20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t>At least two of the following:</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426" w:rsidP="002C1426">
            <w:pPr>
              <w:pStyle w:val="BodyText"/>
            </w:pPr>
            <w:r w:rsidRPr="002C1426">
              <w:t>Air-break switches</w:t>
            </w:r>
          </w:p>
          <w:p w:rsidR="00000000" w:rsidRPr="002C1426" w:rsidP="002C1426">
            <w:pPr>
              <w:pStyle w:val="BodyText"/>
            </w:pPr>
            <w:r w:rsidRPr="002C1426">
              <w:t>Insulators</w:t>
            </w:r>
          </w:p>
          <w:p w:rsidR="00000000" w:rsidRPr="002C1426" w:rsidP="002C1426">
            <w:pPr>
              <w:pStyle w:val="BodyText"/>
            </w:pPr>
            <w:r w:rsidRPr="002C1426">
              <w:t>Surge arrestors</w:t>
            </w:r>
          </w:p>
          <w:p w:rsidR="00000000" w:rsidP="002C1426">
            <w:pPr>
              <w:pStyle w:val="BodyText"/>
              <w:rPr>
                <w:lang w:val="en-NZ"/>
              </w:rPr>
            </w:pPr>
            <w:r w:rsidRPr="002C1426">
              <w:t>Hardware and fittings</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t>F</w:t>
            </w:r>
          </w:p>
        </w:tc>
        <w:tc>
          <w:tcPr>
            <w:tcW w:w="20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t>At least one occasion</w:t>
            </w:r>
          </w:p>
        </w:tc>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426">
            <w:pPr>
              <w:pStyle w:val="BodyText"/>
              <w:rPr>
                <w:lang w:val="en-NZ"/>
              </w:rPr>
            </w:pPr>
            <w:r w:rsidRPr="002C1426">
              <w:t>Dealing with an unplanned event by drawing on essential knowledge and associated skills to provide appropriate solutions incorporated in the holistic assessment with the above listed items.</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Context of and specific resources for assessment</w:t>
            </w:r>
          </w:p>
        </w:tc>
        <w:tc>
          <w:tcPr>
            <w:tcW w:w="6434" w:type="dxa"/>
            <w:gridSpan w:val="5"/>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9</w:t>
            </w:r>
            <w:r w:rsidRPr="002C1426">
              <w:t>.</w:t>
            </w:r>
            <w:r w:rsidRPr="002C1426">
              <w:rPr>
                <w:rStyle w:val="SpecialBold"/>
              </w:rPr>
              <w:t>3</w:t>
            </w:r>
            <w:r w:rsidRPr="002C1426">
              <w:t xml:space="preserve">) </w:t>
            </w:r>
          </w:p>
          <w:p w:rsidR="00000000" w:rsidRPr="002C1426" w:rsidP="002C1426">
            <w:pPr>
              <w:pStyle w:val="BodyText"/>
            </w:pPr>
            <w:r w:rsidRPr="002C1426">
              <w:t xml:space="preserve">This unit </w:t>
            </w:r>
            <w:r w:rsidRPr="002C1426">
              <w:t>should be assessed as it relates to normal work practice using procedures, information and resources typical of a workplace. This should include:</w:t>
            </w:r>
          </w:p>
          <w:p w:rsidR="00000000" w:rsidRPr="002C1426" w:rsidP="002C1426">
            <w:pPr>
              <w:pStyle w:val="ListBullet"/>
            </w:pPr>
            <w:r w:rsidRPr="002C1426">
              <w:t>OHS policy and work procedures and instructions.</w:t>
            </w:r>
          </w:p>
          <w:p w:rsidR="00000000" w:rsidP="002C1426">
            <w:pPr>
              <w:pStyle w:val="ListBullet"/>
              <w:rPr>
                <w:lang w:val="en-NZ"/>
              </w:rPr>
            </w:pPr>
            <w:r w:rsidRPr="002C1426">
              <w:t>Suitable work environment, facilities, equipment and material</w:t>
            </w:r>
            <w:r w:rsidRPr="002C1426">
              <w:t>s to undertake actual maintenance of energised traction overhead electrical apparatus.</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 xml:space="preserve">In addition to the resources listed above, in Context of and specific resources for assessment, evidence should show demonstrated competency </w:t>
            </w:r>
            <w:r w:rsidRPr="002C1426">
              <w:t xml:space="preserve">working at realistic heights above ground i.e. above 3 metres, in limited spaces, with different structural/construction types and method and in a variety of environments. </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Method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9</w:t>
            </w:r>
            <w:r w:rsidRPr="002C1426">
              <w:t>.</w:t>
            </w:r>
            <w:r w:rsidRPr="002C1426">
              <w:rPr>
                <w:rStyle w:val="SpecialBold"/>
              </w:rPr>
              <w:t>4</w:t>
            </w:r>
            <w:r w:rsidRPr="002C1426">
              <w:t xml:space="preserve">) </w:t>
            </w:r>
          </w:p>
          <w:p w:rsidR="00000000" w:rsidRPr="002C1426" w:rsidP="002C1426">
            <w:pPr>
              <w:pStyle w:val="BodyText"/>
            </w:pPr>
            <w:r w:rsidRPr="002C1426">
              <w:t xml:space="preserve">This Competency Standard Unit shall be assessed by </w:t>
            </w:r>
            <w:r w:rsidRPr="002C1426">
              <w:t>methods given in Volume 1, Part 3 "Assessment Guidelines".</w:t>
            </w:r>
          </w:p>
          <w:p w:rsidR="00000000" w:rsidP="002C1426">
            <w:pPr>
              <w:pStyle w:val="BodyText"/>
              <w:rPr>
                <w:lang w:val="en-NZ"/>
              </w:rPr>
            </w:pPr>
            <w:r w:rsidRPr="002C1426">
              <w:t>Note:</w:t>
            </w:r>
            <w:r w:rsidRPr="002C1426">
              <w:br/>
              <w:t>Competent performance with inherent safe working practices is expected in the Transmission, Distribution and Rail Traction Industry. This requires that the specified essential knowledge and a</w:t>
            </w:r>
            <w:r w:rsidRPr="002C1426">
              <w:t>ssociated skills are assessed in a structured environment which is primarily intended for learning/assessment and incorporates all necessary equipment and facilities for learners to develop and demonstrate the essential knowledge and associated skills desc</w:t>
            </w:r>
            <w:r w:rsidRPr="002C1426">
              <w:t>ribed in this unit.</w:t>
            </w:r>
          </w:p>
        </w:tc>
      </w:tr>
      <w:tr w:rsidTr="00E14F79">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Concurrent assessment and relationship with other units</w:t>
            </w:r>
          </w:p>
        </w:tc>
        <w:tc>
          <w:tcPr>
            <w:tcW w:w="6434" w:type="dxa"/>
            <w:gridSpan w:val="5"/>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rPr>
                <w:rStyle w:val="SpecialBold"/>
              </w:rPr>
              <w:t>9</w:t>
            </w:r>
            <w:r w:rsidRPr="002C1426">
              <w:t>.</w:t>
            </w:r>
            <w:r w:rsidRPr="002C1426">
              <w:rPr>
                <w:rStyle w:val="SpecialBold"/>
              </w:rPr>
              <w:t>5</w:t>
            </w:r>
            <w:r w:rsidRPr="002C1426">
              <w:t>)</w:t>
            </w:r>
          </w:p>
        </w:tc>
      </w:tr>
      <w:tr w:rsidTr="00E14F79">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 xml:space="preserve">For optimisation of training and assessment effort, competence in this unit may be assessed concurrently with the following units: </w:t>
            </w:r>
          </w:p>
        </w:tc>
      </w:tr>
      <w:tr w:rsidTr="00E14F79">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UETTDRRT13B</w:t>
            </w:r>
          </w:p>
        </w:tc>
        <w:tc>
          <w:tcPr>
            <w:tcW w:w="4412" w:type="dxa"/>
            <w:gridSpan w:val="2"/>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t>Maintain energised traction overhead electrical apparatus (glove)</w:t>
            </w:r>
          </w:p>
        </w:tc>
      </w:tr>
    </w:tbl>
    <w:p w:rsidR="00E14F79" w:rsidP="002C1426">
      <w:pPr>
        <w:pStyle w:val="BodyText"/>
      </w:pPr>
    </w:p>
    <w:p w:rsidR="00E14F79" w:rsidP="002C1426">
      <w:pPr>
        <w:pStyle w:val="BodyText"/>
      </w:pPr>
    </w:p>
    <w:p w:rsidR="00000000" w:rsidRPr="002C1426" w:rsidP="002C1426">
      <w:pPr>
        <w:pStyle w:val="Heading1"/>
      </w:pPr>
      <w:bookmarkStart w:id="11" w:name="O_256197"/>
      <w:bookmarkEnd w:id="11"/>
      <w:r w:rsidRPr="002C1426">
        <w:t>Range Statement</w:t>
      </w:r>
    </w:p>
    <w:tbl>
      <w:tblPr>
        <w:tblW w:w="0" w:type="auto"/>
        <w:tblLayout w:type="fixed"/>
        <w:tblCellMar>
          <w:left w:w="62" w:type="dxa"/>
          <w:right w:w="62" w:type="dxa"/>
        </w:tblCellMar>
        <w:tblLook w:val="0000"/>
      </w:tblPr>
      <w:tblGrid>
        <w:gridCol w:w="2206"/>
        <w:gridCol w:w="6434"/>
      </w:tblGrid>
      <w:tr w:rsidTr="00E14F7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rPr>
                <w:rStyle w:val="SpecialBold"/>
              </w:rPr>
              <w:t>RANGE STATEMENT</w:t>
            </w:r>
          </w:p>
        </w:tc>
      </w:tr>
      <w:tr w:rsidTr="00E14F7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rPr>
                <w:rStyle w:val="SpecialBold"/>
              </w:rPr>
              <w:t>8</w:t>
            </w:r>
            <w:r w:rsidRPr="002C1426">
              <w:t xml:space="preserve">) This relates to the competency standard unit as a whole providing the range of contexts and conditions </w:t>
            </w:r>
            <w:r w:rsidRPr="002C1426">
              <w:t>to which the Performance Criteria apply. It allows for different work environments and situations that will affect performance.</w:t>
            </w:r>
          </w:p>
        </w:tc>
      </w:tr>
      <w:tr w:rsidTr="00E14F7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t>This Competency Standard Unit shall/may be demonstrated in relation to the maintenance of energised traction overhead electric</w:t>
            </w:r>
            <w:r w:rsidRPr="002C1426">
              <w:t>al apparatus by the adoption of live line insulated stick techniques, without the need to interrupt traction power supply during the course of work undertaking. Competency shall be demonstrated in relation to the maintenance, visual inspection and pre-comm</w:t>
            </w:r>
            <w:r w:rsidRPr="002C1426">
              <w:t xml:space="preserve">issioning tests of the overhead traction electrical equipment and components as well as associated hardware including ancillary equipment. </w:t>
            </w:r>
          </w:p>
          <w:p w:rsidR="00000000" w:rsidRPr="002C1426" w:rsidP="002C1426">
            <w:pPr>
              <w:pStyle w:val="BodyText"/>
            </w:pPr>
            <w:r w:rsidRPr="002C1426">
              <w:t>Maintenance may include the carrying out of diagnostics and tests on conductors, equipment, systems as well as the r</w:t>
            </w:r>
            <w:r w:rsidRPr="002C1426">
              <w:t xml:space="preserve">emoval, repair and replacement of cables, conductors, and associated hardware and returning such to operational service. </w:t>
            </w:r>
          </w:p>
          <w:p w:rsidR="00000000" w:rsidRPr="002C1426" w:rsidP="002C1426">
            <w:pPr>
              <w:pStyle w:val="BodyText"/>
            </w:pPr>
            <w:r w:rsidRPr="002C1426">
              <w:t>Types of traction wire support structures may consist of portals, pull-off, drop-pieces, head spans, and cross spans.</w:t>
            </w:r>
          </w:p>
          <w:p w:rsidR="00000000" w:rsidRPr="002C1426" w:rsidP="002C1426">
            <w:pPr>
              <w:pStyle w:val="BodyText"/>
            </w:pPr>
            <w:r w:rsidRPr="002C1426">
              <w:t>Types of tractio</w:t>
            </w:r>
            <w:r w:rsidRPr="002C1426">
              <w:t>n components may include switches, surge arresters, insulators, droppers, bay components, cantilever hardware, portal hardware, steady spans hardware, steady spans, insulators, pull-off arms, tension regulators, section insulators, neutral sections, air br</w:t>
            </w:r>
            <w:r w:rsidRPr="002C1426">
              <w:t>eak switches, in span feeders, isolation switches, knuckles (insulated and non-insulated) and cross arms.</w:t>
            </w:r>
          </w:p>
          <w:p w:rsidR="00000000" w:rsidRPr="002C1426" w:rsidP="002C1426">
            <w:pPr>
              <w:pStyle w:val="BodyText"/>
            </w:pPr>
            <w:r w:rsidRPr="002C1426">
              <w:t>Traction system components may consist of metalwork, wires, hardware, fittings and insulators.</w:t>
            </w:r>
          </w:p>
          <w:p w:rsidR="00000000" w:rsidRPr="002C1426" w:rsidP="002C1426">
            <w:pPr>
              <w:pStyle w:val="BodyText"/>
            </w:pPr>
            <w:r w:rsidRPr="002C1426">
              <w:t>Types of conductor may include HD, CAD, and Tin Bearing</w:t>
            </w:r>
            <w:r w:rsidRPr="002C1426">
              <w:t xml:space="preserve"> copper, aluminium, steel, aluminium conductor steel reinforced, copper cover steel.</w:t>
            </w:r>
          </w:p>
          <w:p w:rsidR="00000000" w:rsidRPr="002C1426" w:rsidP="002C1426">
            <w:pPr>
              <w:pStyle w:val="BodyText"/>
            </w:pPr>
            <w:r w:rsidRPr="002C1426">
              <w:t>Types of wiring arrangements include single wire systems, simple and compound catenary systems.</w:t>
            </w:r>
          </w:p>
          <w:p w:rsidR="00000000" w:rsidRPr="002C1426" w:rsidP="002C1426">
            <w:pPr>
              <w:pStyle w:val="BodyText"/>
            </w:pPr>
            <w:r w:rsidRPr="002C1426">
              <w:t>Plant may include live-line tools, insulated ladders, insulated elevating w</w:t>
            </w:r>
            <w:r w:rsidRPr="002C1426">
              <w:t>ork platforms/vehicles/trains, specialist tension string equipment, wire drums</w:t>
            </w:r>
          </w:p>
          <w:p w:rsidR="00000000" w:rsidP="002C1426">
            <w:pPr>
              <w:pStyle w:val="BodyText"/>
              <w:rPr>
                <w:lang w:val="en-NZ"/>
              </w:rPr>
            </w:pPr>
            <w:r w:rsidRPr="002C1426">
              <w:t>The following constants and variables included in the element/Performance Criteria in this unit are fully described in the Definitions Section 1 of this volume and form an integ</w:t>
            </w:r>
            <w:r w:rsidRPr="002C1426">
              <w:t>ral part of the Range Statement of this unit:</w:t>
            </w:r>
          </w:p>
        </w:tc>
      </w:tr>
      <w:tr w:rsidTr="00E14F7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2C1426" w:rsidP="002C1426">
            <w:pPr>
              <w:pStyle w:val="ListBullet"/>
            </w:pPr>
            <w:r w:rsidRPr="002C1426">
              <w:t>Appropriate and relevant persons (see Personnel)</w:t>
            </w:r>
          </w:p>
          <w:p w:rsidR="00000000" w:rsidRPr="002C1426" w:rsidP="002C1426">
            <w:pPr>
              <w:pStyle w:val="ListBullet"/>
            </w:pPr>
            <w:r w:rsidRPr="002C1426">
              <w:t xml:space="preserve">Appropriate authorities </w:t>
            </w:r>
          </w:p>
          <w:p w:rsidR="00000000" w:rsidRPr="002C1426" w:rsidP="002C1426">
            <w:pPr>
              <w:pStyle w:val="ListBullet"/>
            </w:pPr>
            <w:r w:rsidRPr="002C1426">
              <w:t>Appropriate work platform</w:t>
            </w:r>
          </w:p>
          <w:p w:rsidR="00000000" w:rsidRPr="002C1426" w:rsidP="002C1426">
            <w:pPr>
              <w:pStyle w:val="ListBullet"/>
            </w:pPr>
            <w:r w:rsidRPr="002C1426">
              <w:t>Assessing risk</w:t>
            </w:r>
          </w:p>
          <w:p w:rsidR="00000000" w:rsidRPr="002C1426" w:rsidP="002C1426">
            <w:pPr>
              <w:pStyle w:val="ListBullet"/>
            </w:pPr>
            <w:r w:rsidRPr="002C1426">
              <w:t>Assessment</w:t>
            </w:r>
          </w:p>
          <w:p w:rsidR="00000000" w:rsidRPr="002C1426" w:rsidP="002C1426">
            <w:pPr>
              <w:pStyle w:val="ListBullet"/>
            </w:pPr>
            <w:r w:rsidRPr="002C1426">
              <w:t>Authorisation</w:t>
            </w:r>
          </w:p>
          <w:p w:rsidR="00000000" w:rsidRPr="002C1426" w:rsidP="002C1426">
            <w:pPr>
              <w:pStyle w:val="ListBullet"/>
            </w:pPr>
            <w:r w:rsidRPr="002C1426">
              <w:t>Confined space</w:t>
            </w:r>
          </w:p>
          <w:p w:rsidR="00000000" w:rsidRPr="002C1426" w:rsidP="002C1426">
            <w:pPr>
              <w:pStyle w:val="ListBullet"/>
            </w:pPr>
            <w:r w:rsidRPr="002C1426">
              <w:t>Diagnostic, testing and restoration</w:t>
            </w:r>
          </w:p>
          <w:p w:rsidR="00000000" w:rsidRPr="002C1426" w:rsidP="002C1426">
            <w:pPr>
              <w:pStyle w:val="ListBullet"/>
            </w:pPr>
            <w:r w:rsidRPr="002C1426">
              <w:t>Documenting detail work events, record keeping and or storage of information</w:t>
            </w:r>
          </w:p>
          <w:p w:rsidR="00000000" w:rsidRPr="002C1426" w:rsidP="002C1426">
            <w:pPr>
              <w:pStyle w:val="ListBullet"/>
            </w:pPr>
            <w:r w:rsidRPr="002C1426">
              <w:t>Drawings and specifications</w:t>
            </w:r>
          </w:p>
          <w:p w:rsidR="00000000" w:rsidRPr="002C1426" w:rsidP="002C1426">
            <w:pPr>
              <w:pStyle w:val="ListBullet"/>
            </w:pPr>
            <w:r w:rsidRPr="002C1426">
              <w:t>Emergency</w:t>
            </w:r>
          </w:p>
          <w:p w:rsidR="00000000" w:rsidRPr="002C1426" w:rsidP="002C1426">
            <w:pPr>
              <w:pStyle w:val="ListBullet"/>
            </w:pPr>
            <w:r w:rsidRPr="002C1426">
              <w:t>Environmental and sustainable energy procedures</w:t>
            </w:r>
          </w:p>
          <w:p w:rsidR="00000000" w:rsidRPr="002C1426" w:rsidP="002C1426">
            <w:pPr>
              <w:pStyle w:val="ListBullet"/>
            </w:pPr>
            <w:r w:rsidRPr="002C1426">
              <w:t>Environmental legislation</w:t>
            </w:r>
          </w:p>
          <w:p w:rsidR="00000000" w:rsidRPr="002C1426" w:rsidP="002C1426">
            <w:pPr>
              <w:pStyle w:val="ListBullet"/>
            </w:pPr>
            <w:r w:rsidRPr="002C1426">
              <w:t>Environmental management documentation</w:t>
            </w:r>
          </w:p>
          <w:p w:rsidR="00000000" w:rsidRPr="002C1426" w:rsidP="002C1426">
            <w:pPr>
              <w:pStyle w:val="ListBullet"/>
            </w:pPr>
            <w:r w:rsidRPr="002C1426">
              <w:t>Established procedures</w:t>
            </w:r>
          </w:p>
          <w:p w:rsidR="00000000" w:rsidRPr="002C1426" w:rsidP="002C1426">
            <w:pPr>
              <w:pStyle w:val="ListBullet"/>
            </w:pPr>
            <w:r w:rsidRPr="002C1426">
              <w:t xml:space="preserve">Fall </w:t>
            </w:r>
            <w:r w:rsidRPr="002C1426">
              <w:t>prevention</w:t>
            </w:r>
          </w:p>
          <w:p w:rsidR="00000000" w:rsidRPr="002C1426" w:rsidP="002C1426">
            <w:pPr>
              <w:pStyle w:val="ListBullet"/>
            </w:pPr>
            <w:r w:rsidRPr="002C1426">
              <w:t>Hazards</w:t>
            </w:r>
          </w:p>
          <w:p w:rsidR="00000000" w:rsidRPr="002C1426" w:rsidP="002C1426">
            <w:pPr>
              <w:pStyle w:val="ListBullet"/>
            </w:pPr>
            <w:r w:rsidRPr="002C1426">
              <w:t>Identifying hazards</w:t>
            </w:r>
          </w:p>
          <w:p w:rsidR="00000000" w:rsidRPr="002C1426" w:rsidP="002C1426">
            <w:pPr>
              <w:pStyle w:val="ListBullet"/>
            </w:pPr>
            <w:r w:rsidRPr="002C1426">
              <w:t>Inspect</w:t>
            </w:r>
          </w:p>
          <w:p w:rsidR="00000000" w:rsidRPr="002C1426" w:rsidP="002C1426">
            <w:pPr>
              <w:pStyle w:val="ListBullet"/>
            </w:pPr>
            <w:r w:rsidRPr="002C1426">
              <w:t>Legislation</w:t>
            </w:r>
          </w:p>
          <w:p w:rsidR="00000000" w:rsidRPr="002C1426" w:rsidP="002C1426">
            <w:pPr>
              <w:pStyle w:val="ListBullet"/>
            </w:pPr>
            <w:r w:rsidRPr="002C1426">
              <w:t>MSDS</w:t>
            </w:r>
          </w:p>
          <w:p w:rsidR="00000000" w:rsidRPr="002C1426" w:rsidP="002C1426">
            <w:pPr>
              <w:pStyle w:val="ListBullet"/>
            </w:pPr>
            <w:r w:rsidRPr="002C1426">
              <w:t>Notification</w:t>
            </w:r>
          </w:p>
          <w:p w:rsidR="00000000" w:rsidRPr="002C1426" w:rsidP="002C1426">
            <w:pPr>
              <w:pStyle w:val="ListBullet"/>
            </w:pPr>
            <w:r w:rsidRPr="002C1426">
              <w:t>OHS practices</w:t>
            </w:r>
          </w:p>
          <w:p w:rsidR="00000000" w:rsidRPr="002C1426" w:rsidP="002C1426">
            <w:pPr>
              <w:pStyle w:val="ListBullet"/>
            </w:pPr>
            <w:r w:rsidRPr="002C1426">
              <w:t>OHS issues</w:t>
            </w:r>
          </w:p>
          <w:p w:rsidR="00000000" w:rsidRPr="002C1426" w:rsidP="002C1426">
            <w:pPr>
              <w:pStyle w:val="ListBullet"/>
            </w:pPr>
            <w:r w:rsidRPr="002C1426">
              <w:t>Permits and/or permits to work</w:t>
            </w:r>
          </w:p>
          <w:p w:rsidR="00000000" w:rsidRPr="002C1426" w:rsidP="002C1426">
            <w:pPr>
              <w:pStyle w:val="ListBullet"/>
            </w:pPr>
            <w:r w:rsidRPr="002C1426">
              <w:t>Personnel</w:t>
            </w:r>
          </w:p>
          <w:p w:rsidR="00000000" w:rsidRPr="002C1426" w:rsidP="002C1426">
            <w:pPr>
              <w:pStyle w:val="ListBullet"/>
            </w:pPr>
            <w:r w:rsidRPr="002C1426">
              <w:t>Quality assurance systems</w:t>
            </w:r>
          </w:p>
          <w:p w:rsidR="00000000" w:rsidRPr="002C1426" w:rsidP="002C1426">
            <w:pPr>
              <w:pStyle w:val="ListBullet"/>
            </w:pPr>
            <w:r w:rsidRPr="002C1426">
              <w:t>Requirements</w:t>
            </w:r>
          </w:p>
          <w:p w:rsidR="00000000" w:rsidRPr="002C1426" w:rsidP="002C1426">
            <w:pPr>
              <w:pStyle w:val="ListBullet"/>
            </w:pPr>
            <w:r w:rsidRPr="002C1426">
              <w:t>Testing procedures</w:t>
            </w:r>
          </w:p>
          <w:p w:rsidR="00000000" w:rsidRPr="002C1426" w:rsidP="002C1426">
            <w:pPr>
              <w:pStyle w:val="ListBullet"/>
            </w:pPr>
            <w:r w:rsidRPr="002C1426">
              <w:t>Work clearance systems</w:t>
            </w:r>
          </w:p>
        </w:tc>
      </w:tr>
    </w:tbl>
    <w:p w:rsidR="00E14F79" w:rsidP="002C1426">
      <w:pPr>
        <w:pStyle w:val="BodyText"/>
      </w:pPr>
    </w:p>
    <w:p w:rsidR="00E14F79" w:rsidP="002C1426">
      <w:pPr>
        <w:pStyle w:val="BodyText"/>
      </w:pPr>
    </w:p>
    <w:p w:rsidR="00000000" w:rsidRPr="002C1426" w:rsidP="002C1426">
      <w:pPr>
        <w:pStyle w:val="Heading1"/>
      </w:pPr>
      <w:bookmarkStart w:id="12" w:name="O_297210"/>
      <w:bookmarkEnd w:id="12"/>
      <w:r w:rsidRPr="002C1426">
        <w:t>Unit Sector(s)</w:t>
      </w:r>
    </w:p>
    <w:p w:rsidR="00000000" w:rsidRPr="002C1426" w:rsidP="002C1426">
      <w:pPr>
        <w:pStyle w:val="BodyText"/>
      </w:pPr>
      <w:r w:rsidRPr="002C1426">
        <w:t>Not Applicable</w:t>
      </w:r>
    </w:p>
    <w:p w:rsidR="00000000" w:rsidRPr="002C1426" w:rsidP="002C1426">
      <w:pPr>
        <w:pStyle w:val="AllowPageBreak"/>
      </w:pPr>
    </w:p>
    <w:p w:rsidR="00000000" w:rsidRPr="002C1426" w:rsidP="002C1426">
      <w:pPr>
        <w:pStyle w:val="Heading1"/>
      </w:pPr>
      <w:bookmarkStart w:id="13" w:name="O_231763"/>
      <w:bookmarkEnd w:id="13"/>
      <w:r w:rsidRPr="002C1426">
        <w:t>2.2) Literacy and numeracy skills</w:t>
      </w:r>
    </w:p>
    <w:tbl>
      <w:tblPr>
        <w:tblW w:w="0" w:type="auto"/>
        <w:tblLayout w:type="fixed"/>
        <w:tblCellMar>
          <w:left w:w="62" w:type="dxa"/>
          <w:right w:w="62" w:type="dxa"/>
        </w:tblCellMar>
        <w:tblLook w:val="0000"/>
      </w:tblPr>
      <w:tblGrid>
        <w:gridCol w:w="1483"/>
        <w:gridCol w:w="1209"/>
        <w:gridCol w:w="1776"/>
        <w:gridCol w:w="1207"/>
        <w:gridCol w:w="1758"/>
        <w:gridCol w:w="1207"/>
      </w:tblGrid>
      <w:tr w:rsidTr="00E14F79">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2</w:t>
            </w:r>
            <w:r w:rsidRPr="002C1426">
              <w:t>.</w:t>
            </w:r>
            <w:r w:rsidRPr="002C1426">
              <w:rPr>
                <w:rStyle w:val="SpecialBold"/>
              </w:rPr>
              <w:t>2</w:t>
            </w:r>
            <w:r w:rsidRPr="002C1426">
              <w:t xml:space="preserve">) </w:t>
            </w:r>
            <w:r w:rsidRPr="002C1426">
              <w:rPr>
                <w:rStyle w:val="SpecialBold"/>
              </w:rPr>
              <w:t>Literacy and numeracy skills</w:t>
            </w:r>
          </w:p>
          <w:p w:rsidR="00000000" w:rsidP="002C1426">
            <w:pPr>
              <w:pStyle w:val="BodyText"/>
              <w:rPr>
                <w:lang w:val="en-NZ"/>
              </w:rPr>
            </w:pPr>
            <w:r w:rsidRPr="002C1426">
              <w:t>Participants are best equipped to achieve this unit if they have reading, writing and numeracy skills indicated by the following scales. Desc</w:t>
            </w:r>
            <w:r w:rsidRPr="002C1426">
              <w:t>ription of each scale is given in Volume 2, Part 3 "Literacy and Numeracy"</w:t>
            </w:r>
          </w:p>
        </w:tc>
      </w:tr>
      <w:tr w:rsidTr="00E14F79">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Reading</w:t>
            </w:r>
          </w:p>
        </w:tc>
        <w:tc>
          <w:tcPr>
            <w:tcW w:w="1209"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4</w:t>
            </w:r>
          </w:p>
        </w:tc>
        <w:tc>
          <w:tcPr>
            <w:tcW w:w="1776"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Writing</w:t>
            </w:r>
          </w:p>
        </w:tc>
        <w:tc>
          <w:tcPr>
            <w:tcW w:w="1207"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4</w:t>
            </w:r>
          </w:p>
        </w:tc>
        <w:tc>
          <w:tcPr>
            <w:tcW w:w="1758"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t>Numeracy</w:t>
            </w:r>
          </w:p>
        </w:tc>
        <w:tc>
          <w:tcPr>
            <w:tcW w:w="1207"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t>4</w:t>
            </w:r>
          </w:p>
        </w:tc>
      </w:tr>
    </w:tbl>
    <w:p w:rsidR="00E14F79" w:rsidP="002C1426">
      <w:pPr>
        <w:pStyle w:val="BodyText"/>
      </w:pPr>
    </w:p>
    <w:p w:rsidR="00E14F79" w:rsidP="002C1426">
      <w:pPr>
        <w:pStyle w:val="BodyText"/>
      </w:pPr>
    </w:p>
    <w:p w:rsidR="00000000" w:rsidRPr="002C1426" w:rsidP="002C1426">
      <w:pPr>
        <w:pStyle w:val="Heading1"/>
      </w:pPr>
      <w:bookmarkStart w:id="14" w:name="O_231766"/>
      <w:bookmarkEnd w:id="14"/>
      <w:r w:rsidRPr="002C1426">
        <w:t>Competency Field</w:t>
      </w:r>
    </w:p>
    <w:tbl>
      <w:tblPr>
        <w:tblW w:w="0" w:type="auto"/>
        <w:tblLayout w:type="fixed"/>
        <w:tblCellMar>
          <w:left w:w="62" w:type="dxa"/>
          <w:right w:w="62" w:type="dxa"/>
        </w:tblCellMar>
        <w:tblLook w:val="0000"/>
      </w:tblPr>
      <w:tblGrid>
        <w:gridCol w:w="2757"/>
        <w:gridCol w:w="5883"/>
      </w:tblGrid>
      <w:tr w:rsidTr="00E14F79">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2C1426">
            <w:pPr>
              <w:pStyle w:val="BodyText"/>
              <w:rPr>
                <w:lang w:val="en-NZ"/>
              </w:rPr>
            </w:pPr>
            <w:r w:rsidRPr="002C1426">
              <w:rPr>
                <w:rStyle w:val="SpecialBold"/>
              </w:rPr>
              <w:t>5</w:t>
            </w:r>
            <w:r w:rsidRPr="002C1426">
              <w:t>)</w:t>
            </w:r>
          </w:p>
        </w:tc>
      </w:tr>
      <w:tr w:rsidTr="00E14F7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2C1426" w:rsidP="002C1426">
            <w:pPr>
              <w:pStyle w:val="BodyText"/>
            </w:pPr>
            <w:r w:rsidRPr="002C1426">
              <w:t>Rail Traction Units</w:t>
            </w:r>
          </w:p>
        </w:tc>
      </w:tr>
    </w:tbl>
    <w:p w:rsidR="00E14F79" w:rsidP="002C1426">
      <w:pPr>
        <w:pStyle w:val="BodyText"/>
      </w:pPr>
    </w:p>
    <w:p w:rsidR="00E14F79" w:rsidP="002C1426">
      <w:pPr>
        <w:pStyle w:val="BodyText"/>
      </w:pPr>
    </w:p>
    <w:p w:rsidR="00000000" w:rsidRPr="002C1426" w:rsidP="002C1426"/>
    <w:sectPr w:rsidSect="002C14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4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F79" w:rsidP="00E14F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4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79" w:rsidP="002C14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14F79" w:rsidP="002C14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14F79" w:rsidP="002C14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4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426" w:rsidRPr="00E14F79" w:rsidP="00E14F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4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79" w:rsidRPr="002D2AF8" w:rsidP="002C1426">
    <w:pPr>
      <w:pStyle w:val="Header"/>
      <w:framePr w:wrap="around"/>
    </w:pPr>
    <w:r>
      <w:fldChar w:fldCharType="begin"/>
    </w:r>
    <w:r>
      <w:instrText xml:space="preserve"> TITLE   \* MERGEFORMAT </w:instrText>
    </w:r>
    <w:r>
      <w:fldChar w:fldCharType="separate"/>
    </w:r>
    <w:r>
      <w:t>UETTDRRT12B Maintain energised traction overhead electrical apparatus (stick)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14F79" w:rsidP="002C14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DEA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C45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E4A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4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426"/>
    <w:pPr>
      <w:spacing w:before="360" w:after="60"/>
      <w:outlineLvl w:val="0"/>
    </w:pPr>
    <w:rPr>
      <w:sz w:val="32"/>
    </w:rPr>
  </w:style>
  <w:style w:type="paragraph" w:styleId="Heading2">
    <w:name w:val="heading 2"/>
    <w:basedOn w:val="HeadingBase"/>
    <w:next w:val="BodyText"/>
    <w:link w:val="Heading2Char"/>
    <w:qFormat/>
    <w:rsid w:val="002C1426"/>
    <w:pPr>
      <w:keepLines/>
      <w:spacing w:before="240" w:after="120"/>
      <w:outlineLvl w:val="1"/>
    </w:pPr>
    <w:rPr>
      <w:sz w:val="28"/>
      <w:szCs w:val="40"/>
    </w:rPr>
  </w:style>
  <w:style w:type="paragraph" w:styleId="Heading3">
    <w:name w:val="heading 3"/>
    <w:basedOn w:val="HeadingBase"/>
    <w:next w:val="BodyText"/>
    <w:link w:val="Heading3Char"/>
    <w:qFormat/>
    <w:rsid w:val="002C1426"/>
    <w:pPr>
      <w:spacing w:before="180" w:after="120"/>
      <w:outlineLvl w:val="2"/>
    </w:pPr>
    <w:rPr>
      <w:spacing w:val="-10"/>
      <w:kern w:val="32"/>
    </w:rPr>
  </w:style>
  <w:style w:type="paragraph" w:styleId="Heading4">
    <w:name w:val="heading 4"/>
    <w:basedOn w:val="HeadingBase"/>
    <w:next w:val="BodyText"/>
    <w:link w:val="Heading4Char"/>
    <w:qFormat/>
    <w:rsid w:val="002C1426"/>
    <w:pPr>
      <w:spacing w:before="160" w:after="120"/>
      <w:outlineLvl w:val="3"/>
    </w:pPr>
    <w:rPr>
      <w:sz w:val="22"/>
    </w:rPr>
  </w:style>
  <w:style w:type="paragraph" w:styleId="Heading5">
    <w:name w:val="heading 5"/>
    <w:basedOn w:val="HeadingBase"/>
    <w:next w:val="Normal"/>
    <w:link w:val="Heading5Char"/>
    <w:qFormat/>
    <w:rsid w:val="002C1426"/>
    <w:pPr>
      <w:spacing w:before="80"/>
      <w:outlineLvl w:val="4"/>
    </w:pPr>
    <w:rPr>
      <w:color w:val="918585"/>
      <w:sz w:val="20"/>
    </w:rPr>
  </w:style>
  <w:style w:type="paragraph" w:styleId="Heading6">
    <w:name w:val="heading 6"/>
    <w:basedOn w:val="HeadingBase"/>
    <w:next w:val="Normal"/>
    <w:link w:val="Heading6Char"/>
    <w:qFormat/>
    <w:rsid w:val="002C1426"/>
    <w:pPr>
      <w:spacing w:before="60"/>
      <w:outlineLvl w:val="5"/>
    </w:pPr>
    <w:rPr>
      <w:color w:val="918585"/>
      <w:sz w:val="20"/>
    </w:rPr>
  </w:style>
  <w:style w:type="paragraph" w:styleId="Heading7">
    <w:name w:val="heading 7"/>
    <w:basedOn w:val="Normal"/>
    <w:next w:val="Normal"/>
    <w:link w:val="Heading7Char"/>
    <w:qFormat/>
    <w:rsid w:val="002C1426"/>
    <w:pPr>
      <w:ind w:left="720"/>
      <w:outlineLvl w:val="6"/>
    </w:pPr>
    <w:rPr>
      <w:i/>
    </w:rPr>
  </w:style>
  <w:style w:type="paragraph" w:styleId="Heading8">
    <w:name w:val="heading 8"/>
    <w:basedOn w:val="Normal"/>
    <w:next w:val="Normal"/>
    <w:link w:val="Heading8Char"/>
    <w:qFormat/>
    <w:rsid w:val="002C1426"/>
    <w:pPr>
      <w:ind w:left="720"/>
      <w:outlineLvl w:val="7"/>
    </w:pPr>
    <w:rPr>
      <w:i/>
    </w:rPr>
  </w:style>
  <w:style w:type="paragraph" w:styleId="Heading9">
    <w:name w:val="heading 9"/>
    <w:basedOn w:val="Normal"/>
    <w:next w:val="Normal"/>
    <w:link w:val="Heading9Char"/>
    <w:qFormat/>
    <w:rsid w:val="002C1426"/>
    <w:pPr>
      <w:ind w:left="720"/>
      <w:outlineLvl w:val="8"/>
    </w:pPr>
    <w:rPr>
      <w:i/>
    </w:rPr>
  </w:style>
  <w:style w:type="character" w:default="1" w:styleId="DefaultParagraphFont">
    <w:name w:val="Default Paragraph Font"/>
    <w:uiPriority w:val="1"/>
    <w:unhideWhenUsed/>
    <w:rsid w:val="002C14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426"/>
  </w:style>
  <w:style w:type="character" w:customStyle="1" w:styleId="Heading1Char">
    <w:name w:val="Heading 1 Char"/>
    <w:basedOn w:val="DefaultParagraphFont"/>
    <w:link w:val="Heading1"/>
    <w:rsid w:val="002C1426"/>
    <w:rPr>
      <w:rFonts w:ascii="Times New Roman" w:eastAsia="Times New Roman" w:hAnsi="Times New Roman" w:cs="Times New Roman"/>
      <w:b/>
      <w:sz w:val="32"/>
      <w:szCs w:val="20"/>
      <w:lang w:eastAsia="en-US"/>
    </w:rPr>
  </w:style>
  <w:style w:type="paragraph" w:styleId="BodyText">
    <w:name w:val="Body Text"/>
    <w:basedOn w:val="Normal"/>
    <w:link w:val="BodyTextChar"/>
    <w:rsid w:val="002C14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1426"/>
    <w:rPr>
      <w:rFonts w:ascii="Times New Roman" w:eastAsia="Times New Roman" w:hAnsi="Times New Roman" w:cs="Times New Roman"/>
      <w:sz w:val="24"/>
      <w:lang w:eastAsia="en-US"/>
    </w:rPr>
  </w:style>
  <w:style w:type="paragraph" w:styleId="Footer">
    <w:name w:val="footer"/>
    <w:basedOn w:val="Normal"/>
    <w:link w:val="FooterChar"/>
    <w:rsid w:val="002C14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426"/>
    <w:rPr>
      <w:rFonts w:ascii="Times New Roman" w:eastAsia="Times New Roman" w:hAnsi="Times New Roman" w:cs="Times New Roman"/>
      <w:sz w:val="16"/>
      <w:lang w:eastAsia="en-US"/>
    </w:rPr>
  </w:style>
  <w:style w:type="paragraph" w:styleId="ListBullet">
    <w:name w:val="List Bullet"/>
    <w:basedOn w:val="List"/>
    <w:rsid w:val="002C1426"/>
    <w:pPr>
      <w:numPr>
        <w:numId w:val="13"/>
      </w:numPr>
      <w:tabs>
        <w:tab w:val="clear" w:pos="340"/>
      </w:tabs>
      <w:spacing w:before="40" w:after="40"/>
    </w:pPr>
  </w:style>
  <w:style w:type="character" w:customStyle="1" w:styleId="SpecialBold">
    <w:name w:val="Special Bold"/>
    <w:basedOn w:val="DefaultParagraphFont"/>
    <w:rsid w:val="002C1426"/>
    <w:rPr>
      <w:b/>
      <w:spacing w:val="0"/>
    </w:rPr>
  </w:style>
  <w:style w:type="paragraph" w:styleId="ListBullet2">
    <w:name w:val="List Bullet 2"/>
    <w:basedOn w:val="List2"/>
    <w:rsid w:val="002C1426"/>
    <w:pPr>
      <w:numPr>
        <w:numId w:val="14"/>
      </w:numPr>
      <w:tabs>
        <w:tab w:val="clear" w:pos="680"/>
      </w:tabs>
    </w:pPr>
  </w:style>
  <w:style w:type="paragraph" w:customStyle="1" w:styleId="SuperHeading">
    <w:name w:val="SuperHeading"/>
    <w:basedOn w:val="Normal"/>
    <w:rsid w:val="002C1426"/>
    <w:pPr>
      <w:spacing w:before="240" w:after="120"/>
      <w:outlineLvl w:val="0"/>
    </w:pPr>
    <w:rPr>
      <w:rFonts w:ascii="Times New Roman" w:hAnsi="Times New Roman"/>
      <w:b/>
      <w:sz w:val="28"/>
    </w:rPr>
  </w:style>
  <w:style w:type="paragraph" w:customStyle="1" w:styleId="AllowPageBreak">
    <w:name w:val="AllowPageBreak"/>
    <w:rsid w:val="002C14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14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4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4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4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4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4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4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426"/>
    <w:rPr>
      <w:rFonts w:ascii="Courier New" w:eastAsia="Times New Roman" w:hAnsi="Courier New" w:cs="Times New Roman"/>
      <w:i/>
      <w:szCs w:val="20"/>
      <w:lang w:eastAsia="en-US"/>
    </w:rPr>
  </w:style>
  <w:style w:type="paragraph" w:customStyle="1" w:styleId="HeadingBase">
    <w:name w:val="Heading Base"/>
    <w:rsid w:val="002C14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426"/>
    <w:pPr>
      <w:tabs>
        <w:tab w:val="right" w:leader="dot" w:pos="9072"/>
      </w:tabs>
      <w:ind w:left="567"/>
    </w:pPr>
    <w:rPr>
      <w:szCs w:val="22"/>
    </w:rPr>
  </w:style>
  <w:style w:type="paragraph" w:customStyle="1" w:styleId="TOCBase">
    <w:name w:val="TOC Base"/>
    <w:rsid w:val="002C14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426"/>
    <w:pPr>
      <w:tabs>
        <w:tab w:val="right" w:leader="dot" w:pos="9072"/>
      </w:tabs>
      <w:spacing w:before="40" w:after="40"/>
      <w:ind w:left="284"/>
    </w:pPr>
    <w:rPr>
      <w:rFonts w:ascii="Times New Roman" w:hAnsi="Times New Roman"/>
    </w:rPr>
  </w:style>
  <w:style w:type="paragraph" w:styleId="TOC1">
    <w:name w:val="toc 1"/>
    <w:basedOn w:val="TOCBase"/>
    <w:next w:val="Normal"/>
    <w:rsid w:val="002C14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1426"/>
    <w:pPr>
      <w:spacing w:before="5040"/>
      <w:jc w:val="center"/>
    </w:pPr>
    <w:rPr>
      <w:sz w:val="48"/>
      <w:szCs w:val="72"/>
      <w:lang w:val="en-US"/>
    </w:rPr>
  </w:style>
  <w:style w:type="character" w:customStyle="1" w:styleId="TitleChar">
    <w:name w:val="Title Char"/>
    <w:basedOn w:val="DefaultParagraphFont"/>
    <w:link w:val="Title"/>
    <w:rsid w:val="002C14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426"/>
    <w:pPr>
      <w:tabs>
        <w:tab w:val="left" w:pos="3600"/>
        <w:tab w:val="left" w:pos="3958"/>
      </w:tabs>
    </w:pPr>
  </w:style>
  <w:style w:type="paragraph" w:styleId="List">
    <w:name w:val="List"/>
    <w:basedOn w:val="BodyText"/>
    <w:next w:val="BodyText"/>
    <w:rsid w:val="002C1426"/>
    <w:pPr>
      <w:tabs>
        <w:tab w:val="left" w:pos="340"/>
      </w:tabs>
      <w:spacing w:before="60" w:after="60"/>
      <w:ind w:left="340" w:hanging="340"/>
    </w:pPr>
  </w:style>
  <w:style w:type="paragraph" w:customStyle="1" w:styleId="Note">
    <w:name w:val="Note"/>
    <w:basedOn w:val="BodyText"/>
    <w:rsid w:val="002C14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426"/>
    <w:pPr>
      <w:framePr w:wrap="auto" w:hAnchor="text" w:y="6049"/>
    </w:pPr>
    <w:rPr>
      <w:color w:val="000000"/>
      <w:sz w:val="40"/>
    </w:rPr>
  </w:style>
  <w:style w:type="paragraph" w:customStyle="1" w:styleId="TOCTitle">
    <w:name w:val="TOCTitle"/>
    <w:basedOn w:val="Heading1"/>
    <w:rsid w:val="002C1426"/>
    <w:pPr>
      <w:spacing w:after="240"/>
      <w:jc w:val="center"/>
      <w:outlineLvl w:val="9"/>
    </w:pPr>
    <w:rPr>
      <w:caps/>
    </w:rPr>
  </w:style>
  <w:style w:type="paragraph" w:customStyle="1" w:styleId="Version">
    <w:name w:val="Version"/>
    <w:rsid w:val="002C14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1426"/>
    <w:pPr>
      <w:keepNext w:val="0"/>
      <w:tabs>
        <w:tab w:val="right" w:pos="4176"/>
      </w:tabs>
      <w:ind w:left="198" w:hanging="198"/>
    </w:pPr>
    <w:rPr>
      <w:rFonts w:ascii="Garamond" w:hAnsi="Garamond"/>
    </w:rPr>
  </w:style>
  <w:style w:type="paragraph" w:styleId="IndexHeading">
    <w:name w:val="index heading"/>
    <w:basedOn w:val="Normal"/>
    <w:next w:val="Index1"/>
    <w:semiHidden/>
    <w:rsid w:val="002C1426"/>
    <w:pPr>
      <w:spacing w:before="120" w:after="120"/>
    </w:pPr>
    <w:rPr>
      <w:rFonts w:ascii="Arial" w:hAnsi="Arial"/>
      <w:b/>
      <w:color w:val="918585"/>
      <w:sz w:val="24"/>
    </w:rPr>
  </w:style>
  <w:style w:type="paragraph" w:styleId="Header">
    <w:name w:val="header"/>
    <w:basedOn w:val="Normal"/>
    <w:link w:val="HeaderChar"/>
    <w:rsid w:val="002C14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426"/>
    <w:rPr>
      <w:rFonts w:ascii="Times New Roman" w:eastAsia="Times New Roman" w:hAnsi="Times New Roman" w:cs="Times New Roman"/>
      <w:sz w:val="16"/>
      <w:szCs w:val="20"/>
      <w:lang w:val="en-GB" w:eastAsia="en-US"/>
    </w:rPr>
  </w:style>
  <w:style w:type="paragraph" w:customStyle="1" w:styleId="Chapter">
    <w:name w:val="Chapter"/>
    <w:basedOn w:val="Normal"/>
    <w:rsid w:val="002C1426"/>
    <w:pPr>
      <w:spacing w:before="240"/>
    </w:pPr>
    <w:rPr>
      <w:rFonts w:ascii="Times New Roman" w:hAnsi="Times New Roman"/>
      <w:smallCaps/>
      <w:spacing w:val="80"/>
      <w:sz w:val="28"/>
    </w:rPr>
  </w:style>
  <w:style w:type="paragraph" w:customStyle="1" w:styleId="InChapter">
    <w:name w:val="InChapter"/>
    <w:basedOn w:val="Heading3"/>
    <w:rsid w:val="002C1426"/>
    <w:pPr>
      <w:spacing w:after="240"/>
      <w:outlineLvl w:val="9"/>
    </w:pPr>
    <w:rPr>
      <w:noProof/>
    </w:rPr>
  </w:style>
  <w:style w:type="paragraph" w:styleId="Index2">
    <w:name w:val="index 2"/>
    <w:basedOn w:val="Normal"/>
    <w:next w:val="Normal"/>
    <w:semiHidden/>
    <w:rsid w:val="002C1426"/>
    <w:pPr>
      <w:tabs>
        <w:tab w:val="right" w:pos="4176"/>
      </w:tabs>
      <w:ind w:left="568" w:hanging="284"/>
    </w:pPr>
    <w:rPr>
      <w:rFonts w:ascii="Garamond" w:hAnsi="Garamond"/>
    </w:rPr>
  </w:style>
  <w:style w:type="paragraph" w:customStyle="1" w:styleId="Byline">
    <w:name w:val="Byline"/>
    <w:rsid w:val="002C14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426"/>
    <w:pPr>
      <w:tabs>
        <w:tab w:val="clear" w:pos="3600"/>
        <w:tab w:val="clear" w:pos="3958"/>
      </w:tabs>
      <w:jc w:val="right"/>
    </w:pPr>
  </w:style>
  <w:style w:type="character" w:styleId="Emphasis">
    <w:name w:val="Emphasis"/>
    <w:basedOn w:val="DefaultParagraphFont"/>
    <w:qFormat/>
    <w:rsid w:val="002C1426"/>
    <w:rPr>
      <w:i/>
    </w:rPr>
  </w:style>
  <w:style w:type="paragraph" w:styleId="Caption">
    <w:name w:val="caption"/>
    <w:basedOn w:val="BodyText"/>
    <w:next w:val="Normal"/>
    <w:qFormat/>
    <w:rsid w:val="002C1426"/>
    <w:pPr>
      <w:framePr w:w="2268" w:hSpace="181" w:vSpace="181" w:wrap="around" w:vAnchor="text" w:hAnchor="page" w:x="1135" w:y="285" w:anchorLock="1"/>
    </w:pPr>
    <w:rPr>
      <w:i/>
    </w:rPr>
  </w:style>
  <w:style w:type="paragraph" w:customStyle="1" w:styleId="MiniTOCTitle">
    <w:name w:val="MiniTOCTitle"/>
    <w:basedOn w:val="Heading4"/>
    <w:rsid w:val="002C1426"/>
    <w:pPr>
      <w:spacing w:before="240"/>
      <w:outlineLvl w:val="9"/>
    </w:pPr>
    <w:rPr>
      <w:noProof/>
      <w:sz w:val="24"/>
    </w:rPr>
  </w:style>
  <w:style w:type="paragraph" w:customStyle="1" w:styleId="MiniTOCItem">
    <w:name w:val="MiniTOCItem"/>
    <w:basedOn w:val="ListBullet"/>
    <w:rsid w:val="002C1426"/>
    <w:pPr>
      <w:numPr>
        <w:numId w:val="0"/>
      </w:numPr>
      <w:tabs>
        <w:tab w:val="right" w:leader="dot" w:pos="6521"/>
      </w:tabs>
      <w:spacing w:before="0" w:after="0"/>
    </w:pPr>
  </w:style>
  <w:style w:type="paragraph" w:customStyle="1" w:styleId="TOFTitle">
    <w:name w:val="TOFTitle"/>
    <w:basedOn w:val="TOCTitle"/>
    <w:rsid w:val="002C1426"/>
  </w:style>
  <w:style w:type="paragraph" w:styleId="TableofFigures">
    <w:name w:val="table of figures"/>
    <w:basedOn w:val="Normal"/>
    <w:next w:val="Normal"/>
    <w:semiHidden/>
    <w:rsid w:val="002C1426"/>
    <w:pPr>
      <w:tabs>
        <w:tab w:val="right" w:leader="dot" w:pos="9072"/>
      </w:tabs>
      <w:ind w:left="970" w:hanging="403"/>
    </w:pPr>
    <w:rPr>
      <w:rFonts w:ascii="Times New Roman" w:hAnsi="Times New Roman"/>
      <w:b/>
    </w:rPr>
  </w:style>
  <w:style w:type="paragraph" w:styleId="ListNumber">
    <w:name w:val="List Number"/>
    <w:basedOn w:val="List"/>
    <w:rsid w:val="002C1426"/>
    <w:pPr>
      <w:numPr>
        <w:numId w:val="11"/>
      </w:numPr>
    </w:pPr>
  </w:style>
  <w:style w:type="character" w:customStyle="1" w:styleId="WingdingSymbols">
    <w:name w:val="Wingding Symbols"/>
    <w:rsid w:val="002C1426"/>
    <w:rPr>
      <w:rFonts w:ascii="Wingdings" w:hAnsi="Wingdings"/>
    </w:rPr>
  </w:style>
  <w:style w:type="paragraph" w:customStyle="1" w:styleId="TableHeading">
    <w:name w:val="Table Heading"/>
    <w:basedOn w:val="HeadingBase"/>
    <w:rsid w:val="002C1426"/>
    <w:pPr>
      <w:keepLines/>
      <w:pBdr>
        <w:bottom w:val="single" w:sz="6" w:space="1" w:color="918585"/>
      </w:pBdr>
      <w:spacing w:before="240"/>
    </w:pPr>
  </w:style>
  <w:style w:type="character" w:customStyle="1" w:styleId="HotSpot">
    <w:name w:val="HotSpot"/>
    <w:rsid w:val="002C1426"/>
    <w:rPr>
      <w:color w:val="0033CC"/>
      <w:u w:val="none"/>
    </w:rPr>
  </w:style>
  <w:style w:type="paragraph" w:customStyle="1" w:styleId="BodyTextRight">
    <w:name w:val="Body Text Right"/>
    <w:basedOn w:val="BodyText"/>
    <w:rsid w:val="002C1426"/>
    <w:pPr>
      <w:spacing w:before="0" w:after="0"/>
      <w:jc w:val="right"/>
    </w:pPr>
  </w:style>
  <w:style w:type="paragraph" w:styleId="Index3">
    <w:name w:val="index 3"/>
    <w:basedOn w:val="ListNumber2"/>
    <w:next w:val="Normal"/>
    <w:semiHidden/>
    <w:rsid w:val="002C1426"/>
    <w:pPr>
      <w:numPr>
        <w:numId w:val="0"/>
      </w:numPr>
      <w:tabs>
        <w:tab w:val="right" w:leader="dot" w:pos="4176"/>
      </w:tabs>
    </w:pPr>
  </w:style>
  <w:style w:type="paragraph" w:styleId="ListNumber2">
    <w:name w:val="List Number 2"/>
    <w:basedOn w:val="List2"/>
    <w:rsid w:val="002C1426"/>
    <w:pPr>
      <w:numPr>
        <w:numId w:val="10"/>
      </w:numPr>
      <w:tabs>
        <w:tab w:val="clear" w:pos="1060"/>
      </w:tabs>
    </w:pPr>
  </w:style>
  <w:style w:type="paragraph" w:customStyle="1" w:styleId="MarginNote">
    <w:name w:val="Margin Note"/>
    <w:basedOn w:val="BodyText"/>
    <w:rsid w:val="002C14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4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4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426"/>
    <w:rPr>
      <w:sz w:val="32"/>
    </w:rPr>
  </w:style>
  <w:style w:type="paragraph" w:customStyle="1" w:styleId="HeadingProcedure">
    <w:name w:val="Heading Procedure"/>
    <w:basedOn w:val="HeadingBase"/>
    <w:next w:val="Normal"/>
    <w:rsid w:val="002C1426"/>
    <w:pPr>
      <w:tabs>
        <w:tab w:val="left" w:pos="0"/>
      </w:tabs>
      <w:spacing w:before="120" w:after="60"/>
    </w:pPr>
    <w:rPr>
      <w:i/>
      <w:color w:val="918585"/>
      <w:sz w:val="22"/>
    </w:rPr>
  </w:style>
  <w:style w:type="paragraph" w:customStyle="1" w:styleId="TableBodyText">
    <w:name w:val="Table Body Text"/>
    <w:basedOn w:val="BodyText"/>
    <w:rsid w:val="002C1426"/>
    <w:pPr>
      <w:spacing w:before="60" w:after="60"/>
    </w:pPr>
  </w:style>
  <w:style w:type="paragraph" w:styleId="ListContinue">
    <w:name w:val="List Continue"/>
    <w:basedOn w:val="List"/>
    <w:rsid w:val="002C1426"/>
    <w:pPr>
      <w:ind w:firstLine="0"/>
    </w:pPr>
  </w:style>
  <w:style w:type="paragraph" w:customStyle="1" w:styleId="ListNote">
    <w:name w:val="List Note"/>
    <w:basedOn w:val="List"/>
    <w:rsid w:val="002C1426"/>
    <w:pPr>
      <w:pBdr>
        <w:top w:val="single" w:sz="6" w:space="2" w:color="918585"/>
        <w:bottom w:val="single" w:sz="6" w:space="2" w:color="918585"/>
      </w:pBdr>
      <w:tabs>
        <w:tab w:val="left" w:pos="1021"/>
      </w:tabs>
      <w:ind w:firstLine="0"/>
    </w:pPr>
  </w:style>
  <w:style w:type="paragraph" w:customStyle="1" w:styleId="Warning">
    <w:name w:val="Warning"/>
    <w:basedOn w:val="BodyText"/>
    <w:rsid w:val="002C1426"/>
    <w:pPr>
      <w:shd w:val="clear" w:color="auto" w:fill="D9D9D9"/>
      <w:tabs>
        <w:tab w:val="left" w:pos="992"/>
      </w:tabs>
      <w:ind w:left="119" w:right="119"/>
    </w:pPr>
    <w:rPr>
      <w:sz w:val="20"/>
    </w:rPr>
  </w:style>
  <w:style w:type="paragraph" w:customStyle="1" w:styleId="MarginIcons">
    <w:name w:val="Margin Icons"/>
    <w:basedOn w:val="BodyText"/>
    <w:rsid w:val="002C14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426"/>
    <w:rPr>
      <w:rFonts w:ascii="Courier New" w:hAnsi="Courier New"/>
    </w:rPr>
  </w:style>
  <w:style w:type="paragraph" w:customStyle="1" w:styleId="NoteBullet">
    <w:name w:val="Note Bullet"/>
    <w:basedOn w:val="Note"/>
    <w:rsid w:val="002C1426"/>
    <w:pPr>
      <w:tabs>
        <w:tab w:val="clear" w:pos="680"/>
      </w:tabs>
      <w:spacing w:before="60" w:after="60"/>
    </w:pPr>
  </w:style>
  <w:style w:type="paragraph" w:customStyle="1" w:styleId="SubHeading2">
    <w:name w:val="SubHeading2"/>
    <w:basedOn w:val="HeadingBase"/>
    <w:rsid w:val="002C1426"/>
    <w:pPr>
      <w:spacing w:before="240" w:after="60"/>
    </w:pPr>
    <w:rPr>
      <w:sz w:val="20"/>
    </w:rPr>
  </w:style>
  <w:style w:type="paragraph" w:customStyle="1" w:styleId="SubHeading1">
    <w:name w:val="SubHeading1"/>
    <w:basedOn w:val="HeadingBase"/>
    <w:rsid w:val="002C1426"/>
    <w:pPr>
      <w:spacing w:before="240" w:after="60"/>
    </w:pPr>
    <w:rPr>
      <w:color w:val="918585"/>
      <w:sz w:val="22"/>
    </w:rPr>
  </w:style>
  <w:style w:type="paragraph" w:customStyle="1" w:styleId="SideHeading">
    <w:name w:val="Side Heading"/>
    <w:basedOn w:val="HeadingBase"/>
    <w:rsid w:val="002C14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426"/>
    <w:pPr>
      <w:numPr>
        <w:numId w:val="12"/>
      </w:numPr>
    </w:pPr>
  </w:style>
  <w:style w:type="paragraph" w:styleId="PlainText">
    <w:name w:val="Plain Text"/>
    <w:basedOn w:val="Normal"/>
    <w:link w:val="PlainTextChar"/>
    <w:rsid w:val="002C1426"/>
    <w:rPr>
      <w:sz w:val="20"/>
    </w:rPr>
  </w:style>
  <w:style w:type="character" w:customStyle="1" w:styleId="PlainTextChar">
    <w:name w:val="Plain Text Char"/>
    <w:basedOn w:val="DefaultParagraphFont"/>
    <w:link w:val="PlainText"/>
    <w:rsid w:val="002C1426"/>
    <w:rPr>
      <w:rFonts w:ascii="Courier New" w:eastAsia="Times New Roman" w:hAnsi="Courier New" w:cs="Times New Roman"/>
      <w:sz w:val="20"/>
      <w:szCs w:val="20"/>
      <w:lang w:eastAsia="en-US"/>
    </w:rPr>
  </w:style>
  <w:style w:type="character" w:customStyle="1" w:styleId="MenuOption">
    <w:name w:val="Menu Option"/>
    <w:basedOn w:val="DefaultParagraphFont"/>
    <w:rsid w:val="002C1426"/>
    <w:rPr>
      <w:b/>
      <w:smallCaps/>
    </w:rPr>
  </w:style>
  <w:style w:type="paragraph" w:customStyle="1" w:styleId="TableListNumber">
    <w:name w:val="Table List Number"/>
    <w:basedOn w:val="ListNumber"/>
    <w:rsid w:val="002C1426"/>
    <w:pPr>
      <w:numPr>
        <w:numId w:val="0"/>
      </w:numPr>
    </w:pPr>
  </w:style>
  <w:style w:type="paragraph" w:styleId="TOC4">
    <w:name w:val="toc 4"/>
    <w:basedOn w:val="TOCBase"/>
    <w:next w:val="Normal"/>
    <w:semiHidden/>
    <w:rsid w:val="002C1426"/>
    <w:pPr>
      <w:tabs>
        <w:tab w:val="right" w:leader="dot" w:pos="9071"/>
      </w:tabs>
      <w:ind w:left="1701"/>
    </w:pPr>
  </w:style>
  <w:style w:type="paragraph" w:customStyle="1" w:styleId="ListAlpha">
    <w:name w:val="List Alpha"/>
    <w:basedOn w:val="List"/>
    <w:rsid w:val="002C1426"/>
    <w:pPr>
      <w:numPr>
        <w:numId w:val="9"/>
      </w:numPr>
    </w:pPr>
  </w:style>
  <w:style w:type="paragraph" w:customStyle="1" w:styleId="ListAlpha2">
    <w:name w:val="List Alpha 2"/>
    <w:basedOn w:val="List2"/>
    <w:rsid w:val="002C1426"/>
    <w:pPr>
      <w:numPr>
        <w:numId w:val="8"/>
      </w:numPr>
    </w:pPr>
  </w:style>
  <w:style w:type="paragraph" w:styleId="List2">
    <w:name w:val="List 2"/>
    <w:basedOn w:val="BodyText"/>
    <w:rsid w:val="002C1426"/>
    <w:pPr>
      <w:tabs>
        <w:tab w:val="left" w:pos="680"/>
      </w:tabs>
      <w:spacing w:before="60" w:after="60"/>
      <w:ind w:left="680" w:hanging="340"/>
    </w:pPr>
  </w:style>
  <w:style w:type="paragraph" w:styleId="List3">
    <w:name w:val="List 3"/>
    <w:basedOn w:val="BodyText"/>
    <w:rsid w:val="002C1426"/>
    <w:pPr>
      <w:tabs>
        <w:tab w:val="left" w:pos="1021"/>
      </w:tabs>
      <w:spacing w:before="60" w:after="60"/>
      <w:ind w:left="1020" w:hanging="340"/>
    </w:pPr>
  </w:style>
  <w:style w:type="paragraph" w:styleId="List4">
    <w:name w:val="List 4"/>
    <w:basedOn w:val="BodyText"/>
    <w:rsid w:val="002C1426"/>
    <w:pPr>
      <w:tabs>
        <w:tab w:val="left" w:pos="1361"/>
      </w:tabs>
      <w:spacing w:before="60" w:after="60"/>
      <w:ind w:left="1361" w:hanging="340"/>
    </w:pPr>
  </w:style>
  <w:style w:type="paragraph" w:styleId="List5">
    <w:name w:val="List 5"/>
    <w:basedOn w:val="BodyText"/>
    <w:rsid w:val="002C1426"/>
    <w:pPr>
      <w:tabs>
        <w:tab w:val="left" w:pos="1701"/>
      </w:tabs>
      <w:spacing w:before="60" w:after="60"/>
      <w:ind w:left="1701" w:hanging="340"/>
    </w:pPr>
  </w:style>
  <w:style w:type="paragraph" w:styleId="ListBullet3">
    <w:name w:val="List Bullet 3"/>
    <w:basedOn w:val="List3"/>
    <w:rsid w:val="002C1426"/>
    <w:pPr>
      <w:numPr>
        <w:numId w:val="15"/>
      </w:numPr>
      <w:tabs>
        <w:tab w:val="clear" w:pos="1021"/>
      </w:tabs>
      <w:ind w:left="1037" w:hanging="357"/>
    </w:pPr>
  </w:style>
  <w:style w:type="paragraph" w:styleId="ListBullet4">
    <w:name w:val="List Bullet 4"/>
    <w:basedOn w:val="List4"/>
    <w:rsid w:val="002C1426"/>
    <w:pPr>
      <w:numPr>
        <w:numId w:val="3"/>
      </w:numPr>
    </w:pPr>
  </w:style>
  <w:style w:type="paragraph" w:styleId="ListBullet5">
    <w:name w:val="List Bullet 5"/>
    <w:basedOn w:val="List5"/>
    <w:rsid w:val="002C1426"/>
    <w:pPr>
      <w:numPr>
        <w:numId w:val="4"/>
      </w:numPr>
    </w:pPr>
  </w:style>
  <w:style w:type="paragraph" w:styleId="ListContinue2">
    <w:name w:val="List Continue 2"/>
    <w:basedOn w:val="List2"/>
    <w:rsid w:val="002C1426"/>
    <w:pPr>
      <w:ind w:firstLine="0"/>
    </w:pPr>
  </w:style>
  <w:style w:type="paragraph" w:styleId="ListContinue3">
    <w:name w:val="List Continue 3"/>
    <w:basedOn w:val="List3"/>
    <w:rsid w:val="002C1426"/>
    <w:pPr>
      <w:ind w:left="1021" w:firstLine="0"/>
    </w:pPr>
  </w:style>
  <w:style w:type="paragraph" w:styleId="ListContinue4">
    <w:name w:val="List Continue 4"/>
    <w:basedOn w:val="List4"/>
    <w:rsid w:val="002C1426"/>
    <w:pPr>
      <w:ind w:firstLine="0"/>
    </w:pPr>
  </w:style>
  <w:style w:type="paragraph" w:styleId="ListContinue5">
    <w:name w:val="List Continue 5"/>
    <w:basedOn w:val="List5"/>
    <w:rsid w:val="002C1426"/>
    <w:pPr>
      <w:ind w:firstLine="0"/>
    </w:pPr>
  </w:style>
  <w:style w:type="paragraph" w:styleId="ListNumber3">
    <w:name w:val="List Number 3"/>
    <w:basedOn w:val="List3"/>
    <w:rsid w:val="002C1426"/>
    <w:pPr>
      <w:numPr>
        <w:numId w:val="5"/>
      </w:numPr>
    </w:pPr>
  </w:style>
  <w:style w:type="paragraph" w:styleId="ListNumber4">
    <w:name w:val="List Number 4"/>
    <w:basedOn w:val="List4"/>
    <w:rsid w:val="002C1426"/>
    <w:pPr>
      <w:numPr>
        <w:numId w:val="6"/>
      </w:numPr>
    </w:pPr>
  </w:style>
  <w:style w:type="paragraph" w:styleId="ListNumber5">
    <w:name w:val="List Number 5"/>
    <w:basedOn w:val="List5"/>
    <w:rsid w:val="002C1426"/>
    <w:pPr>
      <w:numPr>
        <w:numId w:val="7"/>
      </w:numPr>
    </w:pPr>
  </w:style>
  <w:style w:type="paragraph" w:styleId="BlockText">
    <w:name w:val="Block Text"/>
    <w:basedOn w:val="Normal"/>
    <w:rsid w:val="002C1426"/>
    <w:pPr>
      <w:spacing w:after="120"/>
      <w:ind w:left="1440" w:right="1440"/>
    </w:pPr>
  </w:style>
  <w:style w:type="character" w:customStyle="1" w:styleId="Subscript">
    <w:name w:val="Subscript"/>
    <w:basedOn w:val="DefaultParagraphFont"/>
    <w:rsid w:val="002C1426"/>
    <w:rPr>
      <w:sz w:val="16"/>
      <w:vertAlign w:val="subscript"/>
    </w:rPr>
  </w:style>
  <w:style w:type="character" w:customStyle="1" w:styleId="Superscript">
    <w:name w:val="Superscript"/>
    <w:basedOn w:val="DefaultParagraphFont"/>
    <w:rsid w:val="002C1426"/>
    <w:rPr>
      <w:sz w:val="16"/>
      <w:vertAlign w:val="superscript"/>
    </w:rPr>
  </w:style>
  <w:style w:type="character" w:customStyle="1" w:styleId="Symbols">
    <w:name w:val="Symbols"/>
    <w:basedOn w:val="DefaultParagraphFont"/>
    <w:rsid w:val="002C1426"/>
    <w:rPr>
      <w:rFonts w:ascii="Symbol" w:hAnsi="Symbol"/>
    </w:rPr>
  </w:style>
  <w:style w:type="character" w:customStyle="1" w:styleId="MenuOptions">
    <w:name w:val="Menu Options"/>
    <w:basedOn w:val="DefaultParagraphFont"/>
    <w:rsid w:val="002C1426"/>
    <w:rPr>
      <w:rFonts w:ascii="Arial Narrow" w:hAnsi="Arial Narrow"/>
      <w:smallCaps/>
    </w:rPr>
  </w:style>
  <w:style w:type="character" w:customStyle="1" w:styleId="Buttons">
    <w:name w:val="Buttons"/>
    <w:basedOn w:val="DefaultParagraphFont"/>
    <w:rsid w:val="002C1426"/>
    <w:rPr>
      <w:b/>
    </w:rPr>
  </w:style>
  <w:style w:type="character" w:customStyle="1" w:styleId="Underlined">
    <w:name w:val="Underlined"/>
    <w:basedOn w:val="DefaultParagraphFont"/>
    <w:rsid w:val="002C1426"/>
    <w:rPr>
      <w:u w:val="single"/>
    </w:rPr>
  </w:style>
  <w:style w:type="paragraph" w:customStyle="1" w:styleId="TableBodyTextRight">
    <w:name w:val="Table Body Text Right"/>
    <w:basedOn w:val="TableBodyText"/>
    <w:rsid w:val="002C1426"/>
    <w:pPr>
      <w:widowControl w:val="0"/>
      <w:autoSpaceDE w:val="0"/>
      <w:autoSpaceDN w:val="0"/>
      <w:adjustRightInd w:val="0"/>
      <w:jc w:val="right"/>
    </w:pPr>
    <w:rPr>
      <w:rFonts w:cs="Arial"/>
      <w:szCs w:val="18"/>
    </w:rPr>
  </w:style>
  <w:style w:type="paragraph" w:customStyle="1" w:styleId="CopyrightText">
    <w:name w:val="Copyright Text"/>
    <w:basedOn w:val="BodyText"/>
    <w:rsid w:val="002C1426"/>
    <w:rPr>
      <w:sz w:val="18"/>
    </w:rPr>
  </w:style>
  <w:style w:type="paragraph" w:customStyle="1" w:styleId="BodySmallRight">
    <w:name w:val="Body Small Right"/>
    <w:basedOn w:val="BodyTextRight"/>
    <w:rsid w:val="002C1426"/>
    <w:rPr>
      <w:sz w:val="18"/>
      <w:szCs w:val="18"/>
    </w:rPr>
  </w:style>
  <w:style w:type="paragraph" w:customStyle="1" w:styleId="MarginEdition">
    <w:name w:val="Margin Edition"/>
    <w:basedOn w:val="MarginNote"/>
    <w:rsid w:val="002C1426"/>
    <w:pPr>
      <w:spacing w:before="0" w:after="0"/>
    </w:pPr>
    <w:rPr>
      <w:rFonts w:ascii="Times New Roman" w:hAnsi="Times New Roman"/>
      <w:color w:val="999999"/>
    </w:rPr>
  </w:style>
  <w:style w:type="paragraph" w:customStyle="1" w:styleId="Spacer">
    <w:name w:val="Spacer"/>
    <w:basedOn w:val="Normal"/>
    <w:rsid w:val="002C1426"/>
    <w:rPr>
      <w:sz w:val="2"/>
      <w:szCs w:val="2"/>
    </w:rPr>
  </w:style>
  <w:style w:type="character" w:customStyle="1" w:styleId="Small">
    <w:name w:val="Small"/>
    <w:basedOn w:val="DefaultParagraphFont"/>
    <w:rsid w:val="002C1426"/>
    <w:rPr>
      <w:sz w:val="16"/>
    </w:rPr>
  </w:style>
  <w:style w:type="paragraph" w:customStyle="1" w:styleId="WideTable">
    <w:name w:val="Wide Table"/>
    <w:basedOn w:val="Normal"/>
    <w:rsid w:val="002C1426"/>
    <w:pPr>
      <w:ind w:left="-1418"/>
    </w:pPr>
    <w:rPr>
      <w:sz w:val="2"/>
      <w:szCs w:val="2"/>
    </w:rPr>
  </w:style>
  <w:style w:type="character" w:styleId="PageNumber">
    <w:name w:val="page number"/>
    <w:basedOn w:val="DefaultParagraphFont"/>
    <w:rsid w:val="002C1426"/>
  </w:style>
  <w:style w:type="paragraph" w:styleId="Quote">
    <w:name w:val="Quote"/>
    <w:basedOn w:val="Heading1"/>
    <w:link w:val="QuoteChar"/>
    <w:qFormat/>
    <w:rsid w:val="002C1426"/>
    <w:rPr>
      <w:b w:val="0"/>
      <w:sz w:val="72"/>
      <w:szCs w:val="72"/>
      <w:lang w:val="en-NZ"/>
    </w:rPr>
  </w:style>
  <w:style w:type="character" w:customStyle="1" w:styleId="QuoteChar">
    <w:name w:val="Quote Char"/>
    <w:basedOn w:val="DefaultParagraphFont"/>
    <w:link w:val="Quote"/>
    <w:rsid w:val="002C14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426"/>
    <w:pPr>
      <w:pageBreakBefore/>
    </w:pPr>
  </w:style>
  <w:style w:type="paragraph" w:customStyle="1" w:styleId="Border">
    <w:name w:val="Border"/>
    <w:basedOn w:val="Normal"/>
    <w:qFormat/>
    <w:rsid w:val="002C14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426"/>
    <w:rPr>
      <w:b/>
      <w:bCs/>
      <w:i/>
      <w:iCs/>
      <w:color w:val="auto"/>
    </w:rPr>
  </w:style>
  <w:style w:type="paragraph" w:styleId="IntenseQuote">
    <w:name w:val="Intense Quote"/>
    <w:basedOn w:val="Normal"/>
    <w:next w:val="Normal"/>
    <w:link w:val="IntenseQuoteChar"/>
    <w:uiPriority w:val="30"/>
    <w:qFormat/>
    <w:rsid w:val="002C14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4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426"/>
    <w:rPr>
      <w:smallCaps/>
      <w:color w:val="auto"/>
      <w:u w:val="single"/>
    </w:rPr>
  </w:style>
  <w:style w:type="character" w:styleId="IntenseReference">
    <w:name w:val="Intense Reference"/>
    <w:basedOn w:val="DefaultParagraphFont"/>
    <w:uiPriority w:val="32"/>
    <w:qFormat/>
    <w:rsid w:val="002C1426"/>
    <w:rPr>
      <w:b/>
      <w:bCs/>
      <w:smallCaps/>
      <w:color w:val="auto"/>
      <w:spacing w:val="5"/>
      <w:u w:val="single"/>
    </w:rPr>
  </w:style>
  <w:style w:type="paragraph" w:customStyle="1" w:styleId="2ColumnHeading">
    <w:name w:val="2Column Heading"/>
    <w:basedOn w:val="BodyText"/>
    <w:qFormat/>
    <w:rsid w:val="002C1426"/>
    <w:pPr>
      <w:spacing w:after="60"/>
      <w:ind w:left="-2268"/>
    </w:pPr>
    <w:rPr>
      <w:b/>
    </w:rPr>
  </w:style>
  <w:style w:type="paragraph" w:customStyle="1" w:styleId="Heading1TOC">
    <w:name w:val="Heading1 TOC"/>
    <w:basedOn w:val="Normal"/>
    <w:qFormat/>
    <w:rsid w:val="002C1426"/>
    <w:pPr>
      <w:spacing w:before="240" w:after="120"/>
    </w:pPr>
    <w:rPr>
      <w:rFonts w:ascii="Times New Roman" w:hAnsi="Times New Roman"/>
      <w:b/>
      <w:sz w:val="32"/>
    </w:rPr>
  </w:style>
  <w:style w:type="paragraph" w:customStyle="1" w:styleId="Heading2TOC">
    <w:name w:val="Heading2 TOC"/>
    <w:basedOn w:val="Normal"/>
    <w:qFormat/>
    <w:rsid w:val="002C1426"/>
    <w:pPr>
      <w:spacing w:before="240" w:after="60"/>
    </w:pPr>
    <w:rPr>
      <w:rFonts w:ascii="Times New Roman" w:hAnsi="Times New Roman"/>
      <w:b/>
      <w:sz w:val="28"/>
    </w:rPr>
  </w:style>
  <w:style w:type="character" w:customStyle="1" w:styleId="Underline">
    <w:name w:val="Underline"/>
    <w:basedOn w:val="DefaultParagraphFont"/>
    <w:qFormat/>
    <w:rsid w:val="002C1426"/>
    <w:rPr>
      <w:u w:val="single"/>
    </w:rPr>
  </w:style>
  <w:style w:type="character" w:customStyle="1" w:styleId="BoldandItalics">
    <w:name w:val="Bold and Italics"/>
    <w:qFormat/>
    <w:rsid w:val="002C1426"/>
    <w:rPr>
      <w:b/>
      <w:i/>
      <w:u w:val="none"/>
    </w:rPr>
  </w:style>
  <w:style w:type="paragraph" w:styleId="BalloonText">
    <w:name w:val="Balloon Text"/>
    <w:basedOn w:val="Normal"/>
    <w:link w:val="BalloonTextChar"/>
    <w:rsid w:val="002C1426"/>
    <w:rPr>
      <w:rFonts w:ascii="Tahoma" w:hAnsi="Tahoma" w:cs="Tahoma"/>
      <w:sz w:val="16"/>
      <w:szCs w:val="16"/>
    </w:rPr>
  </w:style>
  <w:style w:type="character" w:customStyle="1" w:styleId="BalloonTextChar">
    <w:name w:val="Balloon Text Char"/>
    <w:basedOn w:val="DefaultParagraphFont"/>
    <w:link w:val="BalloonText"/>
    <w:rsid w:val="002C14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4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14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426"/>
    <w:rPr>
      <w:b/>
      <w:color w:val="660033"/>
      <w:spacing w:val="0"/>
    </w:rPr>
  </w:style>
  <w:style w:type="paragraph" w:customStyle="1" w:styleId="Nameditemlist">
    <w:name w:val="Named item list"/>
    <w:basedOn w:val="BodyText"/>
    <w:qFormat/>
    <w:rsid w:val="002C14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2616</Words>
  <Characters>16235</Characters>
  <Application>Microsoft Office Word</Application>
  <DocSecurity>0</DocSecurity>
  <Lines>637</Lines>
  <Paragraphs>250</Paragraphs>
  <ScaleCrop>false</ScaleCrop>
  <Company>Author-it Software Corporation Ltd.</Company>
  <LinksUpToDate>false</LinksUpToDate>
  <CharactersWithSpaces>18661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UETTDRRT12B Maintain energised traction overhead electrical apparatus (stick)</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2012-10-11T18:15:00Z</dcterms:created>
  <dcterms:modified xsi:type="dcterms:W3CDTF">2012-10-11T18:15:00Z</dcterms:modified>
</cp:coreProperties>
</file>