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79A7" w:rsidP="008879A7">
      <w:pPr>
        <w:pStyle w:val="Title"/>
      </w:pPr>
      <w:bookmarkStart w:id="0" w:name="_GoBack"/>
      <w:bookmarkEnd w:id="0"/>
      <w:r>
        <w:fldChar w:fldCharType="begin"/>
      </w:r>
      <w:r>
        <w:instrText xml:space="preserve"> TITLE   \* MERGEFORMAT </w:instrText>
      </w:r>
      <w:r>
        <w:fldChar w:fldCharType="separate"/>
      </w:r>
      <w:r>
        <w:t>UETTDRRT10B Perform rail traction switching operations to a given schedule</w:t>
      </w:r>
      <w:r>
        <w:fldChar w:fldCharType="end"/>
      </w:r>
    </w:p>
    <w:p w:rsidR="008879A7" w:rsidP="008879A7">
      <w:pPr>
        <w:pStyle w:val="Version"/>
        <w:sectPr w:rsidSect="00293A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3A1F" w:rsidP="00293A1F">
      <w:pPr>
        <w:pStyle w:val="SuperHeading"/>
      </w:pPr>
      <w:r w:rsidRPr="00293A1F">
        <w:t>UETTDRRT10B Perform rail traction switching operations to a given schedule</w:t>
      </w:r>
    </w:p>
    <w:p w:rsidR="00000000" w:rsidRPr="00293A1F" w:rsidP="00293A1F">
      <w:pPr>
        <w:pStyle w:val="Heading1"/>
      </w:pPr>
      <w:bookmarkStart w:id="1" w:name="O_275514"/>
      <w:bookmarkEnd w:id="1"/>
      <w:r w:rsidRPr="00293A1F">
        <w:t>Modification History</w:t>
      </w:r>
    </w:p>
    <w:p w:rsidR="00000000" w:rsidRPr="00293A1F" w:rsidP="00293A1F">
      <w:pPr>
        <w:pStyle w:val="BodyText"/>
      </w:pPr>
      <w:r w:rsidRPr="00293A1F">
        <w:t>Not Applicable</w:t>
      </w:r>
    </w:p>
    <w:p w:rsidR="00000000" w:rsidRPr="00293A1F" w:rsidP="00293A1F">
      <w:pPr>
        <w:pStyle w:val="AllowPageBreak"/>
      </w:pPr>
    </w:p>
    <w:p w:rsidR="00000000" w:rsidRPr="00293A1F" w:rsidP="00293A1F">
      <w:pPr>
        <w:pStyle w:val="Heading1"/>
      </w:pPr>
      <w:bookmarkStart w:id="2" w:name="O_231746"/>
      <w:bookmarkEnd w:id="2"/>
      <w:r w:rsidRPr="00293A1F">
        <w:t>Unit Descriptor</w:t>
      </w:r>
    </w:p>
    <w:tbl>
      <w:tblPr>
        <w:tblW w:w="0" w:type="auto"/>
        <w:tblLayout w:type="fixed"/>
        <w:tblCellMar>
          <w:left w:w="62" w:type="dxa"/>
          <w:right w:w="62" w:type="dxa"/>
        </w:tblCellMar>
        <w:tblLook w:val="0000"/>
      </w:tblPr>
      <w:tblGrid>
        <w:gridCol w:w="2758"/>
        <w:gridCol w:w="5882"/>
      </w:tblGrid>
      <w:tr w:rsidTr="008879A7">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293A1F" w:rsidP="00293A1F">
            <w:pPr>
              <w:pStyle w:val="BodyText"/>
            </w:pPr>
            <w:r w:rsidRPr="00293A1F">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293A1F" w:rsidP="00293A1F">
            <w:pPr>
              <w:pStyle w:val="BodyText"/>
            </w:pPr>
            <w:r w:rsidRPr="00293A1F">
              <w:rPr>
                <w:rStyle w:val="SpecialBold"/>
              </w:rPr>
              <w:t>1</w:t>
            </w:r>
            <w:r w:rsidRPr="00293A1F">
              <w:t xml:space="preserve">) </w:t>
            </w:r>
          </w:p>
          <w:p w:rsidR="00000000" w:rsidP="00293A1F">
            <w:pPr>
              <w:pStyle w:val="BodyText"/>
              <w:rPr>
                <w:lang w:val="en-NZ"/>
              </w:rPr>
            </w:pPr>
            <w:r w:rsidRPr="00293A1F">
              <w:rPr>
                <w:rStyle w:val="SpecialBold"/>
              </w:rPr>
              <w:t>1</w:t>
            </w:r>
            <w:r w:rsidRPr="00293A1F">
              <w:t>.</w:t>
            </w:r>
            <w:r w:rsidRPr="00293A1F">
              <w:rPr>
                <w:rStyle w:val="SpecialBold"/>
              </w:rPr>
              <w:t>1</w:t>
            </w:r>
            <w:r w:rsidRPr="00293A1F">
              <w:t xml:space="preserve">) </w:t>
            </w:r>
            <w:r w:rsidRPr="00293A1F">
              <w:rPr>
                <w:rStyle w:val="SpecialBold"/>
              </w:rPr>
              <w:t>Descriptor</w:t>
            </w:r>
          </w:p>
        </w:tc>
      </w:tr>
      <w:tr w:rsidTr="008879A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293A1F" w:rsidP="00293A1F">
            <w:pPr>
              <w:pStyle w:val="BodyText"/>
            </w:pPr>
            <w:r w:rsidRPr="00293A1F">
              <w:t>This Competency Standard Unit covers the operation of circuit breaking and isolation devices associated with energy reticulation systems/networks, which applies to rail systems in field situations according to established procedures. It also encompasses th</w:t>
            </w:r>
            <w:r w:rsidRPr="00293A1F">
              <w:t>e procedure of; communicating with the Switching Control Officer or Electrical Control Officer, isolating the electrical equipment and the line or work site, as well as proving that the area is de-energised and earthed or rail-connected, the issuing/accept</w:t>
            </w:r>
            <w:r w:rsidRPr="00293A1F">
              <w:t>ing or holding of electrical permits and the returning of the affected circuits to service</w:t>
            </w:r>
          </w:p>
        </w:tc>
      </w:tr>
    </w:tbl>
    <w:p w:rsidR="008879A7" w:rsidP="00293A1F">
      <w:pPr>
        <w:pStyle w:val="BodyText"/>
      </w:pPr>
    </w:p>
    <w:p w:rsidR="008879A7" w:rsidP="00293A1F">
      <w:pPr>
        <w:pStyle w:val="BodyText"/>
      </w:pPr>
    </w:p>
    <w:p w:rsidR="00000000" w:rsidRPr="00293A1F" w:rsidP="00293A1F">
      <w:pPr>
        <w:pStyle w:val="Heading1"/>
      </w:pPr>
      <w:bookmarkStart w:id="3" w:name="O_231751"/>
      <w:bookmarkEnd w:id="3"/>
      <w:r w:rsidRPr="00293A1F">
        <w:t>Application of the Unit</w:t>
      </w:r>
    </w:p>
    <w:tbl>
      <w:tblPr>
        <w:tblW w:w="0" w:type="auto"/>
        <w:tblLayout w:type="fixed"/>
        <w:tblCellMar>
          <w:left w:w="62" w:type="dxa"/>
          <w:right w:w="62" w:type="dxa"/>
        </w:tblCellMar>
        <w:tblLook w:val="0000"/>
      </w:tblPr>
      <w:tblGrid>
        <w:gridCol w:w="2758"/>
        <w:gridCol w:w="5882"/>
      </w:tblGrid>
      <w:tr w:rsidTr="008879A7">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293A1F" w:rsidP="00293A1F">
            <w:pPr>
              <w:pStyle w:val="BodyText"/>
            </w:pPr>
            <w:r w:rsidRPr="00293A1F">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rPr>
                <w:rStyle w:val="SpecialBold"/>
              </w:rPr>
              <w:t>4</w:t>
            </w:r>
            <w:r w:rsidRPr="00293A1F">
              <w:t>)</w:t>
            </w:r>
          </w:p>
        </w:tc>
      </w:tr>
      <w:tr w:rsidTr="008879A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293A1F" w:rsidP="00293A1F">
            <w:pPr>
              <w:pStyle w:val="BodyText"/>
            </w:pPr>
            <w:r w:rsidRPr="00293A1F">
              <w:t>This Competency Standard Unit is intended to augment formally acquired competencies. It is s</w:t>
            </w:r>
            <w:r w:rsidRPr="00293A1F">
              <w:t>uitable for employment-based programs under an approved contract of training.</w:t>
            </w:r>
          </w:p>
        </w:tc>
      </w:tr>
    </w:tbl>
    <w:p w:rsidR="008879A7" w:rsidP="00293A1F">
      <w:pPr>
        <w:pStyle w:val="BodyText"/>
      </w:pPr>
    </w:p>
    <w:p w:rsidR="008879A7" w:rsidP="00293A1F">
      <w:pPr>
        <w:pStyle w:val="BodyText"/>
      </w:pPr>
    </w:p>
    <w:p w:rsidR="00000000" w:rsidRPr="00293A1F" w:rsidP="00293A1F">
      <w:pPr>
        <w:pStyle w:val="Heading1"/>
      </w:pPr>
      <w:bookmarkStart w:id="4" w:name="O_231747"/>
      <w:bookmarkEnd w:id="4"/>
      <w:r w:rsidRPr="00293A1F">
        <w:t>Licensing/Regulatory Information</w:t>
      </w:r>
    </w:p>
    <w:tbl>
      <w:tblPr>
        <w:tblW w:w="0" w:type="auto"/>
        <w:tblLayout w:type="fixed"/>
        <w:tblCellMar>
          <w:left w:w="62" w:type="dxa"/>
          <w:right w:w="62" w:type="dxa"/>
        </w:tblCellMar>
        <w:tblLook w:val="0000"/>
      </w:tblPr>
      <w:tblGrid>
        <w:gridCol w:w="8640"/>
      </w:tblGrid>
      <w:tr w:rsidTr="008879A7">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rPr>
                <w:rStyle w:val="SpecialBold"/>
              </w:rPr>
              <w:t>1</w:t>
            </w:r>
            <w:r w:rsidRPr="00293A1F">
              <w:t>.</w:t>
            </w:r>
            <w:r w:rsidRPr="00293A1F">
              <w:rPr>
                <w:rStyle w:val="SpecialBold"/>
              </w:rPr>
              <w:t>2</w:t>
            </w:r>
            <w:r w:rsidRPr="00293A1F">
              <w:t xml:space="preserve">) </w:t>
            </w:r>
            <w:r w:rsidRPr="00293A1F">
              <w:rPr>
                <w:rStyle w:val="SpecialBold"/>
              </w:rPr>
              <w:t>License to practice</w:t>
            </w:r>
          </w:p>
        </w:tc>
      </w:tr>
      <w:tr w:rsidTr="008879A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93A1F" w:rsidP="00293A1F">
            <w:pPr>
              <w:pStyle w:val="BodyText"/>
            </w:pPr>
            <w:r w:rsidRPr="00293A1F">
              <w:t>The skills and knowledge described in this unit may require a licence/registration to practice in the work place subject to regulations for undertaking of electrical work. Practice in workplace and during training is also subject to regulations directly re</w:t>
            </w:r>
            <w:r w:rsidRPr="00293A1F">
              <w:t>lated to Occupational Health and Safety, electricity/telecommunications/gas/water industry safety and compliance, industrial relations, environmental protection, anti discrimination and training. Commonwealth, State/Territory or Local Government legislatio</w:t>
            </w:r>
            <w:r w:rsidRPr="00293A1F">
              <w:t>n and regulations may exist that limits the age of operating certain equipment.</w:t>
            </w:r>
          </w:p>
        </w:tc>
      </w:tr>
    </w:tbl>
    <w:p w:rsidR="008879A7" w:rsidP="00293A1F">
      <w:pPr>
        <w:pStyle w:val="BodyText"/>
      </w:pPr>
    </w:p>
    <w:p w:rsidR="008879A7" w:rsidP="00293A1F">
      <w:pPr>
        <w:pStyle w:val="BodyText"/>
      </w:pPr>
    </w:p>
    <w:p w:rsidR="00000000" w:rsidRPr="00293A1F" w:rsidP="00293A1F">
      <w:pPr>
        <w:pStyle w:val="Heading1"/>
      </w:pPr>
      <w:bookmarkStart w:id="5" w:name="O_231748"/>
      <w:bookmarkEnd w:id="5"/>
      <w:r w:rsidRPr="00293A1F">
        <w:t>Pre-Requisites</w:t>
      </w:r>
    </w:p>
    <w:tbl>
      <w:tblPr>
        <w:tblW w:w="0" w:type="auto"/>
        <w:tblLayout w:type="fixed"/>
        <w:tblCellMar>
          <w:left w:w="62" w:type="dxa"/>
          <w:right w:w="62" w:type="dxa"/>
        </w:tblCellMar>
        <w:tblLook w:val="0000"/>
      </w:tblPr>
      <w:tblGrid>
        <w:gridCol w:w="2758"/>
        <w:gridCol w:w="735"/>
        <w:gridCol w:w="2022"/>
        <w:gridCol w:w="3125"/>
      </w:tblGrid>
      <w:tr w:rsidTr="008879A7">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293A1F" w:rsidP="00293A1F">
            <w:pPr>
              <w:pStyle w:val="BodyText"/>
            </w:pPr>
            <w:r w:rsidRPr="00293A1F">
              <w:rPr>
                <w:rStyle w:val="SpecialBold"/>
              </w:rPr>
              <w:t>Prerequisite Unit</w:t>
            </w:r>
            <w:r w:rsidRPr="00293A1F">
              <w:t>(</w:t>
            </w:r>
            <w:r w:rsidRPr="00293A1F">
              <w:rPr>
                <w:rStyle w:val="SpecialBold"/>
              </w:rPr>
              <w:t>s</w:t>
            </w:r>
            <w:r w:rsidRPr="00293A1F">
              <w:t>)</w:t>
            </w:r>
          </w:p>
        </w:tc>
        <w:tc>
          <w:tcPr>
            <w:tcW w:w="5882" w:type="dxa"/>
            <w:gridSpan w:val="3"/>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rPr>
                <w:rStyle w:val="SpecialBold"/>
              </w:rPr>
              <w:t>2</w:t>
            </w:r>
            <w:r w:rsidRPr="00293A1F">
              <w:t xml:space="preserve">) </w:t>
            </w:r>
          </w:p>
        </w:tc>
      </w:tr>
      <w:tr w:rsidTr="008879A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293A1F">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rPr>
                <w:rStyle w:val="SpecialBold"/>
              </w:rPr>
              <w:t>2</w:t>
            </w:r>
            <w:r w:rsidRPr="00293A1F">
              <w:t>.</w:t>
            </w:r>
            <w:r w:rsidRPr="00293A1F">
              <w:rPr>
                <w:rStyle w:val="SpecialBold"/>
              </w:rPr>
              <w:t>1</w:t>
            </w:r>
            <w:r w:rsidRPr="00293A1F">
              <w:t xml:space="preserve">) </w:t>
            </w:r>
            <w:r w:rsidRPr="00293A1F">
              <w:rPr>
                <w:rStyle w:val="SpecialBold"/>
              </w:rPr>
              <w:t>Competencies</w:t>
            </w:r>
          </w:p>
        </w:tc>
      </w:tr>
      <w:tr w:rsidTr="008879A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Granting of competency in this u</w:t>
            </w:r>
            <w:r w:rsidRPr="00293A1F">
              <w:t>nit shall be made only after competency in the following unit(s) has/have been confirmed:.</w:t>
            </w:r>
          </w:p>
        </w:tc>
      </w:tr>
      <w:tr w:rsidTr="008879A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UETTDRRT02B</w:t>
            </w:r>
          </w:p>
        </w:tc>
        <w:tc>
          <w:tcPr>
            <w:tcW w:w="3125"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Maintain overhead traction wiring systems</w:t>
            </w:r>
          </w:p>
        </w:tc>
      </w:tr>
      <w:tr w:rsidTr="008879A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and</w:t>
            </w:r>
          </w:p>
        </w:tc>
        <w:tc>
          <w:tcPr>
            <w:tcW w:w="2022"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UETTDRRT08B</w:t>
            </w:r>
          </w:p>
        </w:tc>
        <w:tc>
          <w:tcPr>
            <w:tcW w:w="3125"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Maintain overhead traction equipment and components</w:t>
            </w:r>
          </w:p>
        </w:tc>
      </w:tr>
      <w:tr w:rsidTr="008879A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293A1F" w:rsidP="00293A1F">
            <w:pPr>
              <w:pStyle w:val="BodyText"/>
            </w:pPr>
            <w:r w:rsidRPr="00293A1F">
              <w:t>For the full prerequisite chain details for this unit please refer to Table 3 in Volume 1, Part 2</w:t>
            </w:r>
          </w:p>
        </w:tc>
      </w:tr>
    </w:tbl>
    <w:p w:rsidR="008879A7" w:rsidP="00293A1F">
      <w:pPr>
        <w:pStyle w:val="BodyText"/>
      </w:pPr>
    </w:p>
    <w:p w:rsidR="008879A7" w:rsidP="00293A1F">
      <w:pPr>
        <w:pStyle w:val="BodyText"/>
      </w:pPr>
    </w:p>
    <w:p w:rsidR="00000000" w:rsidRPr="00293A1F" w:rsidP="00293A1F">
      <w:pPr>
        <w:pStyle w:val="Heading1"/>
      </w:pPr>
      <w:bookmarkStart w:id="6" w:name="O_231750"/>
      <w:bookmarkEnd w:id="6"/>
      <w:r w:rsidRPr="00293A1F">
        <w:t>Employability Skills Information</w:t>
      </w:r>
    </w:p>
    <w:tbl>
      <w:tblPr>
        <w:tblW w:w="0" w:type="auto"/>
        <w:tblLayout w:type="fixed"/>
        <w:tblCellMar>
          <w:left w:w="62" w:type="dxa"/>
          <w:right w:w="62" w:type="dxa"/>
        </w:tblCellMar>
        <w:tblLook w:val="0000"/>
      </w:tblPr>
      <w:tblGrid>
        <w:gridCol w:w="2758"/>
        <w:gridCol w:w="5882"/>
      </w:tblGrid>
      <w:tr w:rsidTr="008879A7">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293A1F" w:rsidP="00293A1F">
            <w:pPr>
              <w:pStyle w:val="BodyText"/>
            </w:pPr>
            <w:r w:rsidRPr="00293A1F">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293A1F" w:rsidP="00293A1F">
            <w:pPr>
              <w:pStyle w:val="BodyText"/>
            </w:pPr>
            <w:r w:rsidRPr="00293A1F">
              <w:rPr>
                <w:rStyle w:val="SpecialBold"/>
              </w:rPr>
              <w:t>3</w:t>
            </w:r>
            <w:r w:rsidRPr="00293A1F">
              <w:t>)</w:t>
            </w:r>
          </w:p>
          <w:p w:rsidR="00000000" w:rsidRPr="00293A1F" w:rsidP="00293A1F">
            <w:pPr>
              <w:pStyle w:val="BodyText"/>
            </w:pPr>
            <w:r w:rsidRPr="00293A1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93A1F">
              <w:t>requirements.</w:t>
            </w:r>
          </w:p>
        </w:tc>
      </w:tr>
    </w:tbl>
    <w:p w:rsidR="008879A7" w:rsidP="00293A1F">
      <w:pPr>
        <w:pStyle w:val="BodyText"/>
      </w:pPr>
    </w:p>
    <w:p w:rsidR="008879A7" w:rsidP="00293A1F">
      <w:pPr>
        <w:pStyle w:val="BodyText"/>
      </w:pPr>
    </w:p>
    <w:p w:rsidR="00000000" w:rsidRPr="00293A1F" w:rsidP="00293A1F">
      <w:pPr>
        <w:pStyle w:val="Heading1"/>
      </w:pPr>
      <w:bookmarkStart w:id="7" w:name="O_293560"/>
      <w:bookmarkEnd w:id="7"/>
      <w:r w:rsidRPr="00293A1F">
        <w:t>Elements and Performance Criteria Pre-Content</w:t>
      </w:r>
    </w:p>
    <w:tbl>
      <w:tblPr>
        <w:tblW w:w="0" w:type="auto"/>
        <w:tblLayout w:type="fixed"/>
        <w:tblCellMar>
          <w:left w:w="62" w:type="dxa"/>
          <w:right w:w="62" w:type="dxa"/>
        </w:tblCellMar>
        <w:tblLook w:val="0000"/>
      </w:tblPr>
      <w:tblGrid>
        <w:gridCol w:w="2758"/>
        <w:gridCol w:w="5882"/>
      </w:tblGrid>
      <w:tr w:rsidTr="008879A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rPr>
                <w:rStyle w:val="SpecialBold"/>
              </w:rPr>
              <w:t>6</w:t>
            </w:r>
            <w:r w:rsidRPr="00293A1F">
              <w:t xml:space="preserve">) </w:t>
            </w:r>
            <w:r w:rsidRPr="00293A1F">
              <w:rPr>
                <w:rStyle w:val="SpecialBold"/>
              </w:rPr>
              <w:t>Elements</w:t>
            </w:r>
            <w:r w:rsidRPr="00293A1F">
              <w:t>: Elements describe the essential outcomes of a competency standard unit</w:t>
            </w:r>
          </w:p>
        </w:tc>
        <w:tc>
          <w:tcPr>
            <w:tcW w:w="5882" w:type="dxa"/>
            <w:tcBorders>
              <w:top w:val="nil"/>
              <w:left w:val="nil"/>
              <w:bottom w:val="nil"/>
              <w:right w:val="nil"/>
            </w:tcBorders>
            <w:tcMar>
              <w:top w:w="0" w:type="dxa"/>
              <w:left w:w="62" w:type="dxa"/>
              <w:bottom w:w="0" w:type="dxa"/>
              <w:right w:w="62" w:type="dxa"/>
            </w:tcMar>
          </w:tcPr>
          <w:p w:rsidR="00000000" w:rsidRPr="00293A1F" w:rsidP="00293A1F">
            <w:pPr>
              <w:pStyle w:val="BodyText"/>
            </w:pPr>
            <w:r w:rsidRPr="00293A1F">
              <w:t xml:space="preserve">Performance Criteria describe the required performance needed to demonstrate achievement of </w:t>
            </w:r>
            <w:r w:rsidRPr="00293A1F">
              <w:t>the element. Assessment of performance is to be consistent with the evidence guide.</w:t>
            </w:r>
          </w:p>
        </w:tc>
      </w:tr>
    </w:tbl>
    <w:p w:rsidR="00000000" w:rsidRPr="00293A1F" w:rsidP="00293A1F">
      <w:pPr>
        <w:pStyle w:val="BodyText"/>
      </w:pPr>
    </w:p>
    <w:p w:rsidR="00000000" w:rsidRPr="00293A1F" w:rsidP="00293A1F">
      <w:pPr>
        <w:pStyle w:val="AllowPageBreak"/>
      </w:pPr>
    </w:p>
    <w:p w:rsidR="00000000" w:rsidRPr="00293A1F" w:rsidP="00293A1F">
      <w:pPr>
        <w:pStyle w:val="Heading1"/>
      </w:pPr>
      <w:bookmarkStart w:id="8" w:name="O_240228"/>
      <w:bookmarkEnd w:id="8"/>
      <w:r w:rsidRPr="00293A1F">
        <w:t>Elements and Performance Criteria</w:t>
      </w:r>
    </w:p>
    <w:tbl>
      <w:tblPr>
        <w:tblW w:w="0" w:type="auto"/>
        <w:tblLayout w:type="fixed"/>
        <w:tblCellMar>
          <w:left w:w="62" w:type="dxa"/>
          <w:right w:w="62" w:type="dxa"/>
        </w:tblCellMar>
        <w:tblLook w:val="0000"/>
      </w:tblPr>
      <w:tblGrid>
        <w:gridCol w:w="413"/>
        <w:gridCol w:w="2345"/>
        <w:gridCol w:w="919"/>
        <w:gridCol w:w="4963"/>
      </w:tblGrid>
      <w:tr w:rsidTr="008879A7">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293A1F" w:rsidP="00293A1F">
            <w:pPr>
              <w:pStyle w:val="BodyText"/>
            </w:pPr>
            <w:r w:rsidRPr="00293A1F">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rPr>
                <w:rStyle w:val="SpecialBold"/>
              </w:rPr>
              <w:t>PERFORMANCE CRITERIA</w:t>
            </w:r>
          </w:p>
        </w:tc>
      </w:tr>
      <w:tr w:rsidTr="008879A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1</w:t>
            </w:r>
          </w:p>
        </w:tc>
        <w:tc>
          <w:tcPr>
            <w:tcW w:w="2345"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Prepare for rail traction switching operations to a given schedule</w:t>
            </w:r>
          </w:p>
        </w:tc>
        <w:tc>
          <w:tcPr>
            <w:tcW w:w="919"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1.1</w:t>
            </w:r>
          </w:p>
        </w:tc>
        <w:tc>
          <w:tcPr>
            <w:tcW w:w="4963"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Works schedule(s), including drawings, plans, requirements, established procedures, and material lists, are received, analysed and confirmed, if necessary, by site inspection.</w:t>
            </w:r>
          </w:p>
        </w:tc>
      </w:tr>
      <w:tr w:rsidTr="008879A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1.2</w:t>
            </w:r>
          </w:p>
        </w:tc>
        <w:tc>
          <w:tcPr>
            <w:tcW w:w="4963"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Relevant requirements and established procedures for the work are communi</w:t>
            </w:r>
            <w:r w:rsidRPr="00293A1F">
              <w:t>cated to all personnel and identified for all work sites.</w:t>
            </w:r>
          </w:p>
        </w:tc>
      </w:tr>
      <w:tr w:rsidTr="008879A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1.3</w:t>
            </w:r>
          </w:p>
        </w:tc>
        <w:tc>
          <w:tcPr>
            <w:tcW w:w="4963"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 xml:space="preserve">OHS policies and procedures related to requirements and established procedures for rail traction switching operations to a given schedule are </w:t>
            </w:r>
            <w:r w:rsidRPr="00293A1F">
              <w:t>obtained and confirmed for the purposes of the work to be performed and communicated.</w:t>
            </w:r>
          </w:p>
        </w:tc>
      </w:tr>
      <w:tr w:rsidTr="008879A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1.4</w:t>
            </w:r>
          </w:p>
        </w:tc>
        <w:tc>
          <w:tcPr>
            <w:tcW w:w="4963"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Work is prioritised and sequenced following consultation with others for completion within acceptable timeframes and in accordance with established procedures.</w:t>
            </w:r>
          </w:p>
        </w:tc>
      </w:tr>
      <w:tr w:rsidTr="008879A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1.5</w:t>
            </w:r>
          </w:p>
        </w:tc>
        <w:tc>
          <w:tcPr>
            <w:tcW w:w="4963"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Hazards are identified; OHS risks assessed and control measures are prioritised, implemented and monitored including emergency exits kept clear according to established procedures.</w:t>
            </w:r>
          </w:p>
        </w:tc>
      </w:tr>
      <w:tr w:rsidTr="008879A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1.6</w:t>
            </w:r>
          </w:p>
        </w:tc>
        <w:tc>
          <w:tcPr>
            <w:tcW w:w="4963"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Relevant work permits are obtained to access and perform work ac</w:t>
            </w:r>
            <w:r w:rsidRPr="00293A1F">
              <w:t>cording to requirements and/or established procedures.</w:t>
            </w:r>
          </w:p>
        </w:tc>
      </w:tr>
      <w:tr w:rsidTr="008879A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1.7</w:t>
            </w:r>
          </w:p>
        </w:tc>
        <w:tc>
          <w:tcPr>
            <w:tcW w:w="4963"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Resources including personnel, equipment, tools and personal protective equipment required for the job are obtained and confirmed in working order.</w:t>
            </w:r>
          </w:p>
        </w:tc>
      </w:tr>
      <w:tr w:rsidTr="008879A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1.8</w:t>
            </w:r>
          </w:p>
        </w:tc>
        <w:tc>
          <w:tcPr>
            <w:tcW w:w="4963"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Relevant personnel at worksite are confirmed current in CPR, First Aid, and other rescue procedures and related work procedures according to requirements.</w:t>
            </w:r>
          </w:p>
        </w:tc>
      </w:tr>
      <w:tr w:rsidTr="008879A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1.9</w:t>
            </w:r>
          </w:p>
        </w:tc>
        <w:tc>
          <w:tcPr>
            <w:tcW w:w="4963"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Liaison and communication issues with other/authorised personnel, authorities, clients and lan</w:t>
            </w:r>
            <w:r w:rsidRPr="00293A1F">
              <w:t>d owners are resolved to carry out work where necessary.</w:t>
            </w:r>
          </w:p>
        </w:tc>
      </w:tr>
      <w:tr w:rsidTr="008879A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1.10</w:t>
            </w:r>
          </w:p>
        </w:tc>
        <w:tc>
          <w:tcPr>
            <w:tcW w:w="4963"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Modifications to the scheduled which may be required after assessing the worksite is communicated to appropriate personnel for formal approval.</w:t>
            </w:r>
          </w:p>
        </w:tc>
      </w:tr>
      <w:tr w:rsidTr="008879A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1.11</w:t>
            </w:r>
          </w:p>
        </w:tc>
        <w:tc>
          <w:tcPr>
            <w:tcW w:w="4963"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 xml:space="preserve">Site is prepared according to the work </w:t>
            </w:r>
            <w:r w:rsidRPr="00293A1F">
              <w:t>schedule and to minimise risk and damage to property, commerce, and individuals in accordance with established procedures.</w:t>
            </w:r>
          </w:p>
        </w:tc>
      </w:tr>
      <w:tr w:rsidTr="008879A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1.12</w:t>
            </w:r>
          </w:p>
        </w:tc>
        <w:tc>
          <w:tcPr>
            <w:tcW w:w="4963"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Personnel participating in the work, including plant operators and contractors, are fully briefed and respective responsibilities confirmed where applicable in accordance with established procedures.</w:t>
            </w:r>
          </w:p>
        </w:tc>
      </w:tr>
      <w:tr w:rsidTr="008879A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1.13</w:t>
            </w:r>
          </w:p>
        </w:tc>
        <w:tc>
          <w:tcPr>
            <w:tcW w:w="4963"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Safe working, road signs, barriers and warning d</w:t>
            </w:r>
            <w:r w:rsidRPr="00293A1F">
              <w:t>evices are in place in accordance with requirements.</w:t>
            </w:r>
          </w:p>
        </w:tc>
      </w:tr>
      <w:tr w:rsidTr="008879A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2</w:t>
            </w:r>
          </w:p>
        </w:tc>
        <w:tc>
          <w:tcPr>
            <w:tcW w:w="2345"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Carry out rail traction switching operations to a given schedule</w:t>
            </w:r>
          </w:p>
        </w:tc>
        <w:tc>
          <w:tcPr>
            <w:tcW w:w="919"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2.1</w:t>
            </w:r>
          </w:p>
        </w:tc>
        <w:tc>
          <w:tcPr>
            <w:tcW w:w="4963"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OHS principles and practices to reduce incidents and accidents are followed in accordance with requirements and/or established proc</w:t>
            </w:r>
            <w:r w:rsidRPr="00293A1F">
              <w:t>edures.</w:t>
            </w:r>
          </w:p>
        </w:tc>
      </w:tr>
      <w:tr w:rsidTr="008879A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2.2</w:t>
            </w:r>
          </w:p>
        </w:tc>
        <w:tc>
          <w:tcPr>
            <w:tcW w:w="4963"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Lifting, climbing, working aloft, and use of power tools/equipment, techniques and practices are safely followed and, currency according to requirements confirmed.</w:t>
            </w:r>
          </w:p>
        </w:tc>
      </w:tr>
      <w:tr w:rsidTr="008879A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2.3</w:t>
            </w:r>
          </w:p>
        </w:tc>
        <w:tc>
          <w:tcPr>
            <w:tcW w:w="4963"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Essential knowledge and associated skills are applied in the safe switching of rail traction operations to ensure completion in an agreed timeframe and, to quality standards.</w:t>
            </w:r>
          </w:p>
        </w:tc>
      </w:tr>
      <w:tr w:rsidTr="008879A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2.4</w:t>
            </w:r>
          </w:p>
        </w:tc>
        <w:tc>
          <w:tcPr>
            <w:tcW w:w="4963"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Communications with Switching Control Officer are established and maintain</w:t>
            </w:r>
            <w:r w:rsidRPr="00293A1F">
              <w:t>ed throughout the isolation operation according to established procedures.</w:t>
            </w:r>
          </w:p>
        </w:tc>
      </w:tr>
      <w:tr w:rsidTr="008879A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2.5</w:t>
            </w:r>
          </w:p>
        </w:tc>
        <w:tc>
          <w:tcPr>
            <w:tcW w:w="4963"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Electrical equipment and associated circuits line/network or work site to be switched is isolated and proved de-energised using appropriate devices and earthed or rail connec</w:t>
            </w:r>
            <w:r w:rsidRPr="00293A1F">
              <w:t>ted where required according to requirements and established procedures.</w:t>
            </w:r>
          </w:p>
        </w:tc>
      </w:tr>
      <w:tr w:rsidTr="008879A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2.6</w:t>
            </w:r>
          </w:p>
        </w:tc>
        <w:tc>
          <w:tcPr>
            <w:tcW w:w="4963"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Rail traction switching to a schedule is carried out, in accordance with requirements/established procedures.</w:t>
            </w:r>
          </w:p>
        </w:tc>
      </w:tr>
      <w:tr w:rsidTr="008879A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2.7</w:t>
            </w:r>
          </w:p>
        </w:tc>
        <w:tc>
          <w:tcPr>
            <w:tcW w:w="4963"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Hazard warnings and safety signs are recognised and hazards and assessed OHS risks are reported to the immediate authorised persons for directions according to established procedures.</w:t>
            </w:r>
          </w:p>
        </w:tc>
      </w:tr>
      <w:tr w:rsidTr="008879A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2.8</w:t>
            </w:r>
          </w:p>
        </w:tc>
        <w:tc>
          <w:tcPr>
            <w:tcW w:w="4963"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Known solutions to a variety of problems are applied using acquir</w:t>
            </w:r>
            <w:r w:rsidRPr="00293A1F">
              <w:t>ed essential knowledge and associated skills.</w:t>
            </w:r>
          </w:p>
        </w:tc>
      </w:tr>
      <w:tr w:rsidTr="008879A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2.9</w:t>
            </w:r>
          </w:p>
        </w:tc>
        <w:tc>
          <w:tcPr>
            <w:tcW w:w="4963"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On going checks of quality of the work are undertaken in accordance with instructions and established procedures.</w:t>
            </w:r>
          </w:p>
        </w:tc>
      </w:tr>
      <w:tr w:rsidTr="008879A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3</w:t>
            </w:r>
          </w:p>
        </w:tc>
        <w:tc>
          <w:tcPr>
            <w:tcW w:w="2345" w:type="dxa"/>
            <w:vMerge w:val="restart"/>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Complete the rail traction switching operations to a given schedule</w:t>
            </w:r>
          </w:p>
        </w:tc>
        <w:tc>
          <w:tcPr>
            <w:tcW w:w="919"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3.1</w:t>
            </w:r>
          </w:p>
        </w:tc>
        <w:tc>
          <w:tcPr>
            <w:tcW w:w="4963"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Work undertake</w:t>
            </w:r>
            <w:r w:rsidRPr="00293A1F">
              <w:t>n is checked against works schedule for conformance with requirements and anomalies reported in accordance with established procedures.</w:t>
            </w:r>
          </w:p>
        </w:tc>
      </w:tr>
      <w:tr w:rsidTr="008879A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3.2</w:t>
            </w:r>
          </w:p>
        </w:tc>
        <w:tc>
          <w:tcPr>
            <w:tcW w:w="4963"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Accidents and/or injuries are reported in accordance with requirements/established procedures, where applicable.</w:t>
            </w:r>
          </w:p>
        </w:tc>
      </w:tr>
      <w:tr w:rsidTr="008879A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3.3</w:t>
            </w:r>
          </w:p>
        </w:tc>
        <w:tc>
          <w:tcPr>
            <w:tcW w:w="4963"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Work site is rehabilitated, cleaned up and made safe in accordance with established procedures.</w:t>
            </w:r>
          </w:p>
        </w:tc>
      </w:tr>
      <w:tr w:rsidTr="008879A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3.4</w:t>
            </w:r>
          </w:p>
        </w:tc>
        <w:tc>
          <w:tcPr>
            <w:tcW w:w="4963"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 xml:space="preserve">Tools, equipment and any surplus resources and materials are, where appropriate, cleaned, checked and returned to storage in accordance with </w:t>
            </w:r>
            <w:r w:rsidRPr="00293A1F">
              <w:t>established procedures.</w:t>
            </w:r>
          </w:p>
        </w:tc>
      </w:tr>
      <w:tr w:rsidTr="008879A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3.5</w:t>
            </w:r>
          </w:p>
        </w:tc>
        <w:tc>
          <w:tcPr>
            <w:tcW w:w="4963"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Relevant work permit(s) are signed off, safety devices are removed, and the system is made ready to be re-energised and returned to service in accordance with requirements/established procedures.</w:t>
            </w:r>
          </w:p>
        </w:tc>
      </w:tr>
      <w:tr w:rsidTr="008879A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3.6</w:t>
            </w:r>
          </w:p>
        </w:tc>
        <w:tc>
          <w:tcPr>
            <w:tcW w:w="4963" w:type="dxa"/>
            <w:tcBorders>
              <w:top w:val="nil"/>
              <w:left w:val="nil"/>
              <w:bottom w:val="nil"/>
              <w:right w:val="nil"/>
            </w:tcBorders>
            <w:tcMar>
              <w:top w:w="0" w:type="dxa"/>
              <w:left w:w="62" w:type="dxa"/>
              <w:bottom w:w="0" w:type="dxa"/>
              <w:right w:w="62" w:type="dxa"/>
            </w:tcMar>
          </w:tcPr>
          <w:p w:rsidR="00000000" w:rsidRPr="00293A1F" w:rsidP="00293A1F">
            <w:pPr>
              <w:pStyle w:val="BodyText"/>
            </w:pPr>
            <w:r w:rsidRPr="00293A1F">
              <w:t>Works completion recor</w:t>
            </w:r>
            <w:r w:rsidRPr="00293A1F">
              <w:t>ds, reports, as installed /modified drawing and/or documentation and information are finalised and processed and appropriate personnel and authority notified.</w:t>
            </w:r>
          </w:p>
        </w:tc>
      </w:tr>
    </w:tbl>
    <w:p w:rsidR="008879A7" w:rsidP="00293A1F">
      <w:pPr>
        <w:pStyle w:val="BodyText"/>
      </w:pPr>
    </w:p>
    <w:p w:rsidR="008879A7" w:rsidP="00293A1F">
      <w:pPr>
        <w:pStyle w:val="BodyText"/>
      </w:pPr>
    </w:p>
    <w:p w:rsidR="00000000" w:rsidRPr="00293A1F" w:rsidP="00293A1F">
      <w:pPr>
        <w:pStyle w:val="Heading1"/>
      </w:pPr>
      <w:bookmarkStart w:id="9" w:name="O_264019"/>
      <w:bookmarkEnd w:id="9"/>
      <w:r w:rsidRPr="00293A1F">
        <w:t>Required Skills and Knowledge</w:t>
      </w:r>
    </w:p>
    <w:tbl>
      <w:tblPr>
        <w:tblW w:w="0" w:type="auto"/>
        <w:tblLayout w:type="fixed"/>
        <w:tblCellMar>
          <w:left w:w="62" w:type="dxa"/>
          <w:right w:w="62" w:type="dxa"/>
        </w:tblCellMar>
        <w:tblLook w:val="0000"/>
      </w:tblPr>
      <w:tblGrid>
        <w:gridCol w:w="2817"/>
        <w:gridCol w:w="1126"/>
        <w:gridCol w:w="4697"/>
      </w:tblGrid>
      <w:tr w:rsidTr="008879A7">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rPr>
                <w:rStyle w:val="SpecialBold"/>
              </w:rPr>
              <w:t>REQUIRED SKILLS AND KNOWLEDGE</w:t>
            </w:r>
          </w:p>
        </w:tc>
      </w:tr>
      <w:tr w:rsidTr="008879A7">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rPr>
                <w:rStyle w:val="SpecialBold"/>
              </w:rPr>
              <w:t>7</w:t>
            </w:r>
            <w:r w:rsidRPr="00293A1F">
              <w:t xml:space="preserve">) </w:t>
            </w:r>
            <w:r w:rsidRPr="00293A1F">
              <w:rPr>
                <w:rStyle w:val="SpecialBold"/>
              </w:rPr>
              <w:t>Essential Knowledge and Associated Skills</w:t>
            </w:r>
            <w:r w:rsidRPr="00293A1F">
              <w:t xml:space="preserve"> (</w:t>
            </w:r>
            <w:r w:rsidRPr="00293A1F">
              <w:rPr>
                <w:rStyle w:val="SpecialBold"/>
              </w:rPr>
              <w:t>EKAS</w:t>
            </w:r>
            <w:r w:rsidRPr="00293A1F">
              <w:t>): This describes the essential skills and knowledge and their level, required for this unit.</w:t>
            </w:r>
          </w:p>
        </w:tc>
      </w:tr>
      <w:tr w:rsidTr="008879A7">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293A1F" w:rsidP="00293A1F">
            <w:pPr>
              <w:pStyle w:val="BodyText"/>
            </w:pPr>
            <w:r w:rsidRPr="00293A1F">
              <w:t>Evidence shall show that knowledge has been acquired of performing rail traction switching operations to a given</w:t>
            </w:r>
            <w:r w:rsidRPr="00293A1F">
              <w:t xml:space="preserve"> schedule.</w:t>
            </w:r>
          </w:p>
          <w:p w:rsidR="00000000" w:rsidRPr="00293A1F" w:rsidP="00293A1F">
            <w:pPr>
              <w:pStyle w:val="BodyText"/>
            </w:pPr>
            <w:r w:rsidRPr="00293A1F">
              <w:t>All knowledge and skills detailed in this unit should be contextualised to current industry practices and technologies.</w:t>
            </w:r>
          </w:p>
          <w:p w:rsidR="00000000" w:rsidP="00293A1F">
            <w:pPr>
              <w:pStyle w:val="BodyText"/>
              <w:rPr>
                <w:lang w:val="en-NZ"/>
              </w:rPr>
            </w:pPr>
            <w:r w:rsidRPr="00293A1F">
              <w:t>The extent of the essential knowledge and associated skills (EKAS) required is given in Volume 2 - Part 2.2 EKAS. It forms an</w:t>
            </w:r>
            <w:r w:rsidRPr="00293A1F">
              <w:t xml:space="preserve"> integral part of this unit.</w:t>
            </w:r>
          </w:p>
        </w:tc>
      </w:tr>
      <w:tr w:rsidTr="008879A7">
        <w:tblPrEx>
          <w:tblW w:w="0" w:type="auto"/>
          <w:tblLayout w:type="fixed"/>
          <w:tblCellMar>
            <w:left w:w="62" w:type="dxa"/>
            <w:right w:w="62" w:type="dxa"/>
          </w:tblCellMar>
          <w:tblLook w:val="0000"/>
        </w:tblPrEx>
        <w:tc>
          <w:tcPr>
            <w:tcW w:w="28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6"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 xml:space="preserve">T2.2.4 </w:t>
            </w:r>
          </w:p>
        </w:tc>
        <w:tc>
          <w:tcPr>
            <w:tcW w:w="4697"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Powerline distribution installation</w:t>
            </w:r>
          </w:p>
        </w:tc>
      </w:tr>
      <w:tr w:rsidTr="008879A7">
        <w:tblPrEx>
          <w:tblW w:w="0" w:type="auto"/>
          <w:tblLayout w:type="fixed"/>
          <w:tblCellMar>
            <w:left w:w="62" w:type="dxa"/>
            <w:right w:w="62" w:type="dxa"/>
          </w:tblCellMar>
          <w:tblLook w:val="0000"/>
        </w:tblPrEx>
        <w:tc>
          <w:tcPr>
            <w:tcW w:w="28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6"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 xml:space="preserve">T2.2.5 </w:t>
            </w:r>
          </w:p>
        </w:tc>
        <w:tc>
          <w:tcPr>
            <w:tcW w:w="4697"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Powerline installation safety</w:t>
            </w:r>
          </w:p>
        </w:tc>
      </w:tr>
      <w:tr w:rsidTr="008879A7">
        <w:tblPrEx>
          <w:tblW w:w="0" w:type="auto"/>
          <w:tblLayout w:type="fixed"/>
          <w:tblCellMar>
            <w:left w:w="62" w:type="dxa"/>
            <w:right w:w="62" w:type="dxa"/>
          </w:tblCellMar>
          <w:tblLook w:val="0000"/>
        </w:tblPrEx>
        <w:tc>
          <w:tcPr>
            <w:tcW w:w="28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6"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 xml:space="preserve">T2.4.1 </w:t>
            </w:r>
          </w:p>
        </w:tc>
        <w:tc>
          <w:tcPr>
            <w:tcW w:w="4697"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Switchgear installation</w:t>
            </w:r>
          </w:p>
        </w:tc>
      </w:tr>
      <w:tr w:rsidTr="008879A7">
        <w:tblPrEx>
          <w:tblW w:w="0" w:type="auto"/>
          <w:tblLayout w:type="fixed"/>
          <w:tblCellMar>
            <w:left w:w="62" w:type="dxa"/>
            <w:right w:w="62" w:type="dxa"/>
          </w:tblCellMar>
          <w:tblLook w:val="0000"/>
        </w:tblPrEx>
        <w:tc>
          <w:tcPr>
            <w:tcW w:w="28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6"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 xml:space="preserve">T2.4.2 </w:t>
            </w:r>
          </w:p>
        </w:tc>
        <w:tc>
          <w:tcPr>
            <w:tcW w:w="4697" w:type="dxa"/>
            <w:tcBorders>
              <w:top w:val="nil"/>
              <w:left w:val="nil"/>
              <w:bottom w:val="nil"/>
              <w:right w:val="nil"/>
            </w:tcBorders>
            <w:tcMar>
              <w:top w:w="0" w:type="dxa"/>
              <w:left w:w="62" w:type="dxa"/>
              <w:bottom w:w="0" w:type="dxa"/>
              <w:right w:w="62" w:type="dxa"/>
            </w:tcMar>
          </w:tcPr>
          <w:p w:rsidR="00000000" w:rsidRPr="00293A1F" w:rsidP="00293A1F">
            <w:pPr>
              <w:pStyle w:val="BodyText"/>
            </w:pPr>
            <w:r w:rsidRPr="00293A1F">
              <w:t>Low voltage switching principles</w:t>
            </w:r>
          </w:p>
        </w:tc>
      </w:tr>
    </w:tbl>
    <w:p w:rsidR="008879A7" w:rsidP="00293A1F">
      <w:pPr>
        <w:pStyle w:val="BodyText"/>
      </w:pPr>
    </w:p>
    <w:p w:rsidR="008879A7" w:rsidP="00293A1F">
      <w:pPr>
        <w:pStyle w:val="BodyText"/>
      </w:pPr>
    </w:p>
    <w:p w:rsidR="00000000" w:rsidRPr="00293A1F" w:rsidP="00293A1F">
      <w:pPr>
        <w:pStyle w:val="Heading1"/>
      </w:pPr>
      <w:bookmarkStart w:id="10" w:name="O_248211"/>
      <w:bookmarkEnd w:id="10"/>
      <w:r w:rsidRPr="00293A1F">
        <w:t>Evidence Guide</w:t>
      </w:r>
    </w:p>
    <w:tbl>
      <w:tblPr>
        <w:tblW w:w="0" w:type="auto"/>
        <w:tblLayout w:type="fixed"/>
        <w:tblCellMar>
          <w:left w:w="62" w:type="dxa"/>
          <w:right w:w="62" w:type="dxa"/>
        </w:tblCellMar>
        <w:tblLook w:val="0000"/>
      </w:tblPr>
      <w:tblGrid>
        <w:gridCol w:w="2253"/>
        <w:gridCol w:w="751"/>
        <w:gridCol w:w="563"/>
        <w:gridCol w:w="564"/>
        <w:gridCol w:w="997"/>
        <w:gridCol w:w="3512"/>
      </w:tblGrid>
      <w:tr w:rsidTr="008879A7">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rPr>
                <w:rStyle w:val="SpecialBold"/>
              </w:rPr>
              <w:t>EVIDENCE GUIDE</w:t>
            </w:r>
          </w:p>
        </w:tc>
      </w:tr>
      <w:tr w:rsidTr="008879A7">
        <w:tblPrEx>
          <w:tblW w:w="0" w:type="auto"/>
          <w:tblLayout w:type="fixed"/>
          <w:tblCellMar>
            <w:left w:w="62" w:type="dxa"/>
            <w:right w:w="62" w:type="dxa"/>
          </w:tblCellMar>
          <w:tblLook w:val="0000"/>
        </w:tblPrEx>
        <w:tc>
          <w:tcPr>
            <w:tcW w:w="8640" w:type="dxa"/>
            <w:gridSpan w:val="6"/>
            <w:tcBorders>
              <w:top w:val="nil"/>
              <w:left w:val="nil"/>
              <w:bottom w:val="nil"/>
              <w:right w:val="nil"/>
            </w:tcBorders>
            <w:tcMar>
              <w:top w:w="0" w:type="dxa"/>
              <w:left w:w="62" w:type="dxa"/>
              <w:bottom w:w="0" w:type="dxa"/>
              <w:right w:w="62" w:type="dxa"/>
            </w:tcMar>
          </w:tcPr>
          <w:p w:rsidR="00000000" w:rsidRPr="00293A1F" w:rsidP="00293A1F">
            <w:pPr>
              <w:pStyle w:val="BodyText"/>
            </w:pPr>
            <w:r w:rsidRPr="00293A1F">
              <w:rPr>
                <w:rStyle w:val="SpecialBold"/>
              </w:rPr>
              <w:t>9</w:t>
            </w:r>
            <w:r w:rsidRPr="00293A1F">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293A1F">
            <w:pPr>
              <w:pStyle w:val="BodyText"/>
              <w:rPr>
                <w:lang w:val="en-NZ"/>
              </w:rPr>
            </w:pPr>
            <w:r w:rsidRPr="00293A1F">
              <w:t>The Eviden</w:t>
            </w:r>
            <w:r w:rsidRPr="00293A1F">
              <w:t>ce Guide forms an integral part of this Competency Standard Unit and shall be used in conjunction with all component parts of this unit and, performed in accordance with the Assessment Guidelines of this Training Package.</w:t>
            </w:r>
          </w:p>
        </w:tc>
      </w:tr>
      <w:tr w:rsidTr="008879A7">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RPr="00293A1F" w:rsidP="00293A1F">
            <w:pPr>
              <w:pStyle w:val="BodyText"/>
            </w:pPr>
            <w:r w:rsidRPr="00293A1F">
              <w:rPr>
                <w:rStyle w:val="SpecialBold"/>
              </w:rPr>
              <w:t>Overview of Assessment</w:t>
            </w:r>
          </w:p>
        </w:tc>
        <w:tc>
          <w:tcPr>
            <w:tcW w:w="6387" w:type="dxa"/>
            <w:gridSpan w:val="5"/>
            <w:tcBorders>
              <w:top w:val="nil"/>
              <w:left w:val="nil"/>
              <w:bottom w:val="nil"/>
              <w:right w:val="nil"/>
            </w:tcBorders>
            <w:tcMar>
              <w:top w:w="0" w:type="dxa"/>
              <w:left w:w="62" w:type="dxa"/>
              <w:bottom w:w="0" w:type="dxa"/>
              <w:right w:w="62" w:type="dxa"/>
            </w:tcMar>
          </w:tcPr>
          <w:p w:rsidR="00000000" w:rsidRPr="00293A1F" w:rsidP="00293A1F">
            <w:pPr>
              <w:pStyle w:val="BodyText"/>
            </w:pPr>
            <w:r w:rsidRPr="00293A1F">
              <w:rPr>
                <w:rStyle w:val="SpecialBold"/>
              </w:rPr>
              <w:t>9</w:t>
            </w:r>
            <w:r w:rsidRPr="00293A1F">
              <w:t>.</w:t>
            </w:r>
            <w:r w:rsidRPr="00293A1F">
              <w:rPr>
                <w:rStyle w:val="SpecialBold"/>
              </w:rPr>
              <w:t>1</w:t>
            </w:r>
            <w:r w:rsidRPr="00293A1F">
              <w:t xml:space="preserve">) </w:t>
            </w:r>
          </w:p>
          <w:p w:rsidR="00000000" w:rsidRPr="00293A1F" w:rsidP="00293A1F">
            <w:pPr>
              <w:pStyle w:val="BodyText"/>
            </w:pPr>
            <w:r w:rsidRPr="00293A1F">
              <w:t>Longitudinal competency development approaches to assessment, such as Profiling, require data to be reliably gathered in a form that can be consistently interpreted over time. This approach is best utilised in Apprenticeship programs and reduces assessmen</w:t>
            </w:r>
            <w:r w:rsidRPr="00293A1F">
              <w:t>t intervention. It is the Industry's preferred model for apprenticeships. However, where summative (or final) assessment is used it is to include the application of the competency in the normal work environment or, at a minimum, the application of the comp</w:t>
            </w:r>
            <w:r w:rsidRPr="00293A1F">
              <w:t>etency in a realistically simulated work environment. It is recognised that, in some circumstances, assessment in part or full can occur outside the workplace. However, it must be in accord with Industry and, Regulatory policy in this regard.</w:t>
            </w:r>
          </w:p>
          <w:p w:rsidR="00000000" w:rsidRPr="00293A1F" w:rsidP="00293A1F">
            <w:pPr>
              <w:pStyle w:val="BodyText"/>
            </w:pPr>
            <w:r w:rsidRPr="00293A1F">
              <w:t>Methods chose</w:t>
            </w:r>
            <w:r w:rsidRPr="00293A1F">
              <w:t xml:space="preserve">n for a particular assessment will be influenced by various factors. These include the extent of the assessment, the most effective locations for the assessment activities to take place, access to physical resources, additional safety measures that may be </w:t>
            </w:r>
            <w:r w:rsidRPr="00293A1F">
              <w:t>required and the critical nature of the competencies being assessed.</w:t>
            </w:r>
          </w:p>
          <w:p w:rsidR="00000000" w:rsidRPr="00293A1F" w:rsidP="00293A1F">
            <w:pPr>
              <w:pStyle w:val="BodyText"/>
            </w:pPr>
            <w:r w:rsidRPr="00293A1F">
              <w:t>The critical safety nature of working with electricity, electrical equipment, gas or any other hazardous substance/material carries risk in deeming a person competent. Hence, sources of evidence need to be 'rich' in nature so as to minimise error in judgme</w:t>
            </w:r>
            <w:r w:rsidRPr="00293A1F">
              <w:t>nt.</w:t>
            </w:r>
          </w:p>
          <w:p w:rsidR="00000000" w:rsidP="00293A1F">
            <w:pPr>
              <w:pStyle w:val="BodyText"/>
              <w:rPr>
                <w:lang w:val="en-NZ"/>
              </w:rPr>
            </w:pPr>
            <w:r w:rsidRPr="00293A1F">
              <w:t>Activities associated with normal every day work have a bearing on the decision as to how much and how detailed the data gathered will contribute to its 'richness'. Some skills are more critical to safety and operational requirements while the same ski</w:t>
            </w:r>
            <w:r w:rsidRPr="00293A1F">
              <w:t>lls may be more or less frequently practiced. These points are raised for the assessors to consider when choosing an assessment method and developing assessment instruments. Sample assessment instruments are included for Assessors in the Assessment Guideli</w:t>
            </w:r>
            <w:r w:rsidRPr="00293A1F">
              <w:t>nes of this Training Package.</w:t>
            </w:r>
          </w:p>
        </w:tc>
      </w:tr>
      <w:tr w:rsidTr="008879A7">
        <w:tblPrEx>
          <w:tblW w:w="0" w:type="auto"/>
          <w:tblLayout w:type="fixed"/>
          <w:tblCellMar>
            <w:left w:w="62" w:type="dxa"/>
            <w:right w:w="62" w:type="dxa"/>
          </w:tblCellMar>
          <w:tblLook w:val="0000"/>
        </w:tblPrEx>
        <w:tc>
          <w:tcPr>
            <w:tcW w:w="2253" w:type="dxa"/>
            <w:vMerge w:val="restart"/>
            <w:tcBorders>
              <w:top w:val="nil"/>
              <w:left w:val="nil"/>
              <w:bottom w:val="nil"/>
              <w:right w:val="nil"/>
            </w:tcBorders>
            <w:tcMar>
              <w:top w:w="0" w:type="dxa"/>
              <w:left w:w="62" w:type="dxa"/>
              <w:bottom w:w="0" w:type="dxa"/>
              <w:right w:w="62" w:type="dxa"/>
            </w:tcMar>
          </w:tcPr>
          <w:p w:rsidR="00000000" w:rsidRPr="00293A1F" w:rsidP="00293A1F">
            <w:pPr>
              <w:pStyle w:val="BodyText"/>
            </w:pPr>
            <w:r w:rsidRPr="00293A1F">
              <w:rPr>
                <w:rStyle w:val="SpecialBold"/>
              </w:rPr>
              <w:t>Critical aspects of evidence required to demonstrate competency in this unit</w:t>
            </w:r>
          </w:p>
        </w:tc>
        <w:tc>
          <w:tcPr>
            <w:tcW w:w="6387" w:type="dxa"/>
            <w:gridSpan w:val="5"/>
            <w:tcBorders>
              <w:top w:val="nil"/>
              <w:left w:val="nil"/>
              <w:bottom w:val="nil"/>
              <w:right w:val="nil"/>
            </w:tcBorders>
            <w:tcMar>
              <w:top w:w="0" w:type="dxa"/>
              <w:left w:w="62" w:type="dxa"/>
              <w:bottom w:w="0" w:type="dxa"/>
              <w:right w:w="62" w:type="dxa"/>
            </w:tcMar>
          </w:tcPr>
          <w:p w:rsidR="00000000" w:rsidRPr="00293A1F" w:rsidP="00293A1F">
            <w:pPr>
              <w:pStyle w:val="BodyText"/>
            </w:pPr>
            <w:r w:rsidRPr="00293A1F">
              <w:rPr>
                <w:rStyle w:val="SpecialBold"/>
              </w:rPr>
              <w:t>9</w:t>
            </w:r>
            <w:r w:rsidRPr="00293A1F">
              <w:t>.</w:t>
            </w:r>
            <w:r w:rsidRPr="00293A1F">
              <w:rPr>
                <w:rStyle w:val="SpecialBold"/>
              </w:rPr>
              <w:t>2</w:t>
            </w:r>
            <w:r w:rsidRPr="00293A1F">
              <w:t xml:space="preserve">) </w:t>
            </w:r>
          </w:p>
          <w:p w:rsidR="00000000" w:rsidP="00293A1F">
            <w:pPr>
              <w:pStyle w:val="BodyText"/>
              <w:rPr>
                <w:lang w:val="en-NZ"/>
              </w:rPr>
            </w:pPr>
            <w:r w:rsidRPr="00293A1F">
              <w:t>Before the critical aspects of evidence are considered all prerequisites shall be met.</w:t>
            </w:r>
          </w:p>
        </w:tc>
      </w:tr>
      <w:tr w:rsidTr="008879A7">
        <w:tblPrEx>
          <w:tblW w:w="0" w:type="auto"/>
          <w:tblLayout w:type="fixed"/>
          <w:tblCellMar>
            <w:left w:w="62" w:type="dxa"/>
            <w:right w:w="62" w:type="dxa"/>
          </w:tblCellMar>
          <w:tblLook w:val="0000"/>
        </w:tblPrEx>
        <w:tc>
          <w:tcPr>
            <w:tcW w:w="225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7" w:type="dxa"/>
            <w:gridSpan w:val="5"/>
            <w:tcBorders>
              <w:top w:val="nil"/>
              <w:left w:val="nil"/>
              <w:bottom w:val="nil"/>
              <w:right w:val="nil"/>
            </w:tcBorders>
            <w:tcMar>
              <w:top w:w="0" w:type="dxa"/>
              <w:left w:w="62" w:type="dxa"/>
              <w:bottom w:w="0" w:type="dxa"/>
              <w:right w:w="62" w:type="dxa"/>
            </w:tcMar>
          </w:tcPr>
          <w:p w:rsidR="00000000" w:rsidRPr="00293A1F" w:rsidP="00293A1F">
            <w:pPr>
              <w:pStyle w:val="BodyText"/>
            </w:pPr>
            <w:r w:rsidRPr="00293A1F">
              <w:t>Evidence for competence in this unit shall be considered holistically. Each element and associated Performance Criteria shall be demonstrated on at least two occasions in accordance with the "Assessment Guidelines - UET09". Evidence shall also comprise:</w:t>
            </w:r>
          </w:p>
          <w:p w:rsidR="00000000" w:rsidP="00293A1F">
            <w:pPr>
              <w:pStyle w:val="ListBullet"/>
              <w:rPr>
                <w:lang w:val="en-NZ"/>
              </w:rPr>
            </w:pPr>
            <w:r w:rsidRPr="00293A1F">
              <w:t xml:space="preserve">A </w:t>
            </w:r>
            <w:r w:rsidRPr="00293A1F">
              <w:t>representative body of Performance Criteria demonstrated within the timeframes typically expected of the discipline, work function and industrial environment. In particular this shall incorporate evidence that shows a candidate is able to:</w:t>
            </w:r>
          </w:p>
        </w:tc>
      </w:tr>
      <w:tr w:rsidTr="008879A7">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p>
        </w:tc>
        <w:tc>
          <w:tcPr>
            <w:tcW w:w="6387" w:type="dxa"/>
            <w:gridSpan w:val="5"/>
            <w:tcBorders>
              <w:top w:val="nil"/>
              <w:left w:val="nil"/>
              <w:bottom w:val="nil"/>
              <w:right w:val="nil"/>
            </w:tcBorders>
            <w:tcMar>
              <w:top w:w="0" w:type="dxa"/>
              <w:left w:w="62" w:type="dxa"/>
              <w:bottom w:w="0" w:type="dxa"/>
              <w:right w:w="62" w:type="dxa"/>
            </w:tcMar>
          </w:tcPr>
          <w:p w:rsidR="00000000" w:rsidRPr="00293A1F" w:rsidP="00293A1F">
            <w:pPr>
              <w:pStyle w:val="ListBullet2"/>
            </w:pPr>
            <w:r w:rsidRPr="00293A1F">
              <w:t>Implement</w:t>
            </w:r>
            <w:r w:rsidRPr="00293A1F">
              <w:t xml:space="preserve"> Occupational Health and Safety workplace procedures and practices including the use of risk control measures as specified in the Performance Criteria and range; and</w:t>
            </w:r>
          </w:p>
          <w:p w:rsidR="00000000" w:rsidRPr="00293A1F" w:rsidP="00293A1F">
            <w:pPr>
              <w:pStyle w:val="ListBullet2"/>
            </w:pPr>
            <w:r w:rsidRPr="00293A1F">
              <w:t>Apply sustainable energy principles and practices as specified in the Performance Criteria and range; and</w:t>
            </w:r>
          </w:p>
          <w:p w:rsidR="00000000" w:rsidRPr="00293A1F" w:rsidP="00293A1F">
            <w:pPr>
              <w:pStyle w:val="ListBullet2"/>
            </w:pPr>
            <w:r w:rsidRPr="00293A1F">
              <w:t>Demonstrate an understanding of the essential knowledge and associated skills as described in this unit to such an extent that the learner's performan</w:t>
            </w:r>
            <w:r w:rsidRPr="00293A1F">
              <w:t>ce outcome is reported in accordance with the preferred approach; namely a percentile graded result, where required by the regulated environment; and</w:t>
            </w:r>
          </w:p>
          <w:p w:rsidR="00000000" w:rsidRPr="00293A1F" w:rsidP="00293A1F">
            <w:pPr>
              <w:pStyle w:val="ListBullet2"/>
            </w:pPr>
            <w:r w:rsidRPr="00293A1F">
              <w:t>Demonstrate an appropriate level of employability skills; and</w:t>
            </w:r>
          </w:p>
          <w:p w:rsidR="00000000" w:rsidP="00293A1F">
            <w:pPr>
              <w:pStyle w:val="ListBullet2"/>
              <w:rPr>
                <w:lang w:val="en-NZ"/>
              </w:rPr>
            </w:pPr>
            <w:r w:rsidRPr="00293A1F">
              <w:t>Conduct work observing the relevant Anti Dis</w:t>
            </w:r>
            <w:r w:rsidRPr="00293A1F">
              <w:t>crimination legislation, regulations, policies and workplace procedures; and</w:t>
            </w:r>
          </w:p>
        </w:tc>
      </w:tr>
      <w:tr w:rsidTr="008879A7">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p>
        </w:tc>
        <w:tc>
          <w:tcPr>
            <w:tcW w:w="6387" w:type="dxa"/>
            <w:gridSpan w:val="5"/>
            <w:tcBorders>
              <w:top w:val="nil"/>
              <w:left w:val="nil"/>
              <w:bottom w:val="nil"/>
              <w:right w:val="nil"/>
            </w:tcBorders>
            <w:tcMar>
              <w:top w:w="0" w:type="dxa"/>
              <w:left w:w="62" w:type="dxa"/>
              <w:bottom w:w="0" w:type="dxa"/>
              <w:right w:w="62" w:type="dxa"/>
            </w:tcMar>
          </w:tcPr>
          <w:p w:rsidR="00000000" w:rsidP="00293A1F">
            <w:pPr>
              <w:pStyle w:val="ListBullet"/>
              <w:rPr>
                <w:lang w:val="en-NZ"/>
              </w:rPr>
            </w:pPr>
            <w:r w:rsidRPr="00293A1F">
              <w:t>Demonstrated performance across a representative range of contexts from the prescribed items below:</w:t>
            </w:r>
          </w:p>
        </w:tc>
      </w:tr>
      <w:tr w:rsidTr="008879A7">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single" w:sz="6" w:space="0" w:color="auto"/>
            </w:tcBorders>
            <w:tcMar>
              <w:top w:w="0" w:type="dxa"/>
              <w:left w:w="62" w:type="dxa"/>
              <w:bottom w:w="0" w:type="dxa"/>
              <w:right w:w="62" w:type="dxa"/>
            </w:tcMar>
          </w:tcPr>
          <w:p w:rsidR="00000000" w:rsidRPr="00293A1F">
            <w:pPr>
              <w:pStyle w:val="BodyText"/>
              <w:keepNext w:val="0"/>
              <w:keepLines w:val="0"/>
              <w:contextualSpacing w:val="0"/>
            </w:pPr>
          </w:p>
        </w:tc>
        <w:tc>
          <w:tcPr>
            <w:tcW w:w="5636"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A1F">
            <w:pPr>
              <w:pStyle w:val="BodyText"/>
              <w:rPr>
                <w:lang w:val="en-NZ"/>
              </w:rPr>
            </w:pPr>
            <w:r w:rsidRPr="00293A1F">
              <w:rPr>
                <w:rStyle w:val="SpecialBold"/>
              </w:rPr>
              <w:t>Range of tools</w:t>
            </w:r>
            <w:r w:rsidRPr="00293A1F">
              <w:t>/</w:t>
            </w:r>
            <w:r w:rsidRPr="00293A1F">
              <w:rPr>
                <w:rStyle w:val="SpecialBold"/>
              </w:rPr>
              <w:t>equipment</w:t>
            </w:r>
            <w:r w:rsidRPr="00293A1F">
              <w:t>/</w:t>
            </w:r>
            <w:r w:rsidRPr="00293A1F">
              <w:rPr>
                <w:rStyle w:val="SpecialBold"/>
              </w:rPr>
              <w:t>materials</w:t>
            </w:r>
            <w:r w:rsidRPr="00293A1F">
              <w:t>/</w:t>
            </w:r>
            <w:r w:rsidRPr="00293A1F">
              <w:rPr>
                <w:rStyle w:val="SpecialBold"/>
              </w:rPr>
              <w:t>procedures</w:t>
            </w:r>
            <w:r w:rsidRPr="00293A1F">
              <w:t>/</w:t>
            </w:r>
            <w:r w:rsidRPr="00293A1F">
              <w:rPr>
                <w:rStyle w:val="SpecialBold"/>
              </w:rPr>
              <w:t>workplaces</w:t>
            </w:r>
            <w:r w:rsidRPr="00293A1F">
              <w:t>/</w:t>
            </w:r>
            <w:r w:rsidRPr="00293A1F">
              <w:rPr>
                <w:rStyle w:val="SpecialBold"/>
              </w:rPr>
              <w:t>other variables</w:t>
            </w:r>
          </w:p>
        </w:tc>
      </w:tr>
      <w:tr w:rsidTr="008879A7">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single" w:sz="6" w:space="0" w:color="auto"/>
            </w:tcBorders>
            <w:tcMar>
              <w:top w:w="0" w:type="dxa"/>
              <w:left w:w="62" w:type="dxa"/>
              <w:bottom w:w="0" w:type="dxa"/>
              <w:right w:w="62" w:type="dxa"/>
            </w:tcMar>
          </w:tcPr>
          <w:p w:rsidR="00000000" w:rsidRPr="00293A1F">
            <w:pPr>
              <w:pStyle w:val="BodyText"/>
              <w:keepNext w:val="0"/>
              <w:keepLines w:val="0"/>
              <w:contextualSpacing w:val="0"/>
            </w:pPr>
          </w:p>
        </w:tc>
        <w:tc>
          <w:tcPr>
            <w:tcW w:w="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A1F" w:rsidP="00293A1F">
            <w:pPr>
              <w:pStyle w:val="BodyText"/>
            </w:pPr>
            <w:r w:rsidRPr="00293A1F">
              <w:rPr>
                <w:rStyle w:val="SpecialBold"/>
              </w:rPr>
              <w:t>Group No</w:t>
            </w:r>
          </w:p>
        </w:tc>
        <w:tc>
          <w:tcPr>
            <w:tcW w:w="156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A1F" w:rsidP="00293A1F">
            <w:pPr>
              <w:pStyle w:val="BodyText"/>
            </w:pPr>
            <w:r w:rsidRPr="00293A1F">
              <w:rPr>
                <w:rStyle w:val="SpecialBold"/>
              </w:rPr>
              <w:t>The minimum number of items on which skill is to be demonstrated</w:t>
            </w:r>
          </w:p>
        </w:tc>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A1F">
            <w:pPr>
              <w:pStyle w:val="BodyText"/>
              <w:rPr>
                <w:lang w:val="en-NZ"/>
              </w:rPr>
            </w:pPr>
            <w:r w:rsidRPr="00293A1F">
              <w:rPr>
                <w:rStyle w:val="SpecialBold"/>
              </w:rPr>
              <w:t>Item List</w:t>
            </w:r>
          </w:p>
        </w:tc>
      </w:tr>
      <w:tr w:rsidTr="008879A7">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A1F">
            <w:pPr>
              <w:pStyle w:val="BodyText"/>
              <w:rPr>
                <w:lang w:val="en-NZ"/>
              </w:rPr>
            </w:pPr>
            <w:r w:rsidRPr="00293A1F">
              <w:t>A</w:t>
            </w:r>
          </w:p>
        </w:tc>
        <w:tc>
          <w:tcPr>
            <w:tcW w:w="156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A1F">
            <w:pPr>
              <w:pStyle w:val="BodyText"/>
              <w:rPr>
                <w:lang w:val="en-NZ"/>
              </w:rPr>
            </w:pPr>
            <w:r w:rsidRPr="00293A1F">
              <w:t>All of the following:</w:t>
            </w:r>
          </w:p>
        </w:tc>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A1F" w:rsidP="00293A1F">
            <w:pPr>
              <w:pStyle w:val="BodyText"/>
            </w:pPr>
            <w:r w:rsidRPr="00293A1F">
              <w:t xml:space="preserve">Approvals/clearances, </w:t>
            </w:r>
          </w:p>
          <w:p w:rsidR="00000000" w:rsidP="00293A1F">
            <w:pPr>
              <w:pStyle w:val="BodyText"/>
              <w:rPr>
                <w:lang w:val="en-NZ"/>
              </w:rPr>
            </w:pPr>
            <w:r w:rsidRPr="00293A1F">
              <w:t>Electrical/access permits</w:t>
            </w:r>
          </w:p>
        </w:tc>
      </w:tr>
      <w:tr w:rsidTr="008879A7">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A1F">
            <w:pPr>
              <w:pStyle w:val="BodyText"/>
              <w:rPr>
                <w:lang w:val="en-NZ"/>
              </w:rPr>
            </w:pPr>
            <w:r w:rsidRPr="00293A1F">
              <w:t>B</w:t>
            </w:r>
          </w:p>
        </w:tc>
        <w:tc>
          <w:tcPr>
            <w:tcW w:w="156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A1F">
            <w:pPr>
              <w:pStyle w:val="BodyText"/>
              <w:rPr>
                <w:lang w:val="en-NZ"/>
              </w:rPr>
            </w:pPr>
            <w:r w:rsidRPr="00293A1F">
              <w:t>At least one of the following:</w:t>
            </w:r>
          </w:p>
        </w:tc>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A1F" w:rsidP="00293A1F">
            <w:pPr>
              <w:pStyle w:val="BodyText"/>
            </w:pPr>
            <w:r w:rsidRPr="00293A1F">
              <w:t xml:space="preserve">Voltage detectors, </w:t>
            </w:r>
          </w:p>
          <w:p w:rsidR="00000000" w:rsidRPr="00293A1F" w:rsidP="00293A1F">
            <w:pPr>
              <w:pStyle w:val="BodyText"/>
            </w:pPr>
            <w:r w:rsidRPr="00293A1F">
              <w:t xml:space="preserve">Field intensity meter, </w:t>
            </w:r>
          </w:p>
          <w:p w:rsidR="00000000" w:rsidRPr="00293A1F" w:rsidP="00293A1F">
            <w:pPr>
              <w:pStyle w:val="BodyText"/>
            </w:pPr>
            <w:r w:rsidRPr="00293A1F">
              <w:t xml:space="preserve">Polarity testers, </w:t>
            </w:r>
          </w:p>
          <w:p w:rsidR="00000000" w:rsidP="00293A1F">
            <w:pPr>
              <w:pStyle w:val="BodyText"/>
              <w:rPr>
                <w:lang w:val="en-NZ"/>
              </w:rPr>
            </w:pPr>
            <w:r w:rsidRPr="00293A1F">
              <w:t>Phase rotation indicators</w:t>
            </w:r>
          </w:p>
        </w:tc>
      </w:tr>
      <w:tr w:rsidTr="008879A7">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A1F">
            <w:pPr>
              <w:pStyle w:val="BodyText"/>
              <w:rPr>
                <w:lang w:val="en-NZ"/>
              </w:rPr>
            </w:pPr>
            <w:r w:rsidRPr="00293A1F">
              <w:t>C</w:t>
            </w:r>
          </w:p>
        </w:tc>
        <w:tc>
          <w:tcPr>
            <w:tcW w:w="156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A1F">
            <w:pPr>
              <w:pStyle w:val="BodyText"/>
              <w:rPr>
                <w:lang w:val="en-NZ"/>
              </w:rPr>
            </w:pPr>
            <w:r w:rsidRPr="00293A1F">
              <w:t>At least one of the following:</w:t>
            </w:r>
          </w:p>
        </w:tc>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A1F" w:rsidP="00293A1F">
            <w:pPr>
              <w:pStyle w:val="BodyText"/>
            </w:pPr>
            <w:r w:rsidRPr="00293A1F">
              <w:t>HV/LV circuit breakers,</w:t>
            </w:r>
          </w:p>
          <w:p w:rsidR="00000000" w:rsidRPr="00293A1F" w:rsidP="00293A1F">
            <w:pPr>
              <w:pStyle w:val="BodyText"/>
            </w:pPr>
            <w:r w:rsidRPr="00293A1F">
              <w:t xml:space="preserve">HV/LV switches, </w:t>
            </w:r>
          </w:p>
          <w:p w:rsidR="00000000" w:rsidRPr="00293A1F" w:rsidP="00293A1F">
            <w:pPr>
              <w:pStyle w:val="BodyText"/>
            </w:pPr>
            <w:r w:rsidRPr="00293A1F">
              <w:t>HV/LV isolators,</w:t>
            </w:r>
          </w:p>
          <w:p w:rsidR="00000000" w:rsidRPr="00293A1F" w:rsidP="00293A1F">
            <w:pPr>
              <w:pStyle w:val="BodyText"/>
            </w:pPr>
            <w:r w:rsidRPr="00293A1F">
              <w:t xml:space="preserve">HV/LV links, </w:t>
            </w:r>
          </w:p>
          <w:p w:rsidR="00000000" w:rsidRPr="00293A1F" w:rsidP="00293A1F">
            <w:pPr>
              <w:pStyle w:val="BodyText"/>
            </w:pPr>
            <w:r w:rsidRPr="00293A1F">
              <w:t xml:space="preserve">HV/LV bridges, </w:t>
            </w:r>
          </w:p>
          <w:p w:rsidR="00000000" w:rsidP="00293A1F">
            <w:pPr>
              <w:pStyle w:val="BodyText"/>
              <w:rPr>
                <w:lang w:val="en-NZ"/>
              </w:rPr>
            </w:pPr>
            <w:r w:rsidRPr="00293A1F">
              <w:t>HV/LV fuses</w:t>
            </w:r>
          </w:p>
        </w:tc>
      </w:tr>
      <w:tr w:rsidTr="008879A7">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A1F">
            <w:pPr>
              <w:pStyle w:val="BodyText"/>
              <w:rPr>
                <w:lang w:val="en-NZ"/>
              </w:rPr>
            </w:pPr>
            <w:r w:rsidRPr="00293A1F">
              <w:t>D</w:t>
            </w:r>
          </w:p>
        </w:tc>
        <w:tc>
          <w:tcPr>
            <w:tcW w:w="156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A1F">
            <w:pPr>
              <w:pStyle w:val="BodyText"/>
              <w:rPr>
                <w:lang w:val="en-NZ"/>
              </w:rPr>
            </w:pPr>
            <w:r w:rsidRPr="00293A1F">
              <w:t>All of the following:</w:t>
            </w:r>
          </w:p>
        </w:tc>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A1F" w:rsidP="00293A1F">
            <w:pPr>
              <w:pStyle w:val="BodyText"/>
            </w:pPr>
            <w:r w:rsidRPr="00293A1F">
              <w:t>Portable earthing/rail-connecting equipment,</w:t>
            </w:r>
          </w:p>
          <w:p w:rsidR="00000000" w:rsidP="00293A1F">
            <w:pPr>
              <w:pStyle w:val="BodyText"/>
              <w:rPr>
                <w:lang w:val="en-NZ"/>
              </w:rPr>
            </w:pPr>
            <w:r w:rsidRPr="00293A1F">
              <w:t>Operating rods/sticks</w:t>
            </w:r>
          </w:p>
        </w:tc>
      </w:tr>
      <w:tr w:rsidTr="008879A7">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A1F">
            <w:pPr>
              <w:pStyle w:val="BodyText"/>
              <w:rPr>
                <w:lang w:val="en-NZ"/>
              </w:rPr>
            </w:pPr>
            <w:r w:rsidRPr="00293A1F">
              <w:t>E</w:t>
            </w:r>
          </w:p>
        </w:tc>
        <w:tc>
          <w:tcPr>
            <w:tcW w:w="156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A1F">
            <w:pPr>
              <w:pStyle w:val="BodyText"/>
              <w:rPr>
                <w:lang w:val="en-NZ"/>
              </w:rPr>
            </w:pPr>
            <w:r w:rsidRPr="00293A1F">
              <w:t>At least one occasion</w:t>
            </w:r>
          </w:p>
        </w:tc>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A1F">
            <w:pPr>
              <w:pStyle w:val="BodyText"/>
              <w:rPr>
                <w:lang w:val="en-NZ"/>
              </w:rPr>
            </w:pPr>
            <w:r w:rsidRPr="00293A1F">
              <w:t xml:space="preserve">Dealing with an unplanned event by drawing on essential knowledge and associated skills to provide appropriate solutions incorporated in the holistic assessment </w:t>
            </w:r>
            <w:r w:rsidRPr="00293A1F">
              <w:t>with the above listed items.</w:t>
            </w:r>
          </w:p>
        </w:tc>
      </w:tr>
      <w:tr w:rsidTr="008879A7">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RPr="00293A1F" w:rsidP="00293A1F">
            <w:pPr>
              <w:pStyle w:val="BodyText"/>
            </w:pPr>
            <w:r w:rsidRPr="00293A1F">
              <w:rPr>
                <w:rStyle w:val="SpecialBold"/>
              </w:rPr>
              <w:t>Context of and specific resources for assessment</w:t>
            </w:r>
          </w:p>
        </w:tc>
        <w:tc>
          <w:tcPr>
            <w:tcW w:w="6387" w:type="dxa"/>
            <w:gridSpan w:val="5"/>
            <w:tcBorders>
              <w:top w:val="nil"/>
              <w:left w:val="nil"/>
              <w:bottom w:val="nil"/>
              <w:right w:val="nil"/>
            </w:tcBorders>
            <w:tcMar>
              <w:top w:w="0" w:type="dxa"/>
              <w:left w:w="62" w:type="dxa"/>
              <w:bottom w:w="0" w:type="dxa"/>
              <w:right w:w="62" w:type="dxa"/>
            </w:tcMar>
          </w:tcPr>
          <w:p w:rsidR="00000000" w:rsidRPr="00293A1F" w:rsidP="00293A1F">
            <w:pPr>
              <w:pStyle w:val="BodyText"/>
            </w:pPr>
            <w:r w:rsidRPr="00293A1F">
              <w:rPr>
                <w:rStyle w:val="SpecialBold"/>
              </w:rPr>
              <w:t>9</w:t>
            </w:r>
            <w:r w:rsidRPr="00293A1F">
              <w:t>.</w:t>
            </w:r>
            <w:r w:rsidRPr="00293A1F">
              <w:rPr>
                <w:rStyle w:val="SpecialBold"/>
              </w:rPr>
              <w:t>3</w:t>
            </w:r>
            <w:r w:rsidRPr="00293A1F">
              <w:t xml:space="preserve">) </w:t>
            </w:r>
          </w:p>
          <w:p w:rsidR="00000000" w:rsidRPr="00293A1F" w:rsidP="00293A1F">
            <w:pPr>
              <w:pStyle w:val="BodyText"/>
            </w:pPr>
            <w:r w:rsidRPr="00293A1F">
              <w:t>This unit should be assessed as it relates to normal work practice using procedures, information and resources typical of a workplace. This should include:</w:t>
            </w:r>
          </w:p>
          <w:p w:rsidR="00000000" w:rsidRPr="00293A1F" w:rsidP="00293A1F">
            <w:pPr>
              <w:pStyle w:val="ListBullet"/>
            </w:pPr>
            <w:r w:rsidRPr="00293A1F">
              <w:t xml:space="preserve">OHS policy and </w:t>
            </w:r>
            <w:r w:rsidRPr="00293A1F">
              <w:t>work procedures and instructions.</w:t>
            </w:r>
          </w:p>
          <w:p w:rsidR="00000000" w:rsidP="00293A1F">
            <w:pPr>
              <w:pStyle w:val="ListBullet"/>
              <w:rPr>
                <w:lang w:val="en-NZ"/>
              </w:rPr>
            </w:pPr>
            <w:r w:rsidRPr="00293A1F">
              <w:t>Suitable work environment, facilities, equipment and materials to undertake actual performance of rail traction switching operations.</w:t>
            </w:r>
          </w:p>
        </w:tc>
      </w:tr>
      <w:tr w:rsidTr="008879A7">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7" w:type="dxa"/>
            <w:gridSpan w:val="5"/>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In addition to the resources listed above, in Context of and specific resources for assessment, evidence should show demonstrated competency working below ground, in limited spaces, with different structural/construction types and method and in a variety o</w:t>
            </w:r>
            <w:r w:rsidRPr="00293A1F">
              <w:t xml:space="preserve">f environments. </w:t>
            </w:r>
          </w:p>
        </w:tc>
      </w:tr>
      <w:tr w:rsidTr="008879A7">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RPr="00293A1F" w:rsidP="00293A1F">
            <w:pPr>
              <w:pStyle w:val="BodyText"/>
            </w:pPr>
            <w:r w:rsidRPr="00293A1F">
              <w:rPr>
                <w:rStyle w:val="SpecialBold"/>
              </w:rPr>
              <w:t>Method of assessment</w:t>
            </w:r>
          </w:p>
        </w:tc>
        <w:tc>
          <w:tcPr>
            <w:tcW w:w="6387" w:type="dxa"/>
            <w:gridSpan w:val="5"/>
            <w:tcBorders>
              <w:top w:val="nil"/>
              <w:left w:val="nil"/>
              <w:bottom w:val="nil"/>
              <w:right w:val="nil"/>
            </w:tcBorders>
            <w:tcMar>
              <w:top w:w="0" w:type="dxa"/>
              <w:left w:w="62" w:type="dxa"/>
              <w:bottom w:w="0" w:type="dxa"/>
              <w:right w:w="62" w:type="dxa"/>
            </w:tcMar>
          </w:tcPr>
          <w:p w:rsidR="00000000" w:rsidRPr="00293A1F" w:rsidP="00293A1F">
            <w:pPr>
              <w:pStyle w:val="BodyText"/>
            </w:pPr>
            <w:r w:rsidRPr="00293A1F">
              <w:rPr>
                <w:rStyle w:val="SpecialBold"/>
              </w:rPr>
              <w:t>9</w:t>
            </w:r>
            <w:r w:rsidRPr="00293A1F">
              <w:t>.</w:t>
            </w:r>
            <w:r w:rsidRPr="00293A1F">
              <w:rPr>
                <w:rStyle w:val="SpecialBold"/>
              </w:rPr>
              <w:t>4</w:t>
            </w:r>
            <w:r w:rsidRPr="00293A1F">
              <w:t xml:space="preserve">) </w:t>
            </w:r>
          </w:p>
          <w:p w:rsidR="00000000" w:rsidRPr="00293A1F" w:rsidP="00293A1F">
            <w:pPr>
              <w:pStyle w:val="BodyText"/>
            </w:pPr>
            <w:r w:rsidRPr="00293A1F">
              <w:t>This Competency Standard Unit shall be assessed by methods given in Volume 1, Part 3 "Assessment Guidelines".</w:t>
            </w:r>
          </w:p>
          <w:p w:rsidR="00000000" w:rsidP="00293A1F">
            <w:pPr>
              <w:pStyle w:val="BodyText"/>
              <w:rPr>
                <w:lang w:val="en-NZ"/>
              </w:rPr>
            </w:pPr>
            <w:r w:rsidRPr="00293A1F">
              <w:t>Note:</w:t>
            </w:r>
            <w:r w:rsidRPr="00293A1F">
              <w:br/>
              <w:t>Competent performance with inherent safe working practices is expected in the Transmission,</w:t>
            </w:r>
            <w:r w:rsidRPr="00293A1F">
              <w:t xml:space="preserve"> Distribution and Rail Traction Industry. This requires that the specified essential knowledge and associated skills are assessed in a structured environment which is primarily intended for learning/assessment and incorporates all necessary equipment and f</w:t>
            </w:r>
            <w:r w:rsidRPr="00293A1F">
              <w:t>acilities for learners to develop and demonstrate the essential knowledge and associated skills described in this unit.</w:t>
            </w:r>
          </w:p>
        </w:tc>
      </w:tr>
      <w:tr w:rsidTr="008879A7">
        <w:tblPrEx>
          <w:tblW w:w="0" w:type="auto"/>
          <w:tblLayout w:type="fixed"/>
          <w:tblCellMar>
            <w:left w:w="62" w:type="dxa"/>
            <w:right w:w="62" w:type="dxa"/>
          </w:tblCellMar>
          <w:tblLook w:val="0000"/>
        </w:tblPrEx>
        <w:tc>
          <w:tcPr>
            <w:tcW w:w="2253" w:type="dxa"/>
            <w:vMerge w:val="restart"/>
            <w:tcBorders>
              <w:top w:val="nil"/>
              <w:left w:val="nil"/>
              <w:bottom w:val="nil"/>
              <w:right w:val="nil"/>
            </w:tcBorders>
            <w:tcMar>
              <w:top w:w="0" w:type="dxa"/>
              <w:left w:w="62" w:type="dxa"/>
              <w:bottom w:w="0" w:type="dxa"/>
              <w:right w:w="62" w:type="dxa"/>
            </w:tcMar>
          </w:tcPr>
          <w:p w:rsidR="00000000" w:rsidRPr="00293A1F" w:rsidP="00293A1F">
            <w:pPr>
              <w:pStyle w:val="BodyText"/>
            </w:pPr>
            <w:r w:rsidRPr="00293A1F">
              <w:rPr>
                <w:rStyle w:val="SpecialBold"/>
              </w:rPr>
              <w:t>Concurrent assessment and relationship with other units</w:t>
            </w:r>
          </w:p>
        </w:tc>
        <w:tc>
          <w:tcPr>
            <w:tcW w:w="6387" w:type="dxa"/>
            <w:gridSpan w:val="5"/>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rPr>
                <w:rStyle w:val="SpecialBold"/>
              </w:rPr>
              <w:t>9</w:t>
            </w:r>
            <w:r w:rsidRPr="00293A1F">
              <w:t>.</w:t>
            </w:r>
            <w:r w:rsidRPr="00293A1F">
              <w:rPr>
                <w:rStyle w:val="SpecialBold"/>
              </w:rPr>
              <w:t>5</w:t>
            </w:r>
            <w:r w:rsidRPr="00293A1F">
              <w:t>)</w:t>
            </w:r>
          </w:p>
        </w:tc>
      </w:tr>
      <w:tr w:rsidTr="008879A7">
        <w:tblPrEx>
          <w:tblW w:w="0" w:type="auto"/>
          <w:tblLayout w:type="fixed"/>
          <w:tblCellMar>
            <w:left w:w="62" w:type="dxa"/>
            <w:right w:w="62" w:type="dxa"/>
          </w:tblCellMar>
          <w:tblLook w:val="0000"/>
        </w:tblPrEx>
        <w:tc>
          <w:tcPr>
            <w:tcW w:w="225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7" w:type="dxa"/>
            <w:gridSpan w:val="5"/>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 xml:space="preserve">For optimisation of training and assessment effort, competence in this unit may be assessed concurrently with the following units: </w:t>
            </w:r>
          </w:p>
        </w:tc>
      </w:tr>
      <w:tr w:rsidTr="008879A7">
        <w:tblPrEx>
          <w:tblW w:w="0" w:type="auto"/>
          <w:tblLayout w:type="fixed"/>
          <w:tblCellMar>
            <w:left w:w="62" w:type="dxa"/>
            <w:right w:w="62" w:type="dxa"/>
          </w:tblCellMar>
          <w:tblLook w:val="0000"/>
        </w:tblPrEx>
        <w:tc>
          <w:tcPr>
            <w:tcW w:w="225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8" w:type="dxa"/>
            <w:gridSpan w:val="3"/>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UETTDRRT09B</w:t>
            </w:r>
          </w:p>
        </w:tc>
        <w:tc>
          <w:tcPr>
            <w:tcW w:w="4509" w:type="dxa"/>
            <w:gridSpan w:val="2"/>
            <w:tcBorders>
              <w:top w:val="nil"/>
              <w:left w:val="nil"/>
              <w:bottom w:val="nil"/>
              <w:right w:val="nil"/>
            </w:tcBorders>
            <w:tcMar>
              <w:top w:w="0" w:type="dxa"/>
              <w:left w:w="62" w:type="dxa"/>
              <w:bottom w:w="0" w:type="dxa"/>
              <w:right w:w="62" w:type="dxa"/>
            </w:tcMar>
          </w:tcPr>
          <w:p w:rsidR="00000000" w:rsidRPr="00293A1F" w:rsidP="00293A1F">
            <w:pPr>
              <w:pStyle w:val="BodyText"/>
            </w:pPr>
            <w:r w:rsidRPr="00293A1F">
              <w:t>Operate road rail traction height access equipment</w:t>
            </w:r>
          </w:p>
        </w:tc>
      </w:tr>
    </w:tbl>
    <w:p w:rsidR="008879A7" w:rsidP="00293A1F">
      <w:pPr>
        <w:pStyle w:val="BodyText"/>
      </w:pPr>
    </w:p>
    <w:p w:rsidR="008879A7" w:rsidP="00293A1F">
      <w:pPr>
        <w:pStyle w:val="BodyText"/>
      </w:pPr>
    </w:p>
    <w:p w:rsidR="00000000" w:rsidRPr="00293A1F" w:rsidP="00293A1F">
      <w:pPr>
        <w:pStyle w:val="Heading1"/>
      </w:pPr>
      <w:bookmarkStart w:id="11" w:name="O_256195"/>
      <w:bookmarkEnd w:id="11"/>
      <w:r w:rsidRPr="00293A1F">
        <w:t>Range Statement</w:t>
      </w:r>
    </w:p>
    <w:tbl>
      <w:tblPr>
        <w:tblW w:w="0" w:type="auto"/>
        <w:tblLayout w:type="fixed"/>
        <w:tblCellMar>
          <w:left w:w="62" w:type="dxa"/>
          <w:right w:w="62" w:type="dxa"/>
        </w:tblCellMar>
        <w:tblLook w:val="0000"/>
      </w:tblPr>
      <w:tblGrid>
        <w:gridCol w:w="2254"/>
        <w:gridCol w:w="6386"/>
      </w:tblGrid>
      <w:tr w:rsidTr="008879A7">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rPr>
                <w:rStyle w:val="SpecialBold"/>
              </w:rPr>
              <w:t>RANGE STATEMENT</w:t>
            </w:r>
          </w:p>
        </w:tc>
      </w:tr>
      <w:tr w:rsidTr="008879A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rPr>
                <w:rStyle w:val="SpecialBold"/>
              </w:rPr>
              <w:t>8</w:t>
            </w:r>
            <w:r w:rsidRPr="00293A1F">
              <w:t>) This relates to the competency standard unit as a whole providing the range of contexts and conditions to which the Performance Criteria apply. It allows for different work environments and situations that will affect performance.</w:t>
            </w:r>
          </w:p>
        </w:tc>
      </w:tr>
      <w:tr w:rsidTr="008879A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293A1F" w:rsidP="00293A1F">
            <w:pPr>
              <w:pStyle w:val="BodyText"/>
            </w:pPr>
            <w:r w:rsidRPr="00293A1F">
              <w:t>Th</w:t>
            </w:r>
            <w:r w:rsidRPr="00293A1F">
              <w:t>is Competency Standard Unit shall/may be demonstrated in relation to the switching of circuit breaking and isolation devices associated with energy reticulation systems/networks, which applies to rail systems in field situations.</w:t>
            </w:r>
          </w:p>
          <w:p w:rsidR="00000000" w:rsidRPr="00293A1F" w:rsidP="00293A1F">
            <w:pPr>
              <w:pStyle w:val="BodyText"/>
            </w:pPr>
            <w:r w:rsidRPr="00293A1F">
              <w:t>Equipment may include; cir</w:t>
            </w:r>
            <w:r w:rsidRPr="00293A1F">
              <w:t>cuit breakers, isolators, links, fuses, field switches, air-break switches, gas switches, Low Voltage switches, combined rail isolating switches, siding switches, earthing/ rail connect equipment, test equipment, High Voltage gloves, High Voltage mats, ope</w:t>
            </w:r>
            <w:r w:rsidRPr="00293A1F">
              <w:t>rating rods/sticks, aerial switches and motor driven switches, voltage detectors</w:t>
            </w:r>
          </w:p>
          <w:p w:rsidR="00000000" w:rsidP="00293A1F">
            <w:pPr>
              <w:pStyle w:val="BodyText"/>
              <w:rPr>
                <w:lang w:val="en-NZ"/>
              </w:rPr>
            </w:pPr>
            <w:r w:rsidRPr="00293A1F">
              <w:t>The following constants and variables included in the element/Performance Criteria in this unit are fully described in the Definitions Section 1 of this volume and form an int</w:t>
            </w:r>
            <w:r w:rsidRPr="00293A1F">
              <w:t>egral part of the Range Statement of this unit:</w:t>
            </w:r>
          </w:p>
        </w:tc>
      </w:tr>
      <w:tr w:rsidTr="008879A7">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p>
        </w:tc>
        <w:tc>
          <w:tcPr>
            <w:tcW w:w="6386" w:type="dxa"/>
            <w:tcBorders>
              <w:top w:val="nil"/>
              <w:left w:val="nil"/>
              <w:bottom w:val="nil"/>
              <w:right w:val="nil"/>
            </w:tcBorders>
            <w:tcMar>
              <w:top w:w="0" w:type="dxa"/>
              <w:left w:w="62" w:type="dxa"/>
              <w:bottom w:w="0" w:type="dxa"/>
              <w:right w:w="62" w:type="dxa"/>
            </w:tcMar>
          </w:tcPr>
          <w:p w:rsidR="00000000" w:rsidRPr="00293A1F" w:rsidP="00293A1F">
            <w:pPr>
              <w:pStyle w:val="ListBullet"/>
            </w:pPr>
            <w:r w:rsidRPr="00293A1F">
              <w:t>Appropriate and relevant persons (see Personnel)</w:t>
            </w:r>
          </w:p>
          <w:p w:rsidR="00000000" w:rsidRPr="00293A1F" w:rsidP="00293A1F">
            <w:pPr>
              <w:pStyle w:val="ListBullet"/>
            </w:pPr>
            <w:r w:rsidRPr="00293A1F">
              <w:t>Appropriate authorities</w:t>
            </w:r>
          </w:p>
          <w:p w:rsidR="00000000" w:rsidRPr="00293A1F" w:rsidP="00293A1F">
            <w:pPr>
              <w:pStyle w:val="ListBullet"/>
            </w:pPr>
            <w:r w:rsidRPr="00293A1F">
              <w:t>Appropriate work platform</w:t>
            </w:r>
          </w:p>
          <w:p w:rsidR="00000000" w:rsidRPr="00293A1F" w:rsidP="00293A1F">
            <w:pPr>
              <w:pStyle w:val="ListBullet"/>
            </w:pPr>
            <w:r w:rsidRPr="00293A1F">
              <w:t>Assessing risk</w:t>
            </w:r>
          </w:p>
          <w:p w:rsidR="00000000" w:rsidRPr="00293A1F" w:rsidP="00293A1F">
            <w:pPr>
              <w:pStyle w:val="ListBullet"/>
            </w:pPr>
            <w:r w:rsidRPr="00293A1F">
              <w:t>Assessment</w:t>
            </w:r>
          </w:p>
          <w:p w:rsidR="00000000" w:rsidRPr="00293A1F" w:rsidP="00293A1F">
            <w:pPr>
              <w:pStyle w:val="ListBullet"/>
            </w:pPr>
            <w:r w:rsidRPr="00293A1F">
              <w:t>Authorisation</w:t>
            </w:r>
          </w:p>
          <w:p w:rsidR="00000000" w:rsidRPr="00293A1F" w:rsidP="00293A1F">
            <w:pPr>
              <w:pStyle w:val="ListBullet"/>
            </w:pPr>
            <w:r w:rsidRPr="00293A1F">
              <w:t>Confined space</w:t>
            </w:r>
          </w:p>
          <w:p w:rsidR="00000000" w:rsidRPr="00293A1F" w:rsidP="00293A1F">
            <w:pPr>
              <w:pStyle w:val="ListBullet"/>
            </w:pPr>
            <w:r w:rsidRPr="00293A1F">
              <w:t>Diagnostic, testing and restoration</w:t>
            </w:r>
          </w:p>
          <w:p w:rsidR="00000000" w:rsidRPr="00293A1F" w:rsidP="00293A1F">
            <w:pPr>
              <w:pStyle w:val="ListBullet"/>
            </w:pPr>
            <w:r w:rsidRPr="00293A1F">
              <w:t>Documenting detail work events, record keeping and or storage of information</w:t>
            </w:r>
          </w:p>
          <w:p w:rsidR="00000000" w:rsidRPr="00293A1F" w:rsidP="00293A1F">
            <w:pPr>
              <w:pStyle w:val="ListBullet"/>
            </w:pPr>
            <w:r w:rsidRPr="00293A1F">
              <w:t>Drawings and specifications</w:t>
            </w:r>
          </w:p>
          <w:p w:rsidR="00000000" w:rsidRPr="00293A1F" w:rsidP="00293A1F">
            <w:pPr>
              <w:pStyle w:val="ListBullet"/>
            </w:pPr>
            <w:r w:rsidRPr="00293A1F">
              <w:t>Emergency</w:t>
            </w:r>
          </w:p>
          <w:p w:rsidR="00000000" w:rsidRPr="00293A1F" w:rsidP="00293A1F">
            <w:pPr>
              <w:pStyle w:val="ListBullet"/>
            </w:pPr>
            <w:r w:rsidRPr="00293A1F">
              <w:t>Environmental and sustainable energy procedures</w:t>
            </w:r>
          </w:p>
          <w:p w:rsidR="00000000" w:rsidRPr="00293A1F" w:rsidP="00293A1F">
            <w:pPr>
              <w:pStyle w:val="ListBullet"/>
            </w:pPr>
            <w:r w:rsidRPr="00293A1F">
              <w:t>Environmental legislation</w:t>
            </w:r>
          </w:p>
          <w:p w:rsidR="00000000" w:rsidRPr="00293A1F" w:rsidP="00293A1F">
            <w:pPr>
              <w:pStyle w:val="ListBullet"/>
            </w:pPr>
            <w:r w:rsidRPr="00293A1F">
              <w:t>Environmental management documentation</w:t>
            </w:r>
          </w:p>
          <w:p w:rsidR="00000000" w:rsidRPr="00293A1F" w:rsidP="00293A1F">
            <w:pPr>
              <w:pStyle w:val="ListBullet"/>
            </w:pPr>
            <w:r w:rsidRPr="00293A1F">
              <w:t>Established procedures</w:t>
            </w:r>
          </w:p>
          <w:p w:rsidR="00000000" w:rsidRPr="00293A1F" w:rsidP="00293A1F">
            <w:pPr>
              <w:pStyle w:val="ListBullet"/>
            </w:pPr>
            <w:r w:rsidRPr="00293A1F">
              <w:t xml:space="preserve">Fall </w:t>
            </w:r>
            <w:r w:rsidRPr="00293A1F">
              <w:t>prevention</w:t>
            </w:r>
          </w:p>
          <w:p w:rsidR="00000000" w:rsidRPr="00293A1F" w:rsidP="00293A1F">
            <w:pPr>
              <w:pStyle w:val="ListBullet"/>
            </w:pPr>
            <w:r w:rsidRPr="00293A1F">
              <w:t>Hazards</w:t>
            </w:r>
          </w:p>
          <w:p w:rsidR="00000000" w:rsidRPr="00293A1F" w:rsidP="00293A1F">
            <w:pPr>
              <w:pStyle w:val="ListBullet"/>
            </w:pPr>
            <w:r w:rsidRPr="00293A1F">
              <w:t>Identifying hazards</w:t>
            </w:r>
          </w:p>
          <w:p w:rsidR="00000000" w:rsidRPr="00293A1F" w:rsidP="00293A1F">
            <w:pPr>
              <w:pStyle w:val="ListBullet"/>
            </w:pPr>
            <w:r w:rsidRPr="00293A1F">
              <w:t>Inspect</w:t>
            </w:r>
          </w:p>
          <w:p w:rsidR="00000000" w:rsidRPr="00293A1F" w:rsidP="00293A1F">
            <w:pPr>
              <w:pStyle w:val="ListBullet"/>
            </w:pPr>
            <w:r w:rsidRPr="00293A1F">
              <w:t>Legislation</w:t>
            </w:r>
          </w:p>
          <w:p w:rsidR="00000000" w:rsidRPr="00293A1F" w:rsidP="00293A1F">
            <w:pPr>
              <w:pStyle w:val="ListBullet"/>
            </w:pPr>
            <w:r w:rsidRPr="00293A1F">
              <w:t>MSDS</w:t>
            </w:r>
          </w:p>
          <w:p w:rsidR="00000000" w:rsidRPr="00293A1F" w:rsidP="00293A1F">
            <w:pPr>
              <w:pStyle w:val="ListBullet"/>
            </w:pPr>
            <w:r w:rsidRPr="00293A1F">
              <w:t>Notification</w:t>
            </w:r>
          </w:p>
          <w:p w:rsidR="00000000" w:rsidRPr="00293A1F" w:rsidP="00293A1F">
            <w:pPr>
              <w:pStyle w:val="ListBullet"/>
            </w:pPr>
            <w:r w:rsidRPr="00293A1F">
              <w:t>OHS practices</w:t>
            </w:r>
          </w:p>
          <w:p w:rsidR="00000000" w:rsidRPr="00293A1F" w:rsidP="00293A1F">
            <w:pPr>
              <w:pStyle w:val="ListBullet"/>
            </w:pPr>
            <w:r w:rsidRPr="00293A1F">
              <w:t>OHS issues</w:t>
            </w:r>
          </w:p>
          <w:p w:rsidR="00000000" w:rsidRPr="00293A1F" w:rsidP="00293A1F">
            <w:pPr>
              <w:pStyle w:val="ListBullet"/>
            </w:pPr>
            <w:r w:rsidRPr="00293A1F">
              <w:t>Permits and/or permits to work</w:t>
            </w:r>
          </w:p>
          <w:p w:rsidR="00000000" w:rsidRPr="00293A1F" w:rsidP="00293A1F">
            <w:pPr>
              <w:pStyle w:val="ListBullet"/>
            </w:pPr>
            <w:r w:rsidRPr="00293A1F">
              <w:t>Personnel</w:t>
            </w:r>
          </w:p>
          <w:p w:rsidR="00000000" w:rsidRPr="00293A1F" w:rsidP="00293A1F">
            <w:pPr>
              <w:pStyle w:val="ListBullet"/>
            </w:pPr>
            <w:r w:rsidRPr="00293A1F">
              <w:t>Quality assurance systems</w:t>
            </w:r>
          </w:p>
          <w:p w:rsidR="00000000" w:rsidRPr="00293A1F" w:rsidP="00293A1F">
            <w:pPr>
              <w:pStyle w:val="ListBullet"/>
            </w:pPr>
            <w:r w:rsidRPr="00293A1F">
              <w:t>Requirements</w:t>
            </w:r>
          </w:p>
          <w:p w:rsidR="00000000" w:rsidRPr="00293A1F" w:rsidP="00293A1F">
            <w:pPr>
              <w:pStyle w:val="ListBullet"/>
            </w:pPr>
            <w:r w:rsidRPr="00293A1F">
              <w:t>Testing procedures</w:t>
            </w:r>
          </w:p>
          <w:p w:rsidR="00000000" w:rsidRPr="00293A1F" w:rsidP="00293A1F">
            <w:pPr>
              <w:pStyle w:val="ListBullet"/>
            </w:pPr>
            <w:r w:rsidRPr="00293A1F">
              <w:t>Work clearance systems</w:t>
            </w:r>
          </w:p>
        </w:tc>
      </w:tr>
    </w:tbl>
    <w:p w:rsidR="008879A7" w:rsidP="00293A1F">
      <w:pPr>
        <w:pStyle w:val="BodyText"/>
      </w:pPr>
    </w:p>
    <w:p w:rsidR="008879A7" w:rsidP="00293A1F">
      <w:pPr>
        <w:pStyle w:val="BodyText"/>
      </w:pPr>
    </w:p>
    <w:p w:rsidR="00000000" w:rsidRPr="00293A1F" w:rsidP="00293A1F">
      <w:pPr>
        <w:pStyle w:val="Heading1"/>
      </w:pPr>
      <w:bookmarkStart w:id="12" w:name="O_297208"/>
      <w:bookmarkEnd w:id="12"/>
      <w:r w:rsidRPr="00293A1F">
        <w:t>Unit Sector(s)</w:t>
      </w:r>
    </w:p>
    <w:p w:rsidR="00000000" w:rsidRPr="00293A1F" w:rsidP="00293A1F">
      <w:pPr>
        <w:pStyle w:val="BodyText"/>
      </w:pPr>
      <w:r w:rsidRPr="00293A1F">
        <w:t>Not Applicable</w:t>
      </w:r>
    </w:p>
    <w:p w:rsidR="00000000" w:rsidRPr="00293A1F" w:rsidP="00293A1F">
      <w:pPr>
        <w:pStyle w:val="AllowPageBreak"/>
      </w:pPr>
    </w:p>
    <w:p w:rsidR="00000000" w:rsidRPr="00293A1F" w:rsidP="00293A1F">
      <w:pPr>
        <w:pStyle w:val="Heading1"/>
      </w:pPr>
      <w:bookmarkStart w:id="13" w:name="O_231749"/>
      <w:bookmarkEnd w:id="13"/>
      <w:r w:rsidRPr="00293A1F">
        <w:t>2.2) Literacy and numeracy skills</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8879A7">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293A1F" w:rsidP="00293A1F">
            <w:pPr>
              <w:pStyle w:val="BodyText"/>
            </w:pPr>
            <w:r w:rsidRPr="00293A1F">
              <w:rPr>
                <w:rStyle w:val="SpecialBold"/>
              </w:rPr>
              <w:t>2</w:t>
            </w:r>
            <w:r w:rsidRPr="00293A1F">
              <w:t>.</w:t>
            </w:r>
            <w:r w:rsidRPr="00293A1F">
              <w:rPr>
                <w:rStyle w:val="SpecialBold"/>
              </w:rPr>
              <w:t>2</w:t>
            </w:r>
            <w:r w:rsidRPr="00293A1F">
              <w:t xml:space="preserve">) </w:t>
            </w:r>
            <w:r w:rsidRPr="00293A1F">
              <w:rPr>
                <w:rStyle w:val="SpecialBold"/>
              </w:rPr>
              <w:t>Literacy and numeracy skills</w:t>
            </w:r>
          </w:p>
          <w:p w:rsidR="00000000" w:rsidP="00293A1F">
            <w:pPr>
              <w:pStyle w:val="BodyText"/>
              <w:rPr>
                <w:lang w:val="en-NZ"/>
              </w:rPr>
            </w:pPr>
            <w:r w:rsidRPr="00293A1F">
              <w:t>Participants are best equipped to achieve this unit if they have reading, writing and numeracy skills indicated by the following scales. Description of each scale is given in Volume 2, Part 3 "Literacy and Numeracy"</w:t>
            </w:r>
          </w:p>
        </w:tc>
      </w:tr>
      <w:tr w:rsidTr="008879A7">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Reading</w:t>
            </w:r>
          </w:p>
        </w:tc>
        <w:tc>
          <w:tcPr>
            <w:tcW w:w="1207"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3</w:t>
            </w:r>
          </w:p>
        </w:tc>
        <w:tc>
          <w:tcPr>
            <w:tcW w:w="1776"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Writing</w:t>
            </w:r>
          </w:p>
        </w:tc>
        <w:tc>
          <w:tcPr>
            <w:tcW w:w="1207"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3</w:t>
            </w:r>
          </w:p>
        </w:tc>
        <w:tc>
          <w:tcPr>
            <w:tcW w:w="1758"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t>Numeracy</w:t>
            </w:r>
          </w:p>
        </w:tc>
        <w:tc>
          <w:tcPr>
            <w:tcW w:w="1207" w:type="dxa"/>
            <w:tcBorders>
              <w:top w:val="nil"/>
              <w:left w:val="nil"/>
              <w:bottom w:val="nil"/>
              <w:right w:val="nil"/>
            </w:tcBorders>
            <w:tcMar>
              <w:top w:w="0" w:type="dxa"/>
              <w:left w:w="62" w:type="dxa"/>
              <w:bottom w:w="0" w:type="dxa"/>
              <w:right w:w="62" w:type="dxa"/>
            </w:tcMar>
          </w:tcPr>
          <w:p w:rsidR="00000000" w:rsidRPr="00293A1F" w:rsidP="00293A1F">
            <w:pPr>
              <w:pStyle w:val="BodyText"/>
            </w:pPr>
            <w:r w:rsidRPr="00293A1F">
              <w:t>3</w:t>
            </w:r>
          </w:p>
        </w:tc>
      </w:tr>
    </w:tbl>
    <w:p w:rsidR="008879A7" w:rsidP="00293A1F">
      <w:pPr>
        <w:pStyle w:val="BodyText"/>
      </w:pPr>
    </w:p>
    <w:p w:rsidR="008879A7" w:rsidP="00293A1F">
      <w:pPr>
        <w:pStyle w:val="BodyText"/>
      </w:pPr>
    </w:p>
    <w:p w:rsidR="00000000" w:rsidRPr="00293A1F" w:rsidP="00293A1F">
      <w:pPr>
        <w:pStyle w:val="Heading1"/>
      </w:pPr>
      <w:bookmarkStart w:id="14" w:name="O_231752"/>
      <w:bookmarkEnd w:id="14"/>
      <w:r w:rsidRPr="00293A1F">
        <w:t>Competency Field</w:t>
      </w:r>
    </w:p>
    <w:tbl>
      <w:tblPr>
        <w:tblW w:w="0" w:type="auto"/>
        <w:tblLayout w:type="fixed"/>
        <w:tblCellMar>
          <w:left w:w="62" w:type="dxa"/>
          <w:right w:w="62" w:type="dxa"/>
        </w:tblCellMar>
        <w:tblLook w:val="0000"/>
      </w:tblPr>
      <w:tblGrid>
        <w:gridCol w:w="2758"/>
        <w:gridCol w:w="5882"/>
      </w:tblGrid>
      <w:tr w:rsidTr="008879A7">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293A1F" w:rsidP="00293A1F">
            <w:pPr>
              <w:pStyle w:val="BodyText"/>
            </w:pPr>
            <w:r w:rsidRPr="00293A1F">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293A1F">
            <w:pPr>
              <w:pStyle w:val="BodyText"/>
              <w:rPr>
                <w:lang w:val="en-NZ"/>
              </w:rPr>
            </w:pPr>
            <w:r w:rsidRPr="00293A1F">
              <w:rPr>
                <w:rStyle w:val="SpecialBold"/>
              </w:rPr>
              <w:t>5</w:t>
            </w:r>
            <w:r w:rsidRPr="00293A1F">
              <w:t>)</w:t>
            </w:r>
          </w:p>
        </w:tc>
      </w:tr>
      <w:tr w:rsidTr="008879A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293A1F" w:rsidP="00293A1F">
            <w:pPr>
              <w:pStyle w:val="BodyText"/>
            </w:pPr>
            <w:r w:rsidRPr="00293A1F">
              <w:t>Rail Traction Units</w:t>
            </w:r>
          </w:p>
        </w:tc>
      </w:tr>
    </w:tbl>
    <w:p w:rsidR="008879A7" w:rsidP="00293A1F">
      <w:pPr>
        <w:pStyle w:val="BodyText"/>
      </w:pPr>
    </w:p>
    <w:p w:rsidR="008879A7" w:rsidP="00293A1F">
      <w:pPr>
        <w:pStyle w:val="BodyText"/>
      </w:pPr>
    </w:p>
    <w:p w:rsidR="00000000" w:rsidRPr="00293A1F" w:rsidP="00293A1F"/>
    <w:sectPr w:rsidSect="00293A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A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79A7" w:rsidP="008879A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A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9A7" w:rsidP="00293A1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879A7" w:rsidP="00293A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879A7" w:rsidP="00293A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A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A1F" w:rsidRPr="008879A7" w:rsidP="008879A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A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9A7" w:rsidRPr="002D2AF8" w:rsidP="00293A1F">
    <w:pPr>
      <w:pStyle w:val="Header"/>
      <w:framePr w:wrap="around"/>
    </w:pPr>
    <w:r>
      <w:fldChar w:fldCharType="begin"/>
    </w:r>
    <w:r>
      <w:instrText xml:space="preserve"> TITLE   \* MERGEFORMAT </w:instrText>
    </w:r>
    <w:r>
      <w:fldChar w:fldCharType="separate"/>
    </w:r>
    <w:r>
      <w:t>UETTDRRT10B Perform rail traction switching operations to a given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879A7" w:rsidP="00293A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42AB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1626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A655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A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3A1F"/>
    <w:pPr>
      <w:spacing w:before="360" w:after="60"/>
      <w:outlineLvl w:val="0"/>
    </w:pPr>
    <w:rPr>
      <w:sz w:val="32"/>
    </w:rPr>
  </w:style>
  <w:style w:type="paragraph" w:styleId="Heading2">
    <w:name w:val="heading 2"/>
    <w:basedOn w:val="HeadingBase"/>
    <w:next w:val="BodyText"/>
    <w:link w:val="Heading2Char"/>
    <w:qFormat/>
    <w:rsid w:val="00293A1F"/>
    <w:pPr>
      <w:keepLines/>
      <w:spacing w:before="240" w:after="120"/>
      <w:outlineLvl w:val="1"/>
    </w:pPr>
    <w:rPr>
      <w:sz w:val="28"/>
      <w:szCs w:val="40"/>
    </w:rPr>
  </w:style>
  <w:style w:type="paragraph" w:styleId="Heading3">
    <w:name w:val="heading 3"/>
    <w:basedOn w:val="HeadingBase"/>
    <w:next w:val="BodyText"/>
    <w:link w:val="Heading3Char"/>
    <w:qFormat/>
    <w:rsid w:val="00293A1F"/>
    <w:pPr>
      <w:spacing w:before="180" w:after="120"/>
      <w:outlineLvl w:val="2"/>
    </w:pPr>
    <w:rPr>
      <w:spacing w:val="-10"/>
      <w:kern w:val="32"/>
    </w:rPr>
  </w:style>
  <w:style w:type="paragraph" w:styleId="Heading4">
    <w:name w:val="heading 4"/>
    <w:basedOn w:val="HeadingBase"/>
    <w:next w:val="BodyText"/>
    <w:link w:val="Heading4Char"/>
    <w:qFormat/>
    <w:rsid w:val="00293A1F"/>
    <w:pPr>
      <w:spacing w:before="160" w:after="120"/>
      <w:outlineLvl w:val="3"/>
    </w:pPr>
    <w:rPr>
      <w:sz w:val="22"/>
    </w:rPr>
  </w:style>
  <w:style w:type="paragraph" w:styleId="Heading5">
    <w:name w:val="heading 5"/>
    <w:basedOn w:val="HeadingBase"/>
    <w:next w:val="Normal"/>
    <w:link w:val="Heading5Char"/>
    <w:qFormat/>
    <w:rsid w:val="00293A1F"/>
    <w:pPr>
      <w:spacing w:before="80"/>
      <w:outlineLvl w:val="4"/>
    </w:pPr>
    <w:rPr>
      <w:color w:val="918585"/>
      <w:sz w:val="20"/>
    </w:rPr>
  </w:style>
  <w:style w:type="paragraph" w:styleId="Heading6">
    <w:name w:val="heading 6"/>
    <w:basedOn w:val="HeadingBase"/>
    <w:next w:val="Normal"/>
    <w:link w:val="Heading6Char"/>
    <w:qFormat/>
    <w:rsid w:val="00293A1F"/>
    <w:pPr>
      <w:spacing w:before="60"/>
      <w:outlineLvl w:val="5"/>
    </w:pPr>
    <w:rPr>
      <w:color w:val="918585"/>
      <w:sz w:val="20"/>
    </w:rPr>
  </w:style>
  <w:style w:type="paragraph" w:styleId="Heading7">
    <w:name w:val="heading 7"/>
    <w:basedOn w:val="Normal"/>
    <w:next w:val="Normal"/>
    <w:link w:val="Heading7Char"/>
    <w:qFormat/>
    <w:rsid w:val="00293A1F"/>
    <w:pPr>
      <w:ind w:left="720"/>
      <w:outlineLvl w:val="6"/>
    </w:pPr>
    <w:rPr>
      <w:i/>
    </w:rPr>
  </w:style>
  <w:style w:type="paragraph" w:styleId="Heading8">
    <w:name w:val="heading 8"/>
    <w:basedOn w:val="Normal"/>
    <w:next w:val="Normal"/>
    <w:link w:val="Heading8Char"/>
    <w:qFormat/>
    <w:rsid w:val="00293A1F"/>
    <w:pPr>
      <w:ind w:left="720"/>
      <w:outlineLvl w:val="7"/>
    </w:pPr>
    <w:rPr>
      <w:i/>
    </w:rPr>
  </w:style>
  <w:style w:type="paragraph" w:styleId="Heading9">
    <w:name w:val="heading 9"/>
    <w:basedOn w:val="Normal"/>
    <w:next w:val="Normal"/>
    <w:link w:val="Heading9Char"/>
    <w:qFormat/>
    <w:rsid w:val="00293A1F"/>
    <w:pPr>
      <w:ind w:left="720"/>
      <w:outlineLvl w:val="8"/>
    </w:pPr>
    <w:rPr>
      <w:i/>
    </w:rPr>
  </w:style>
  <w:style w:type="character" w:default="1" w:styleId="DefaultParagraphFont">
    <w:name w:val="Default Paragraph Font"/>
    <w:uiPriority w:val="1"/>
    <w:unhideWhenUsed/>
    <w:rsid w:val="00293A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3A1F"/>
  </w:style>
  <w:style w:type="character" w:customStyle="1" w:styleId="Heading1Char">
    <w:name w:val="Heading 1 Char"/>
    <w:basedOn w:val="DefaultParagraphFont"/>
    <w:link w:val="Heading1"/>
    <w:rsid w:val="00293A1F"/>
    <w:rPr>
      <w:rFonts w:ascii="Times New Roman" w:eastAsia="Times New Roman" w:hAnsi="Times New Roman" w:cs="Times New Roman"/>
      <w:b/>
      <w:sz w:val="32"/>
      <w:szCs w:val="20"/>
      <w:lang w:eastAsia="en-US"/>
    </w:rPr>
  </w:style>
  <w:style w:type="paragraph" w:styleId="BodyText">
    <w:name w:val="Body Text"/>
    <w:basedOn w:val="Normal"/>
    <w:link w:val="BodyTextChar"/>
    <w:rsid w:val="00293A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3A1F"/>
    <w:rPr>
      <w:rFonts w:ascii="Times New Roman" w:eastAsia="Times New Roman" w:hAnsi="Times New Roman" w:cs="Times New Roman"/>
      <w:sz w:val="24"/>
      <w:lang w:eastAsia="en-US"/>
    </w:rPr>
  </w:style>
  <w:style w:type="paragraph" w:styleId="Footer">
    <w:name w:val="footer"/>
    <w:basedOn w:val="Normal"/>
    <w:link w:val="FooterChar"/>
    <w:rsid w:val="00293A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3A1F"/>
    <w:rPr>
      <w:rFonts w:ascii="Times New Roman" w:eastAsia="Times New Roman" w:hAnsi="Times New Roman" w:cs="Times New Roman"/>
      <w:sz w:val="16"/>
      <w:lang w:eastAsia="en-US"/>
    </w:rPr>
  </w:style>
  <w:style w:type="paragraph" w:styleId="ListBullet">
    <w:name w:val="List Bullet"/>
    <w:basedOn w:val="List"/>
    <w:rsid w:val="00293A1F"/>
    <w:pPr>
      <w:numPr>
        <w:numId w:val="13"/>
      </w:numPr>
      <w:tabs>
        <w:tab w:val="clear" w:pos="340"/>
      </w:tabs>
      <w:spacing w:before="40" w:after="40"/>
    </w:pPr>
  </w:style>
  <w:style w:type="character" w:customStyle="1" w:styleId="SpecialBold">
    <w:name w:val="Special Bold"/>
    <w:basedOn w:val="DefaultParagraphFont"/>
    <w:rsid w:val="00293A1F"/>
    <w:rPr>
      <w:b/>
      <w:spacing w:val="0"/>
    </w:rPr>
  </w:style>
  <w:style w:type="paragraph" w:styleId="ListBullet2">
    <w:name w:val="List Bullet 2"/>
    <w:basedOn w:val="List2"/>
    <w:rsid w:val="00293A1F"/>
    <w:pPr>
      <w:numPr>
        <w:numId w:val="14"/>
      </w:numPr>
      <w:tabs>
        <w:tab w:val="clear" w:pos="680"/>
      </w:tabs>
    </w:pPr>
  </w:style>
  <w:style w:type="paragraph" w:customStyle="1" w:styleId="SuperHeading">
    <w:name w:val="SuperHeading"/>
    <w:basedOn w:val="Normal"/>
    <w:rsid w:val="00293A1F"/>
    <w:pPr>
      <w:spacing w:before="240" w:after="120"/>
      <w:outlineLvl w:val="0"/>
    </w:pPr>
    <w:rPr>
      <w:rFonts w:ascii="Times New Roman" w:hAnsi="Times New Roman"/>
      <w:b/>
      <w:sz w:val="28"/>
    </w:rPr>
  </w:style>
  <w:style w:type="paragraph" w:customStyle="1" w:styleId="AllowPageBreak">
    <w:name w:val="AllowPageBreak"/>
    <w:rsid w:val="00293A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3A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3A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3A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3A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3A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3A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3A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3A1F"/>
    <w:rPr>
      <w:rFonts w:ascii="Courier New" w:eastAsia="Times New Roman" w:hAnsi="Courier New" w:cs="Times New Roman"/>
      <w:i/>
      <w:szCs w:val="20"/>
      <w:lang w:eastAsia="en-US"/>
    </w:rPr>
  </w:style>
  <w:style w:type="paragraph" w:customStyle="1" w:styleId="HeadingBase">
    <w:name w:val="Heading Base"/>
    <w:rsid w:val="00293A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3A1F"/>
    <w:pPr>
      <w:tabs>
        <w:tab w:val="right" w:leader="dot" w:pos="9072"/>
      </w:tabs>
      <w:ind w:left="567"/>
    </w:pPr>
    <w:rPr>
      <w:szCs w:val="22"/>
    </w:rPr>
  </w:style>
  <w:style w:type="paragraph" w:customStyle="1" w:styleId="TOCBase">
    <w:name w:val="TOC Base"/>
    <w:rsid w:val="00293A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3A1F"/>
    <w:pPr>
      <w:tabs>
        <w:tab w:val="right" w:leader="dot" w:pos="9072"/>
      </w:tabs>
      <w:spacing w:before="40" w:after="40"/>
      <w:ind w:left="284"/>
    </w:pPr>
    <w:rPr>
      <w:rFonts w:ascii="Times New Roman" w:hAnsi="Times New Roman"/>
    </w:rPr>
  </w:style>
  <w:style w:type="paragraph" w:styleId="TOC1">
    <w:name w:val="toc 1"/>
    <w:basedOn w:val="TOCBase"/>
    <w:next w:val="Normal"/>
    <w:rsid w:val="00293A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3A1F"/>
    <w:pPr>
      <w:spacing w:before="5040"/>
      <w:jc w:val="center"/>
    </w:pPr>
    <w:rPr>
      <w:sz w:val="48"/>
      <w:szCs w:val="72"/>
      <w:lang w:val="en-US"/>
    </w:rPr>
  </w:style>
  <w:style w:type="character" w:customStyle="1" w:styleId="TitleChar">
    <w:name w:val="Title Char"/>
    <w:basedOn w:val="DefaultParagraphFont"/>
    <w:link w:val="Title"/>
    <w:rsid w:val="00293A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3A1F"/>
    <w:pPr>
      <w:tabs>
        <w:tab w:val="left" w:pos="3600"/>
        <w:tab w:val="left" w:pos="3958"/>
      </w:tabs>
    </w:pPr>
  </w:style>
  <w:style w:type="paragraph" w:styleId="List">
    <w:name w:val="List"/>
    <w:basedOn w:val="BodyText"/>
    <w:next w:val="BodyText"/>
    <w:rsid w:val="00293A1F"/>
    <w:pPr>
      <w:tabs>
        <w:tab w:val="left" w:pos="340"/>
      </w:tabs>
      <w:spacing w:before="60" w:after="60"/>
      <w:ind w:left="340" w:hanging="340"/>
    </w:pPr>
  </w:style>
  <w:style w:type="paragraph" w:customStyle="1" w:styleId="Note">
    <w:name w:val="Note"/>
    <w:basedOn w:val="BodyText"/>
    <w:rsid w:val="00293A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3A1F"/>
    <w:pPr>
      <w:framePr w:wrap="auto" w:hAnchor="text" w:y="6049"/>
    </w:pPr>
    <w:rPr>
      <w:color w:val="000000"/>
      <w:sz w:val="40"/>
    </w:rPr>
  </w:style>
  <w:style w:type="paragraph" w:customStyle="1" w:styleId="TOCTitle">
    <w:name w:val="TOCTitle"/>
    <w:basedOn w:val="Heading1"/>
    <w:rsid w:val="00293A1F"/>
    <w:pPr>
      <w:spacing w:after="240"/>
      <w:jc w:val="center"/>
      <w:outlineLvl w:val="9"/>
    </w:pPr>
    <w:rPr>
      <w:caps/>
    </w:rPr>
  </w:style>
  <w:style w:type="paragraph" w:customStyle="1" w:styleId="Version">
    <w:name w:val="Version"/>
    <w:rsid w:val="00293A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3A1F"/>
    <w:pPr>
      <w:keepNext w:val="0"/>
      <w:tabs>
        <w:tab w:val="right" w:pos="4176"/>
      </w:tabs>
      <w:ind w:left="198" w:hanging="198"/>
    </w:pPr>
    <w:rPr>
      <w:rFonts w:ascii="Garamond" w:hAnsi="Garamond"/>
    </w:rPr>
  </w:style>
  <w:style w:type="paragraph" w:styleId="IndexHeading">
    <w:name w:val="index heading"/>
    <w:basedOn w:val="Normal"/>
    <w:next w:val="Index1"/>
    <w:semiHidden/>
    <w:rsid w:val="00293A1F"/>
    <w:pPr>
      <w:spacing w:before="120" w:after="120"/>
    </w:pPr>
    <w:rPr>
      <w:rFonts w:ascii="Arial" w:hAnsi="Arial"/>
      <w:b/>
      <w:color w:val="918585"/>
      <w:sz w:val="24"/>
    </w:rPr>
  </w:style>
  <w:style w:type="paragraph" w:styleId="Header">
    <w:name w:val="header"/>
    <w:basedOn w:val="Normal"/>
    <w:link w:val="HeaderChar"/>
    <w:rsid w:val="00293A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3A1F"/>
    <w:rPr>
      <w:rFonts w:ascii="Times New Roman" w:eastAsia="Times New Roman" w:hAnsi="Times New Roman" w:cs="Times New Roman"/>
      <w:sz w:val="16"/>
      <w:szCs w:val="20"/>
      <w:lang w:val="en-GB" w:eastAsia="en-US"/>
    </w:rPr>
  </w:style>
  <w:style w:type="paragraph" w:customStyle="1" w:styleId="Chapter">
    <w:name w:val="Chapter"/>
    <w:basedOn w:val="Normal"/>
    <w:rsid w:val="00293A1F"/>
    <w:pPr>
      <w:spacing w:before="240"/>
    </w:pPr>
    <w:rPr>
      <w:rFonts w:ascii="Times New Roman" w:hAnsi="Times New Roman"/>
      <w:smallCaps/>
      <w:spacing w:val="80"/>
      <w:sz w:val="28"/>
    </w:rPr>
  </w:style>
  <w:style w:type="paragraph" w:customStyle="1" w:styleId="InChapter">
    <w:name w:val="InChapter"/>
    <w:basedOn w:val="Heading3"/>
    <w:rsid w:val="00293A1F"/>
    <w:pPr>
      <w:spacing w:after="240"/>
      <w:outlineLvl w:val="9"/>
    </w:pPr>
    <w:rPr>
      <w:noProof/>
    </w:rPr>
  </w:style>
  <w:style w:type="paragraph" w:styleId="Index2">
    <w:name w:val="index 2"/>
    <w:basedOn w:val="Normal"/>
    <w:next w:val="Normal"/>
    <w:semiHidden/>
    <w:rsid w:val="00293A1F"/>
    <w:pPr>
      <w:tabs>
        <w:tab w:val="right" w:pos="4176"/>
      </w:tabs>
      <w:ind w:left="568" w:hanging="284"/>
    </w:pPr>
    <w:rPr>
      <w:rFonts w:ascii="Garamond" w:hAnsi="Garamond"/>
    </w:rPr>
  </w:style>
  <w:style w:type="paragraph" w:customStyle="1" w:styleId="Byline">
    <w:name w:val="Byline"/>
    <w:rsid w:val="00293A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3A1F"/>
    <w:pPr>
      <w:tabs>
        <w:tab w:val="clear" w:pos="3600"/>
        <w:tab w:val="clear" w:pos="3958"/>
      </w:tabs>
      <w:jc w:val="right"/>
    </w:pPr>
  </w:style>
  <w:style w:type="character" w:styleId="Emphasis">
    <w:name w:val="Emphasis"/>
    <w:basedOn w:val="DefaultParagraphFont"/>
    <w:qFormat/>
    <w:rsid w:val="00293A1F"/>
    <w:rPr>
      <w:i/>
    </w:rPr>
  </w:style>
  <w:style w:type="paragraph" w:styleId="Caption">
    <w:name w:val="caption"/>
    <w:basedOn w:val="BodyText"/>
    <w:next w:val="Normal"/>
    <w:qFormat/>
    <w:rsid w:val="00293A1F"/>
    <w:pPr>
      <w:framePr w:w="2268" w:hSpace="181" w:vSpace="181" w:wrap="around" w:vAnchor="text" w:hAnchor="page" w:x="1135" w:y="285" w:anchorLock="1"/>
    </w:pPr>
    <w:rPr>
      <w:i/>
    </w:rPr>
  </w:style>
  <w:style w:type="paragraph" w:customStyle="1" w:styleId="MiniTOCTitle">
    <w:name w:val="MiniTOCTitle"/>
    <w:basedOn w:val="Heading4"/>
    <w:rsid w:val="00293A1F"/>
    <w:pPr>
      <w:spacing w:before="240"/>
      <w:outlineLvl w:val="9"/>
    </w:pPr>
    <w:rPr>
      <w:noProof/>
      <w:sz w:val="24"/>
    </w:rPr>
  </w:style>
  <w:style w:type="paragraph" w:customStyle="1" w:styleId="MiniTOCItem">
    <w:name w:val="MiniTOCItem"/>
    <w:basedOn w:val="ListBullet"/>
    <w:rsid w:val="00293A1F"/>
    <w:pPr>
      <w:numPr>
        <w:numId w:val="0"/>
      </w:numPr>
      <w:tabs>
        <w:tab w:val="right" w:leader="dot" w:pos="6521"/>
      </w:tabs>
      <w:spacing w:before="0" w:after="0"/>
    </w:pPr>
  </w:style>
  <w:style w:type="paragraph" w:customStyle="1" w:styleId="TOFTitle">
    <w:name w:val="TOFTitle"/>
    <w:basedOn w:val="TOCTitle"/>
    <w:rsid w:val="00293A1F"/>
  </w:style>
  <w:style w:type="paragraph" w:styleId="TableofFigures">
    <w:name w:val="table of figures"/>
    <w:basedOn w:val="Normal"/>
    <w:next w:val="Normal"/>
    <w:semiHidden/>
    <w:rsid w:val="00293A1F"/>
    <w:pPr>
      <w:tabs>
        <w:tab w:val="right" w:leader="dot" w:pos="9072"/>
      </w:tabs>
      <w:ind w:left="970" w:hanging="403"/>
    </w:pPr>
    <w:rPr>
      <w:rFonts w:ascii="Times New Roman" w:hAnsi="Times New Roman"/>
      <w:b/>
    </w:rPr>
  </w:style>
  <w:style w:type="paragraph" w:styleId="ListNumber">
    <w:name w:val="List Number"/>
    <w:basedOn w:val="List"/>
    <w:rsid w:val="00293A1F"/>
    <w:pPr>
      <w:numPr>
        <w:numId w:val="11"/>
      </w:numPr>
    </w:pPr>
  </w:style>
  <w:style w:type="character" w:customStyle="1" w:styleId="WingdingSymbols">
    <w:name w:val="Wingding Symbols"/>
    <w:rsid w:val="00293A1F"/>
    <w:rPr>
      <w:rFonts w:ascii="Wingdings" w:hAnsi="Wingdings"/>
    </w:rPr>
  </w:style>
  <w:style w:type="paragraph" w:customStyle="1" w:styleId="TableHeading">
    <w:name w:val="Table Heading"/>
    <w:basedOn w:val="HeadingBase"/>
    <w:rsid w:val="00293A1F"/>
    <w:pPr>
      <w:keepLines/>
      <w:pBdr>
        <w:bottom w:val="single" w:sz="6" w:space="1" w:color="918585"/>
      </w:pBdr>
      <w:spacing w:before="240"/>
    </w:pPr>
  </w:style>
  <w:style w:type="character" w:customStyle="1" w:styleId="HotSpot">
    <w:name w:val="HotSpot"/>
    <w:rsid w:val="00293A1F"/>
    <w:rPr>
      <w:color w:val="0033CC"/>
      <w:u w:val="none"/>
    </w:rPr>
  </w:style>
  <w:style w:type="paragraph" w:customStyle="1" w:styleId="BodyTextRight">
    <w:name w:val="Body Text Right"/>
    <w:basedOn w:val="BodyText"/>
    <w:rsid w:val="00293A1F"/>
    <w:pPr>
      <w:spacing w:before="0" w:after="0"/>
      <w:jc w:val="right"/>
    </w:pPr>
  </w:style>
  <w:style w:type="paragraph" w:styleId="Index3">
    <w:name w:val="index 3"/>
    <w:basedOn w:val="ListNumber2"/>
    <w:next w:val="Normal"/>
    <w:semiHidden/>
    <w:rsid w:val="00293A1F"/>
    <w:pPr>
      <w:numPr>
        <w:numId w:val="0"/>
      </w:numPr>
      <w:tabs>
        <w:tab w:val="right" w:leader="dot" w:pos="4176"/>
      </w:tabs>
    </w:pPr>
  </w:style>
  <w:style w:type="paragraph" w:styleId="ListNumber2">
    <w:name w:val="List Number 2"/>
    <w:basedOn w:val="List2"/>
    <w:rsid w:val="00293A1F"/>
    <w:pPr>
      <w:numPr>
        <w:numId w:val="10"/>
      </w:numPr>
      <w:tabs>
        <w:tab w:val="clear" w:pos="1060"/>
      </w:tabs>
    </w:pPr>
  </w:style>
  <w:style w:type="paragraph" w:customStyle="1" w:styleId="MarginNote">
    <w:name w:val="Margin Note"/>
    <w:basedOn w:val="BodyText"/>
    <w:rsid w:val="00293A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3A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3A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3A1F"/>
    <w:rPr>
      <w:sz w:val="32"/>
    </w:rPr>
  </w:style>
  <w:style w:type="paragraph" w:customStyle="1" w:styleId="HeadingProcedure">
    <w:name w:val="Heading Procedure"/>
    <w:basedOn w:val="HeadingBase"/>
    <w:next w:val="Normal"/>
    <w:rsid w:val="00293A1F"/>
    <w:pPr>
      <w:tabs>
        <w:tab w:val="left" w:pos="0"/>
      </w:tabs>
      <w:spacing w:before="120" w:after="60"/>
    </w:pPr>
    <w:rPr>
      <w:i/>
      <w:color w:val="918585"/>
      <w:sz w:val="22"/>
    </w:rPr>
  </w:style>
  <w:style w:type="paragraph" w:customStyle="1" w:styleId="TableBodyText">
    <w:name w:val="Table Body Text"/>
    <w:basedOn w:val="BodyText"/>
    <w:rsid w:val="00293A1F"/>
    <w:pPr>
      <w:spacing w:before="60" w:after="60"/>
    </w:pPr>
  </w:style>
  <w:style w:type="paragraph" w:styleId="ListContinue">
    <w:name w:val="List Continue"/>
    <w:basedOn w:val="List"/>
    <w:rsid w:val="00293A1F"/>
    <w:pPr>
      <w:ind w:firstLine="0"/>
    </w:pPr>
  </w:style>
  <w:style w:type="paragraph" w:customStyle="1" w:styleId="ListNote">
    <w:name w:val="List Note"/>
    <w:basedOn w:val="List"/>
    <w:rsid w:val="00293A1F"/>
    <w:pPr>
      <w:pBdr>
        <w:top w:val="single" w:sz="6" w:space="2" w:color="918585"/>
        <w:bottom w:val="single" w:sz="6" w:space="2" w:color="918585"/>
      </w:pBdr>
      <w:tabs>
        <w:tab w:val="left" w:pos="1021"/>
      </w:tabs>
      <w:ind w:firstLine="0"/>
    </w:pPr>
  </w:style>
  <w:style w:type="paragraph" w:customStyle="1" w:styleId="Warning">
    <w:name w:val="Warning"/>
    <w:basedOn w:val="BodyText"/>
    <w:rsid w:val="00293A1F"/>
    <w:pPr>
      <w:shd w:val="clear" w:color="auto" w:fill="D9D9D9"/>
      <w:tabs>
        <w:tab w:val="left" w:pos="992"/>
      </w:tabs>
      <w:ind w:left="119" w:right="119"/>
    </w:pPr>
    <w:rPr>
      <w:sz w:val="20"/>
    </w:rPr>
  </w:style>
  <w:style w:type="paragraph" w:customStyle="1" w:styleId="MarginIcons">
    <w:name w:val="Margin Icons"/>
    <w:basedOn w:val="BodyText"/>
    <w:rsid w:val="00293A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3A1F"/>
    <w:rPr>
      <w:rFonts w:ascii="Courier New" w:hAnsi="Courier New"/>
    </w:rPr>
  </w:style>
  <w:style w:type="paragraph" w:customStyle="1" w:styleId="NoteBullet">
    <w:name w:val="Note Bullet"/>
    <w:basedOn w:val="Note"/>
    <w:rsid w:val="00293A1F"/>
    <w:pPr>
      <w:tabs>
        <w:tab w:val="clear" w:pos="680"/>
      </w:tabs>
      <w:spacing w:before="60" w:after="60"/>
    </w:pPr>
  </w:style>
  <w:style w:type="paragraph" w:customStyle="1" w:styleId="SubHeading2">
    <w:name w:val="SubHeading2"/>
    <w:basedOn w:val="HeadingBase"/>
    <w:rsid w:val="00293A1F"/>
    <w:pPr>
      <w:spacing w:before="240" w:after="60"/>
    </w:pPr>
    <w:rPr>
      <w:sz w:val="20"/>
    </w:rPr>
  </w:style>
  <w:style w:type="paragraph" w:customStyle="1" w:styleId="SubHeading1">
    <w:name w:val="SubHeading1"/>
    <w:basedOn w:val="HeadingBase"/>
    <w:rsid w:val="00293A1F"/>
    <w:pPr>
      <w:spacing w:before="240" w:after="60"/>
    </w:pPr>
    <w:rPr>
      <w:color w:val="918585"/>
      <w:sz w:val="22"/>
    </w:rPr>
  </w:style>
  <w:style w:type="paragraph" w:customStyle="1" w:styleId="SideHeading">
    <w:name w:val="Side Heading"/>
    <w:basedOn w:val="HeadingBase"/>
    <w:rsid w:val="00293A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3A1F"/>
    <w:pPr>
      <w:numPr>
        <w:numId w:val="12"/>
      </w:numPr>
    </w:pPr>
  </w:style>
  <w:style w:type="paragraph" w:styleId="PlainText">
    <w:name w:val="Plain Text"/>
    <w:basedOn w:val="Normal"/>
    <w:link w:val="PlainTextChar"/>
    <w:rsid w:val="00293A1F"/>
    <w:rPr>
      <w:sz w:val="20"/>
    </w:rPr>
  </w:style>
  <w:style w:type="character" w:customStyle="1" w:styleId="PlainTextChar">
    <w:name w:val="Plain Text Char"/>
    <w:basedOn w:val="DefaultParagraphFont"/>
    <w:link w:val="PlainText"/>
    <w:rsid w:val="00293A1F"/>
    <w:rPr>
      <w:rFonts w:ascii="Courier New" w:eastAsia="Times New Roman" w:hAnsi="Courier New" w:cs="Times New Roman"/>
      <w:sz w:val="20"/>
      <w:szCs w:val="20"/>
      <w:lang w:eastAsia="en-US"/>
    </w:rPr>
  </w:style>
  <w:style w:type="character" w:customStyle="1" w:styleId="MenuOption">
    <w:name w:val="Menu Option"/>
    <w:basedOn w:val="DefaultParagraphFont"/>
    <w:rsid w:val="00293A1F"/>
    <w:rPr>
      <w:b/>
      <w:smallCaps/>
    </w:rPr>
  </w:style>
  <w:style w:type="paragraph" w:customStyle="1" w:styleId="TableListNumber">
    <w:name w:val="Table List Number"/>
    <w:basedOn w:val="ListNumber"/>
    <w:rsid w:val="00293A1F"/>
    <w:pPr>
      <w:numPr>
        <w:numId w:val="0"/>
      </w:numPr>
    </w:pPr>
  </w:style>
  <w:style w:type="paragraph" w:styleId="TOC4">
    <w:name w:val="toc 4"/>
    <w:basedOn w:val="TOCBase"/>
    <w:next w:val="Normal"/>
    <w:semiHidden/>
    <w:rsid w:val="00293A1F"/>
    <w:pPr>
      <w:tabs>
        <w:tab w:val="right" w:leader="dot" w:pos="9071"/>
      </w:tabs>
      <w:ind w:left="1701"/>
    </w:pPr>
  </w:style>
  <w:style w:type="paragraph" w:customStyle="1" w:styleId="ListAlpha">
    <w:name w:val="List Alpha"/>
    <w:basedOn w:val="List"/>
    <w:rsid w:val="00293A1F"/>
    <w:pPr>
      <w:numPr>
        <w:numId w:val="9"/>
      </w:numPr>
    </w:pPr>
  </w:style>
  <w:style w:type="paragraph" w:customStyle="1" w:styleId="ListAlpha2">
    <w:name w:val="List Alpha 2"/>
    <w:basedOn w:val="List2"/>
    <w:rsid w:val="00293A1F"/>
    <w:pPr>
      <w:numPr>
        <w:numId w:val="8"/>
      </w:numPr>
    </w:pPr>
  </w:style>
  <w:style w:type="paragraph" w:styleId="List2">
    <w:name w:val="List 2"/>
    <w:basedOn w:val="BodyText"/>
    <w:rsid w:val="00293A1F"/>
    <w:pPr>
      <w:tabs>
        <w:tab w:val="left" w:pos="680"/>
      </w:tabs>
      <w:spacing w:before="60" w:after="60"/>
      <w:ind w:left="680" w:hanging="340"/>
    </w:pPr>
  </w:style>
  <w:style w:type="paragraph" w:styleId="List3">
    <w:name w:val="List 3"/>
    <w:basedOn w:val="BodyText"/>
    <w:rsid w:val="00293A1F"/>
    <w:pPr>
      <w:tabs>
        <w:tab w:val="left" w:pos="1021"/>
      </w:tabs>
      <w:spacing w:before="60" w:after="60"/>
      <w:ind w:left="1020" w:hanging="340"/>
    </w:pPr>
  </w:style>
  <w:style w:type="paragraph" w:styleId="List4">
    <w:name w:val="List 4"/>
    <w:basedOn w:val="BodyText"/>
    <w:rsid w:val="00293A1F"/>
    <w:pPr>
      <w:tabs>
        <w:tab w:val="left" w:pos="1361"/>
      </w:tabs>
      <w:spacing w:before="60" w:after="60"/>
      <w:ind w:left="1361" w:hanging="340"/>
    </w:pPr>
  </w:style>
  <w:style w:type="paragraph" w:styleId="List5">
    <w:name w:val="List 5"/>
    <w:basedOn w:val="BodyText"/>
    <w:rsid w:val="00293A1F"/>
    <w:pPr>
      <w:tabs>
        <w:tab w:val="left" w:pos="1701"/>
      </w:tabs>
      <w:spacing w:before="60" w:after="60"/>
      <w:ind w:left="1701" w:hanging="340"/>
    </w:pPr>
  </w:style>
  <w:style w:type="paragraph" w:styleId="ListBullet3">
    <w:name w:val="List Bullet 3"/>
    <w:basedOn w:val="List3"/>
    <w:rsid w:val="00293A1F"/>
    <w:pPr>
      <w:numPr>
        <w:numId w:val="15"/>
      </w:numPr>
      <w:tabs>
        <w:tab w:val="clear" w:pos="1021"/>
      </w:tabs>
      <w:ind w:left="1037" w:hanging="357"/>
    </w:pPr>
  </w:style>
  <w:style w:type="paragraph" w:styleId="ListBullet4">
    <w:name w:val="List Bullet 4"/>
    <w:basedOn w:val="List4"/>
    <w:rsid w:val="00293A1F"/>
    <w:pPr>
      <w:numPr>
        <w:numId w:val="3"/>
      </w:numPr>
    </w:pPr>
  </w:style>
  <w:style w:type="paragraph" w:styleId="ListBullet5">
    <w:name w:val="List Bullet 5"/>
    <w:basedOn w:val="List5"/>
    <w:rsid w:val="00293A1F"/>
    <w:pPr>
      <w:numPr>
        <w:numId w:val="4"/>
      </w:numPr>
    </w:pPr>
  </w:style>
  <w:style w:type="paragraph" w:styleId="ListContinue2">
    <w:name w:val="List Continue 2"/>
    <w:basedOn w:val="List2"/>
    <w:rsid w:val="00293A1F"/>
    <w:pPr>
      <w:ind w:firstLine="0"/>
    </w:pPr>
  </w:style>
  <w:style w:type="paragraph" w:styleId="ListContinue3">
    <w:name w:val="List Continue 3"/>
    <w:basedOn w:val="List3"/>
    <w:rsid w:val="00293A1F"/>
    <w:pPr>
      <w:ind w:left="1021" w:firstLine="0"/>
    </w:pPr>
  </w:style>
  <w:style w:type="paragraph" w:styleId="ListContinue4">
    <w:name w:val="List Continue 4"/>
    <w:basedOn w:val="List4"/>
    <w:rsid w:val="00293A1F"/>
    <w:pPr>
      <w:ind w:firstLine="0"/>
    </w:pPr>
  </w:style>
  <w:style w:type="paragraph" w:styleId="ListContinue5">
    <w:name w:val="List Continue 5"/>
    <w:basedOn w:val="List5"/>
    <w:rsid w:val="00293A1F"/>
    <w:pPr>
      <w:ind w:firstLine="0"/>
    </w:pPr>
  </w:style>
  <w:style w:type="paragraph" w:styleId="ListNumber3">
    <w:name w:val="List Number 3"/>
    <w:basedOn w:val="List3"/>
    <w:rsid w:val="00293A1F"/>
    <w:pPr>
      <w:numPr>
        <w:numId w:val="5"/>
      </w:numPr>
    </w:pPr>
  </w:style>
  <w:style w:type="paragraph" w:styleId="ListNumber4">
    <w:name w:val="List Number 4"/>
    <w:basedOn w:val="List4"/>
    <w:rsid w:val="00293A1F"/>
    <w:pPr>
      <w:numPr>
        <w:numId w:val="6"/>
      </w:numPr>
    </w:pPr>
  </w:style>
  <w:style w:type="paragraph" w:styleId="ListNumber5">
    <w:name w:val="List Number 5"/>
    <w:basedOn w:val="List5"/>
    <w:rsid w:val="00293A1F"/>
    <w:pPr>
      <w:numPr>
        <w:numId w:val="7"/>
      </w:numPr>
    </w:pPr>
  </w:style>
  <w:style w:type="paragraph" w:styleId="BlockText">
    <w:name w:val="Block Text"/>
    <w:basedOn w:val="Normal"/>
    <w:rsid w:val="00293A1F"/>
    <w:pPr>
      <w:spacing w:after="120"/>
      <w:ind w:left="1440" w:right="1440"/>
    </w:pPr>
  </w:style>
  <w:style w:type="character" w:customStyle="1" w:styleId="Subscript">
    <w:name w:val="Subscript"/>
    <w:basedOn w:val="DefaultParagraphFont"/>
    <w:rsid w:val="00293A1F"/>
    <w:rPr>
      <w:sz w:val="16"/>
      <w:vertAlign w:val="subscript"/>
    </w:rPr>
  </w:style>
  <w:style w:type="character" w:customStyle="1" w:styleId="Superscript">
    <w:name w:val="Superscript"/>
    <w:basedOn w:val="DefaultParagraphFont"/>
    <w:rsid w:val="00293A1F"/>
    <w:rPr>
      <w:sz w:val="16"/>
      <w:vertAlign w:val="superscript"/>
    </w:rPr>
  </w:style>
  <w:style w:type="character" w:customStyle="1" w:styleId="Symbols">
    <w:name w:val="Symbols"/>
    <w:basedOn w:val="DefaultParagraphFont"/>
    <w:rsid w:val="00293A1F"/>
    <w:rPr>
      <w:rFonts w:ascii="Symbol" w:hAnsi="Symbol"/>
    </w:rPr>
  </w:style>
  <w:style w:type="character" w:customStyle="1" w:styleId="MenuOptions">
    <w:name w:val="Menu Options"/>
    <w:basedOn w:val="DefaultParagraphFont"/>
    <w:rsid w:val="00293A1F"/>
    <w:rPr>
      <w:rFonts w:ascii="Arial Narrow" w:hAnsi="Arial Narrow"/>
      <w:smallCaps/>
    </w:rPr>
  </w:style>
  <w:style w:type="character" w:customStyle="1" w:styleId="Buttons">
    <w:name w:val="Buttons"/>
    <w:basedOn w:val="DefaultParagraphFont"/>
    <w:rsid w:val="00293A1F"/>
    <w:rPr>
      <w:b/>
    </w:rPr>
  </w:style>
  <w:style w:type="character" w:customStyle="1" w:styleId="Underlined">
    <w:name w:val="Underlined"/>
    <w:basedOn w:val="DefaultParagraphFont"/>
    <w:rsid w:val="00293A1F"/>
    <w:rPr>
      <w:u w:val="single"/>
    </w:rPr>
  </w:style>
  <w:style w:type="paragraph" w:customStyle="1" w:styleId="TableBodyTextRight">
    <w:name w:val="Table Body Text Right"/>
    <w:basedOn w:val="TableBodyText"/>
    <w:rsid w:val="00293A1F"/>
    <w:pPr>
      <w:widowControl w:val="0"/>
      <w:autoSpaceDE w:val="0"/>
      <w:autoSpaceDN w:val="0"/>
      <w:adjustRightInd w:val="0"/>
      <w:jc w:val="right"/>
    </w:pPr>
    <w:rPr>
      <w:rFonts w:cs="Arial"/>
      <w:szCs w:val="18"/>
    </w:rPr>
  </w:style>
  <w:style w:type="paragraph" w:customStyle="1" w:styleId="CopyrightText">
    <w:name w:val="Copyright Text"/>
    <w:basedOn w:val="BodyText"/>
    <w:rsid w:val="00293A1F"/>
    <w:rPr>
      <w:sz w:val="18"/>
    </w:rPr>
  </w:style>
  <w:style w:type="paragraph" w:customStyle="1" w:styleId="BodySmallRight">
    <w:name w:val="Body Small Right"/>
    <w:basedOn w:val="BodyTextRight"/>
    <w:rsid w:val="00293A1F"/>
    <w:rPr>
      <w:sz w:val="18"/>
      <w:szCs w:val="18"/>
    </w:rPr>
  </w:style>
  <w:style w:type="paragraph" w:customStyle="1" w:styleId="MarginEdition">
    <w:name w:val="Margin Edition"/>
    <w:basedOn w:val="MarginNote"/>
    <w:rsid w:val="00293A1F"/>
    <w:pPr>
      <w:spacing w:before="0" w:after="0"/>
    </w:pPr>
    <w:rPr>
      <w:rFonts w:ascii="Times New Roman" w:hAnsi="Times New Roman"/>
      <w:color w:val="999999"/>
    </w:rPr>
  </w:style>
  <w:style w:type="paragraph" w:customStyle="1" w:styleId="Spacer">
    <w:name w:val="Spacer"/>
    <w:basedOn w:val="Normal"/>
    <w:rsid w:val="00293A1F"/>
    <w:rPr>
      <w:sz w:val="2"/>
      <w:szCs w:val="2"/>
    </w:rPr>
  </w:style>
  <w:style w:type="character" w:customStyle="1" w:styleId="Small">
    <w:name w:val="Small"/>
    <w:basedOn w:val="DefaultParagraphFont"/>
    <w:rsid w:val="00293A1F"/>
    <w:rPr>
      <w:sz w:val="16"/>
    </w:rPr>
  </w:style>
  <w:style w:type="paragraph" w:customStyle="1" w:styleId="WideTable">
    <w:name w:val="Wide Table"/>
    <w:basedOn w:val="Normal"/>
    <w:rsid w:val="00293A1F"/>
    <w:pPr>
      <w:ind w:left="-1418"/>
    </w:pPr>
    <w:rPr>
      <w:sz w:val="2"/>
      <w:szCs w:val="2"/>
    </w:rPr>
  </w:style>
  <w:style w:type="character" w:styleId="PageNumber">
    <w:name w:val="page number"/>
    <w:basedOn w:val="DefaultParagraphFont"/>
    <w:rsid w:val="00293A1F"/>
  </w:style>
  <w:style w:type="paragraph" w:styleId="Quote">
    <w:name w:val="Quote"/>
    <w:basedOn w:val="Heading1"/>
    <w:link w:val="QuoteChar"/>
    <w:qFormat/>
    <w:rsid w:val="00293A1F"/>
    <w:rPr>
      <w:b w:val="0"/>
      <w:sz w:val="72"/>
      <w:szCs w:val="72"/>
      <w:lang w:val="en-NZ"/>
    </w:rPr>
  </w:style>
  <w:style w:type="character" w:customStyle="1" w:styleId="QuoteChar">
    <w:name w:val="Quote Char"/>
    <w:basedOn w:val="DefaultParagraphFont"/>
    <w:link w:val="Quote"/>
    <w:rsid w:val="00293A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3A1F"/>
    <w:pPr>
      <w:pageBreakBefore/>
    </w:pPr>
  </w:style>
  <w:style w:type="paragraph" w:customStyle="1" w:styleId="Border">
    <w:name w:val="Border"/>
    <w:basedOn w:val="Normal"/>
    <w:qFormat/>
    <w:rsid w:val="00293A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3A1F"/>
    <w:rPr>
      <w:b/>
      <w:bCs/>
      <w:i/>
      <w:iCs/>
      <w:color w:val="auto"/>
    </w:rPr>
  </w:style>
  <w:style w:type="paragraph" w:styleId="IntenseQuote">
    <w:name w:val="Intense Quote"/>
    <w:basedOn w:val="Normal"/>
    <w:next w:val="Normal"/>
    <w:link w:val="IntenseQuoteChar"/>
    <w:uiPriority w:val="30"/>
    <w:qFormat/>
    <w:rsid w:val="00293A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3A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3A1F"/>
    <w:rPr>
      <w:smallCaps/>
      <w:color w:val="auto"/>
      <w:u w:val="single"/>
    </w:rPr>
  </w:style>
  <w:style w:type="character" w:styleId="IntenseReference">
    <w:name w:val="Intense Reference"/>
    <w:basedOn w:val="DefaultParagraphFont"/>
    <w:uiPriority w:val="32"/>
    <w:qFormat/>
    <w:rsid w:val="00293A1F"/>
    <w:rPr>
      <w:b/>
      <w:bCs/>
      <w:smallCaps/>
      <w:color w:val="auto"/>
      <w:spacing w:val="5"/>
      <w:u w:val="single"/>
    </w:rPr>
  </w:style>
  <w:style w:type="paragraph" w:customStyle="1" w:styleId="2ColumnHeading">
    <w:name w:val="2Column Heading"/>
    <w:basedOn w:val="BodyText"/>
    <w:qFormat/>
    <w:rsid w:val="00293A1F"/>
    <w:pPr>
      <w:spacing w:after="60"/>
      <w:ind w:left="-2268"/>
    </w:pPr>
    <w:rPr>
      <w:b/>
    </w:rPr>
  </w:style>
  <w:style w:type="paragraph" w:customStyle="1" w:styleId="Heading1TOC">
    <w:name w:val="Heading1 TOC"/>
    <w:basedOn w:val="Normal"/>
    <w:qFormat/>
    <w:rsid w:val="00293A1F"/>
    <w:pPr>
      <w:spacing w:before="240" w:after="120"/>
    </w:pPr>
    <w:rPr>
      <w:rFonts w:ascii="Times New Roman" w:hAnsi="Times New Roman"/>
      <w:b/>
      <w:sz w:val="32"/>
    </w:rPr>
  </w:style>
  <w:style w:type="paragraph" w:customStyle="1" w:styleId="Heading2TOC">
    <w:name w:val="Heading2 TOC"/>
    <w:basedOn w:val="Normal"/>
    <w:qFormat/>
    <w:rsid w:val="00293A1F"/>
    <w:pPr>
      <w:spacing w:before="240" w:after="60"/>
    </w:pPr>
    <w:rPr>
      <w:rFonts w:ascii="Times New Roman" w:hAnsi="Times New Roman"/>
      <w:b/>
      <w:sz w:val="28"/>
    </w:rPr>
  </w:style>
  <w:style w:type="character" w:customStyle="1" w:styleId="Underline">
    <w:name w:val="Underline"/>
    <w:basedOn w:val="DefaultParagraphFont"/>
    <w:qFormat/>
    <w:rsid w:val="00293A1F"/>
    <w:rPr>
      <w:u w:val="single"/>
    </w:rPr>
  </w:style>
  <w:style w:type="character" w:customStyle="1" w:styleId="BoldandItalics">
    <w:name w:val="Bold and Italics"/>
    <w:qFormat/>
    <w:rsid w:val="00293A1F"/>
    <w:rPr>
      <w:b/>
      <w:i/>
      <w:u w:val="none"/>
    </w:rPr>
  </w:style>
  <w:style w:type="paragraph" w:styleId="BalloonText">
    <w:name w:val="Balloon Text"/>
    <w:basedOn w:val="Normal"/>
    <w:link w:val="BalloonTextChar"/>
    <w:rsid w:val="00293A1F"/>
    <w:rPr>
      <w:rFonts w:ascii="Tahoma" w:hAnsi="Tahoma" w:cs="Tahoma"/>
      <w:sz w:val="16"/>
      <w:szCs w:val="16"/>
    </w:rPr>
  </w:style>
  <w:style w:type="character" w:customStyle="1" w:styleId="BalloonTextChar">
    <w:name w:val="Balloon Text Char"/>
    <w:basedOn w:val="DefaultParagraphFont"/>
    <w:link w:val="BalloonText"/>
    <w:rsid w:val="00293A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3A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3A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3A1F"/>
    <w:rPr>
      <w:b/>
      <w:color w:val="660033"/>
      <w:spacing w:val="0"/>
    </w:rPr>
  </w:style>
  <w:style w:type="paragraph" w:customStyle="1" w:styleId="Nameditemlist">
    <w:name w:val="Named item list"/>
    <w:basedOn w:val="BodyText"/>
    <w:qFormat/>
    <w:rsid w:val="00293A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2322</Words>
  <Characters>14383</Characters>
  <Application>Microsoft Office Word</Application>
  <DocSecurity>0</DocSecurity>
  <Lines>586</Lines>
  <Paragraphs>230</Paragraphs>
  <ScaleCrop>false</ScaleCrop>
  <Company>Author-it Software Corporation Ltd.</Company>
  <LinksUpToDate>false</LinksUpToDate>
  <CharactersWithSpaces>16532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UETTDRRT10B Perform rail traction switching operations to a given schedule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2012-10-11T19:19:00Z</dcterms:created>
  <dcterms:modified xsi:type="dcterms:W3CDTF">2012-10-11T19:19:00Z</dcterms:modified>
</cp:coreProperties>
</file>