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53B84" w:rsidP="00653B84">
      <w:pPr>
        <w:pStyle w:val="Title"/>
      </w:pPr>
      <w:r>
        <w:fldChar w:fldCharType="begin"/>
      </w:r>
      <w:r>
        <w:instrText xml:space="preserve"> TITLE   \* MERGEFORMAT </w:instrText>
      </w:r>
      <w:r>
        <w:fldChar w:fldCharType="separate"/>
      </w:r>
      <w:r>
        <w:t>UETTDRRF10A Provide first aid in an ESI environment</w:t>
      </w:r>
      <w:r>
        <w:fldChar w:fldCharType="end"/>
      </w:r>
    </w:p>
    <w:p w:rsidR="00653B84" w:rsidP="00653B84">
      <w:pPr>
        <w:pStyle w:val="Version"/>
        <w:sectPr w:rsidSect="00267D1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67D12" w:rsidP="00267D12">
      <w:pPr>
        <w:pStyle w:val="SuperHeading"/>
      </w:pPr>
      <w:r w:rsidRPr="00267D12">
        <w:t>UETTDRRF10A Provide first aid in an ESI environment</w:t>
      </w:r>
    </w:p>
    <w:p w:rsidR="00000000" w:rsidRPr="00267D12" w:rsidP="00267D12">
      <w:pPr>
        <w:pStyle w:val="Heading1"/>
      </w:pPr>
      <w:bookmarkStart w:id="1" w:name="O_275504"/>
      <w:bookmarkEnd w:id="1"/>
      <w:r w:rsidRPr="00267D12">
        <w:t>Modification History</w:t>
      </w:r>
    </w:p>
    <w:p w:rsidR="00000000" w:rsidRPr="00267D12" w:rsidP="00267D12">
      <w:pPr>
        <w:pStyle w:val="BodyText"/>
      </w:pPr>
      <w:r w:rsidRPr="00267D12">
        <w:t>Not Applicable</w:t>
      </w:r>
    </w:p>
    <w:p w:rsidR="00000000" w:rsidRPr="00267D12" w:rsidP="00267D12">
      <w:pPr>
        <w:pStyle w:val="AllowPageBreak"/>
      </w:pPr>
    </w:p>
    <w:p w:rsidR="00000000" w:rsidRPr="00267D12" w:rsidP="00267D12">
      <w:pPr>
        <w:pStyle w:val="Heading1"/>
      </w:pPr>
      <w:bookmarkStart w:id="2" w:name="O_231676"/>
      <w:bookmarkEnd w:id="2"/>
      <w:r w:rsidRPr="00267D12">
        <w:t>Unit Descriptor</w:t>
      </w:r>
    </w:p>
    <w:tbl>
      <w:tblPr>
        <w:tblW w:w="0" w:type="auto"/>
        <w:tblLayout w:type="fixed"/>
        <w:tblCellMar>
          <w:left w:w="62" w:type="dxa"/>
          <w:right w:w="62" w:type="dxa"/>
        </w:tblCellMar>
        <w:tblLook w:val="0000"/>
      </w:tblPr>
      <w:tblGrid>
        <w:gridCol w:w="2700"/>
        <w:gridCol w:w="5760"/>
      </w:tblGrid>
      <w:tr w:rsidTr="00653B8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P="00267D12">
            <w:pPr>
              <w:pStyle w:val="BodyText"/>
              <w:rPr>
                <w:lang w:val="en-NZ"/>
              </w:rPr>
            </w:pPr>
            <w:r w:rsidRPr="00267D12">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267D12" w:rsidP="00267D12">
            <w:pPr>
              <w:pStyle w:val="BodyText"/>
            </w:pPr>
            <w:r w:rsidRPr="00267D12">
              <w:t xml:space="preserve">1) </w:t>
            </w:r>
          </w:p>
          <w:p w:rsidR="00000000" w:rsidP="00267D12">
            <w:pPr>
              <w:pStyle w:val="BodyText"/>
              <w:rPr>
                <w:lang w:val="en-NZ"/>
              </w:rPr>
            </w:pPr>
            <w:r w:rsidRPr="00267D12">
              <w:t>1.1) Descriptor</w:t>
            </w:r>
          </w:p>
        </w:tc>
      </w:tr>
      <w:tr w:rsidTr="00653B8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267D12" w:rsidP="00267D12">
            <w:pPr>
              <w:pStyle w:val="BodyText"/>
            </w:pPr>
            <w:r w:rsidRPr="00267D12">
              <w:t>This Competency Standard Unit covers the provision of first aid in an Electricity Supply Industry (ESI) environment.  It includes the recognition and provision of  an initial response where first aid is required in emergency situations by providing essenti</w:t>
            </w:r>
            <w:r w:rsidRPr="00267D12">
              <w:t>al first aid using basic life support measures according to established workplace first aid policies and procedures.</w:t>
            </w:r>
          </w:p>
        </w:tc>
      </w:tr>
    </w:tbl>
    <w:p w:rsidR="00653B84" w:rsidP="00267D12">
      <w:pPr>
        <w:pStyle w:val="BodyText"/>
      </w:pPr>
    </w:p>
    <w:p w:rsidR="00653B84" w:rsidP="00267D12">
      <w:pPr>
        <w:pStyle w:val="BodyText"/>
      </w:pPr>
    </w:p>
    <w:p w:rsidR="00000000" w:rsidRPr="00267D12" w:rsidP="00267D12">
      <w:pPr>
        <w:pStyle w:val="Heading1"/>
      </w:pPr>
      <w:bookmarkStart w:id="3" w:name="O_231681"/>
      <w:bookmarkEnd w:id="3"/>
      <w:r w:rsidRPr="00267D12">
        <w:t>Application of the Unit</w:t>
      </w:r>
    </w:p>
    <w:tbl>
      <w:tblPr>
        <w:tblW w:w="0" w:type="auto"/>
        <w:tblLayout w:type="fixed"/>
        <w:tblCellMar>
          <w:left w:w="62" w:type="dxa"/>
          <w:right w:w="62" w:type="dxa"/>
        </w:tblCellMar>
        <w:tblLook w:val="0000"/>
      </w:tblPr>
      <w:tblGrid>
        <w:gridCol w:w="2700"/>
        <w:gridCol w:w="5760"/>
      </w:tblGrid>
      <w:tr w:rsidTr="00653B8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P="00267D12">
            <w:pPr>
              <w:pStyle w:val="BodyText"/>
              <w:rPr>
                <w:lang w:val="en-NZ"/>
              </w:rPr>
            </w:pPr>
            <w:r w:rsidRPr="00267D12">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267D12">
            <w:pPr>
              <w:pStyle w:val="BodyText"/>
              <w:rPr>
                <w:lang w:val="en-NZ"/>
              </w:rPr>
            </w:pPr>
            <w:r w:rsidRPr="00267D12">
              <w:t>4)</w:t>
            </w:r>
          </w:p>
        </w:tc>
      </w:tr>
      <w:tr w:rsidTr="00653B8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267D12" w:rsidP="00267D12">
            <w:pPr>
              <w:pStyle w:val="BodyText"/>
            </w:pPr>
            <w:r w:rsidRPr="00267D12">
              <w:t>This competency standard unit shall be selected as part of an endo</w:t>
            </w:r>
            <w:r w:rsidRPr="00267D12">
              <w:t xml:space="preserve">rsed skill set for the purposes of refresher training and/or to meet regulatory and/or network requirements. </w:t>
            </w:r>
          </w:p>
          <w:p w:rsidR="00000000" w:rsidRPr="00267D12" w:rsidP="00267D12">
            <w:pPr>
              <w:pStyle w:val="BodyText"/>
            </w:pPr>
            <w:r w:rsidRPr="00267D12">
              <w:t>Delivery and assessment of this unit should be undertaken within regard to the requirements of License to Practice (1.2 above), Prerequisite Compe</w:t>
            </w:r>
            <w:r w:rsidRPr="00267D12">
              <w:t>tencies and Literacy and Numeracy skills (2 above) and the  recommendations for concurrent assessment and relationship with other units (9.5 below).</w:t>
            </w:r>
          </w:p>
          <w:p w:rsidR="00000000" w:rsidRPr="00267D12" w:rsidP="00267D12">
            <w:pPr>
              <w:pStyle w:val="BodyText"/>
            </w:pPr>
            <w:r w:rsidRPr="00267D12">
              <w:t>Practice in the workplace and during training is also subject to regulations directly related to occupation</w:t>
            </w:r>
            <w:r w:rsidRPr="00267D12">
              <w:t>al health and safety and where applicable contracts of training such as apprenticeships.</w:t>
            </w:r>
          </w:p>
          <w:p w:rsidR="00000000" w:rsidRPr="00267D12" w:rsidP="00267D12">
            <w:pPr>
              <w:pStyle w:val="BodyText"/>
            </w:pPr>
            <w:r w:rsidRPr="00267D12">
              <w:t xml:space="preserve">Note: </w:t>
            </w:r>
          </w:p>
          <w:p w:rsidR="00000000" w:rsidRPr="00267D12" w:rsidP="00267D12">
            <w:pPr>
              <w:pStyle w:val="BodyText"/>
            </w:pPr>
            <w:r w:rsidRPr="00267D12">
              <w:t>1. Compliance with permits may be required in various jurisdictions</w:t>
            </w:r>
            <w:r w:rsidRPr="00267D12">
              <w:t xml:space="preserve"> and typically relates to the operation of plant, machinery and equipment such as elevating work platforms, powder operated fixing tools, power operated </w:t>
            </w:r>
            <w:r w:rsidRPr="00267D12">
              <w:t>tools, vehicles, road signage and traffic control and lifting equipment. Permits may also be required f</w:t>
            </w:r>
            <w:r w:rsidRPr="00267D12">
              <w:t>or some work environments such as confined spaces, working aloft, near live electrical apparatus and site rehabilitation.</w:t>
            </w:r>
          </w:p>
          <w:p w:rsidR="00000000" w:rsidRPr="00267D12" w:rsidP="00267D12">
            <w:pPr>
              <w:pStyle w:val="BodyText"/>
            </w:pPr>
            <w:r w:rsidRPr="00267D12">
              <w:t>2. Compliance may be required in various jurisdictions relating to currency in First Aid, confined space, lifting, risk safety measure</w:t>
            </w:r>
            <w:r w:rsidRPr="00267D12">
              <w:t>s etc</w:t>
            </w:r>
          </w:p>
        </w:tc>
      </w:tr>
    </w:tbl>
    <w:p w:rsidR="00653B84" w:rsidP="00267D12">
      <w:pPr>
        <w:pStyle w:val="BodyText"/>
      </w:pPr>
    </w:p>
    <w:p w:rsidR="00653B84" w:rsidP="00267D12">
      <w:pPr>
        <w:pStyle w:val="BodyText"/>
      </w:pPr>
    </w:p>
    <w:p w:rsidR="00000000" w:rsidRPr="00267D12" w:rsidP="00267D12">
      <w:pPr>
        <w:pStyle w:val="Heading1"/>
      </w:pPr>
      <w:bookmarkStart w:id="4" w:name="O_231677"/>
      <w:bookmarkEnd w:id="4"/>
      <w:r w:rsidRPr="00267D12">
        <w:t>Licensing/Regulatory Information</w:t>
      </w:r>
    </w:p>
    <w:tbl>
      <w:tblPr>
        <w:tblW w:w="0" w:type="auto"/>
        <w:tblLayout w:type="fixed"/>
        <w:tblCellMar>
          <w:left w:w="62" w:type="dxa"/>
          <w:right w:w="62" w:type="dxa"/>
        </w:tblCellMar>
        <w:tblLook w:val="0000"/>
      </w:tblPr>
      <w:tblGrid>
        <w:gridCol w:w="8460"/>
      </w:tblGrid>
      <w:tr w:rsidTr="00653B84">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267D12">
            <w:pPr>
              <w:pStyle w:val="BodyText"/>
              <w:rPr>
                <w:lang w:val="en-NZ"/>
              </w:rPr>
            </w:pPr>
            <w:r w:rsidRPr="00267D12">
              <w:t>1.2) License to practice</w:t>
            </w:r>
          </w:p>
        </w:tc>
      </w:tr>
      <w:tr w:rsidTr="00653B84">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267D12" w:rsidP="00267D12">
            <w:pPr>
              <w:pStyle w:val="BodyText"/>
            </w:pPr>
            <w:r w:rsidRPr="00267D12">
              <w:t>The skills and knowledge described in this unit may require a licence/registration to practice in the work place subject to regulations for undertaking of electrical work.</w:t>
            </w:r>
            <w:r w:rsidRPr="00267D12">
              <w:t xml:space="preserve"> Practice in workplace and during training is also subject to regulations directly related to Occupational Health and Safety, electricity/telecommunications/gas/water industry safety and compliance, environmental protection, anti discrimination and trainin</w:t>
            </w:r>
            <w:r w:rsidRPr="00267D12">
              <w:t>g. Commonwealth, State/Territory or Local Government legislation and regulations may exist that limits the age of operating certain equipment.</w:t>
            </w:r>
          </w:p>
          <w:p w:rsidR="00000000" w:rsidRPr="00267D12" w:rsidP="00267D12">
            <w:pPr>
              <w:pStyle w:val="BodyText"/>
            </w:pPr>
            <w:r w:rsidRPr="00267D12">
              <w:t>ESI employees are required to maintain currency in this Unit for authorisation/approval to work on ESI Networks</w:t>
            </w:r>
          </w:p>
        </w:tc>
      </w:tr>
    </w:tbl>
    <w:p w:rsidR="00653B84" w:rsidP="00267D12">
      <w:pPr>
        <w:pStyle w:val="BodyText"/>
      </w:pPr>
    </w:p>
    <w:p w:rsidR="00653B84" w:rsidP="00267D12">
      <w:pPr>
        <w:pStyle w:val="BodyText"/>
      </w:pPr>
    </w:p>
    <w:p w:rsidR="00000000" w:rsidRPr="00267D12" w:rsidP="00267D12">
      <w:pPr>
        <w:pStyle w:val="Heading1"/>
      </w:pPr>
      <w:bookmarkStart w:id="5" w:name="O_231678"/>
      <w:bookmarkEnd w:id="5"/>
      <w:r w:rsidRPr="00267D12">
        <w:t>Pre-Requisites</w:t>
      </w:r>
    </w:p>
    <w:tbl>
      <w:tblPr>
        <w:tblW w:w="0" w:type="auto"/>
        <w:tblLayout w:type="fixed"/>
        <w:tblCellMar>
          <w:left w:w="62" w:type="dxa"/>
          <w:right w:w="62" w:type="dxa"/>
        </w:tblCellMar>
        <w:tblLook w:val="0000"/>
      </w:tblPr>
      <w:tblGrid>
        <w:gridCol w:w="2700"/>
        <w:gridCol w:w="5760"/>
      </w:tblGrid>
      <w:tr w:rsidTr="00653B8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P="00267D12">
            <w:pPr>
              <w:pStyle w:val="BodyText"/>
              <w:rPr>
                <w:lang w:val="en-NZ"/>
              </w:rPr>
            </w:pPr>
            <w:r w:rsidRPr="00267D12">
              <w:rPr>
                <w:rStyle w:val="SpecialBold"/>
              </w:rPr>
              <w:t>Prerequisite Unit</w:t>
            </w:r>
            <w:r w:rsidRPr="00267D12">
              <w:t>(</w:t>
            </w:r>
            <w:r w:rsidRPr="00267D12">
              <w:rPr>
                <w:rStyle w:val="SpecialBold"/>
              </w:rPr>
              <w:t>s</w:t>
            </w:r>
            <w:r w:rsidRPr="00267D12">
              <w:t>)</w:t>
            </w:r>
          </w:p>
        </w:tc>
        <w:tc>
          <w:tcPr>
            <w:tcW w:w="5760" w:type="dxa"/>
            <w:tcBorders>
              <w:top w:val="nil"/>
              <w:left w:val="nil"/>
              <w:bottom w:val="nil"/>
              <w:right w:val="nil"/>
            </w:tcBorders>
            <w:tcMar>
              <w:top w:w="0" w:type="dxa"/>
              <w:left w:w="62" w:type="dxa"/>
              <w:bottom w:w="0" w:type="dxa"/>
              <w:right w:w="62" w:type="dxa"/>
            </w:tcMar>
          </w:tcPr>
          <w:p w:rsidR="00000000" w:rsidP="00267D12">
            <w:pPr>
              <w:pStyle w:val="BodyText"/>
              <w:rPr>
                <w:lang w:val="en-NZ"/>
              </w:rPr>
            </w:pPr>
            <w:r w:rsidRPr="00267D12">
              <w:t xml:space="preserve">2) </w:t>
            </w:r>
          </w:p>
        </w:tc>
      </w:tr>
      <w:tr w:rsidTr="00653B8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P="00267D12">
            <w:pPr>
              <w:pStyle w:val="BodyText"/>
              <w:rPr>
                <w:lang w:val="en-NZ"/>
              </w:rPr>
            </w:pPr>
            <w:r w:rsidRPr="00267D12">
              <w:t>2.1) Competencies</w:t>
            </w:r>
          </w:p>
        </w:tc>
      </w:tr>
      <w:tr w:rsidTr="00653B8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P="00267D12">
            <w:pPr>
              <w:pStyle w:val="BodyText"/>
              <w:rPr>
                <w:lang w:val="en-NZ"/>
              </w:rPr>
            </w:pPr>
            <w:r w:rsidRPr="00267D12">
              <w:t>Granting of competency in this unit shall be made only after competency in the following unit(s) has/have been confirmed:</w:t>
            </w:r>
          </w:p>
        </w:tc>
      </w:tr>
      <w:tr w:rsidTr="00653B8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267D12" w:rsidP="00267D12">
            <w:pPr>
              <w:pStyle w:val="BodyText"/>
            </w:pPr>
            <w:r w:rsidRPr="00267D12">
              <w:t>nil</w:t>
            </w:r>
          </w:p>
        </w:tc>
      </w:tr>
    </w:tbl>
    <w:p w:rsidR="00653B84" w:rsidP="00267D12">
      <w:pPr>
        <w:pStyle w:val="BodyText"/>
      </w:pPr>
    </w:p>
    <w:p w:rsidR="00653B84" w:rsidP="00267D12">
      <w:pPr>
        <w:pStyle w:val="BodyText"/>
      </w:pPr>
    </w:p>
    <w:p w:rsidR="00000000" w:rsidRPr="00267D12" w:rsidP="00267D12">
      <w:pPr>
        <w:pStyle w:val="Heading1"/>
      </w:pPr>
      <w:bookmarkStart w:id="6" w:name="O_231680"/>
      <w:bookmarkEnd w:id="6"/>
      <w:r w:rsidRPr="00267D12">
        <w:t>Employability Skills Information</w:t>
      </w:r>
    </w:p>
    <w:tbl>
      <w:tblPr>
        <w:tblW w:w="0" w:type="auto"/>
        <w:tblLayout w:type="fixed"/>
        <w:tblCellMar>
          <w:left w:w="62" w:type="dxa"/>
          <w:right w:w="62" w:type="dxa"/>
        </w:tblCellMar>
        <w:tblLook w:val="0000"/>
      </w:tblPr>
      <w:tblGrid>
        <w:gridCol w:w="2700"/>
        <w:gridCol w:w="5760"/>
      </w:tblGrid>
      <w:tr w:rsidTr="00653B8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P="00267D12">
            <w:pPr>
              <w:pStyle w:val="BodyText"/>
              <w:rPr>
                <w:lang w:val="en-NZ"/>
              </w:rPr>
            </w:pPr>
            <w:r w:rsidRPr="00267D12">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267D12" w:rsidP="00267D12">
            <w:pPr>
              <w:pStyle w:val="BodyText"/>
            </w:pPr>
            <w:r w:rsidRPr="00267D12">
              <w:t>3)</w:t>
            </w:r>
          </w:p>
          <w:p w:rsidR="00000000" w:rsidRPr="00267D12" w:rsidP="00267D12">
            <w:pPr>
              <w:pStyle w:val="BodyText"/>
            </w:pPr>
            <w:r w:rsidRPr="00267D12">
              <w:t>This unit contains employability skills.</w:t>
            </w:r>
          </w:p>
        </w:tc>
      </w:tr>
    </w:tbl>
    <w:p w:rsidR="00653B84" w:rsidP="00267D12">
      <w:pPr>
        <w:pStyle w:val="BodyText"/>
      </w:pPr>
    </w:p>
    <w:p w:rsidR="00653B84" w:rsidP="00267D12">
      <w:pPr>
        <w:pStyle w:val="BodyText"/>
      </w:pPr>
    </w:p>
    <w:p w:rsidR="00000000" w:rsidRPr="00267D12" w:rsidP="00267D12">
      <w:pPr>
        <w:pStyle w:val="Heading1"/>
      </w:pPr>
      <w:bookmarkStart w:id="7" w:name="O_293550"/>
      <w:bookmarkEnd w:id="7"/>
      <w:r w:rsidRPr="00267D12">
        <w:t>Elements and Performance Criteria Pre-Content</w:t>
      </w:r>
    </w:p>
    <w:tbl>
      <w:tblPr>
        <w:tblW w:w="0" w:type="auto"/>
        <w:tblLayout w:type="fixed"/>
        <w:tblCellMar>
          <w:left w:w="62" w:type="dxa"/>
          <w:right w:w="62" w:type="dxa"/>
        </w:tblCellMar>
        <w:tblLook w:val="0000"/>
      </w:tblPr>
      <w:tblGrid>
        <w:gridCol w:w="2700"/>
        <w:gridCol w:w="5760"/>
      </w:tblGrid>
      <w:tr w:rsidTr="00653B8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267D12">
            <w:pPr>
              <w:pStyle w:val="BodyText"/>
              <w:rPr>
                <w:lang w:val="en-NZ"/>
              </w:rPr>
            </w:pPr>
            <w:r w:rsidRPr="00267D12">
              <w:rPr>
                <w:rStyle w:val="SpecialBold"/>
              </w:rPr>
              <w:t>6</w:t>
            </w:r>
            <w:r w:rsidRPr="00267D12">
              <w:t xml:space="preserve">) </w:t>
            </w:r>
            <w:r w:rsidRPr="00267D12">
              <w:rPr>
                <w:rStyle w:val="SpecialBold"/>
              </w:rPr>
              <w:t>Elements</w:t>
            </w:r>
            <w:r w:rsidRPr="00267D12">
              <w:t xml:space="preserve">: Elements describe the essential outcomes of a competency standard unit </w:t>
            </w:r>
          </w:p>
        </w:tc>
        <w:tc>
          <w:tcPr>
            <w:tcW w:w="5760" w:type="dxa"/>
            <w:tcBorders>
              <w:top w:val="nil"/>
              <w:left w:val="nil"/>
              <w:bottom w:val="nil"/>
              <w:right w:val="nil"/>
            </w:tcBorders>
            <w:tcMar>
              <w:top w:w="0" w:type="dxa"/>
              <w:left w:w="62" w:type="dxa"/>
              <w:bottom w:w="0" w:type="dxa"/>
              <w:right w:w="62" w:type="dxa"/>
            </w:tcMar>
          </w:tcPr>
          <w:p w:rsidR="00000000" w:rsidRPr="00267D12" w:rsidP="00267D12">
            <w:pPr>
              <w:pStyle w:val="BodyText"/>
            </w:pPr>
            <w:r w:rsidRPr="00267D12">
              <w:t>Performance Criteria describe the required performance needed to demonstrate achievement of the element. Assessment of performance is to be consistent with the evidence guide.</w:t>
            </w:r>
          </w:p>
        </w:tc>
      </w:tr>
    </w:tbl>
    <w:p w:rsidR="00000000" w:rsidRPr="00267D12" w:rsidP="00267D12">
      <w:pPr>
        <w:pStyle w:val="BodyText"/>
      </w:pPr>
    </w:p>
    <w:p w:rsidR="00000000" w:rsidRPr="00267D12" w:rsidP="00267D12">
      <w:pPr>
        <w:pStyle w:val="AllowPageBreak"/>
      </w:pPr>
    </w:p>
    <w:p w:rsidR="00000000" w:rsidRPr="00267D12" w:rsidP="00267D12">
      <w:pPr>
        <w:pStyle w:val="Heading1"/>
      </w:pPr>
      <w:bookmarkStart w:id="8" w:name="O_240218"/>
      <w:bookmarkEnd w:id="8"/>
      <w:r w:rsidRPr="00267D12">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653B84">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267D12" w:rsidP="00267D12">
            <w:pPr>
              <w:pStyle w:val="BodyText"/>
            </w:pPr>
            <w:r w:rsidRPr="00267D12">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267D12">
            <w:pPr>
              <w:pStyle w:val="BodyText"/>
              <w:rPr>
                <w:lang w:val="en-NZ"/>
              </w:rPr>
            </w:pPr>
            <w:r w:rsidRPr="00267D12">
              <w:rPr>
                <w:rStyle w:val="SpecialBold"/>
              </w:rPr>
              <w:t>PERFORMANCE CRITER</w:t>
            </w:r>
            <w:r w:rsidRPr="00267D12">
              <w:rPr>
                <w:rStyle w:val="SpecialBold"/>
              </w:rPr>
              <w:t>IA</w:t>
            </w:r>
          </w:p>
        </w:tc>
      </w:tr>
      <w:tr w:rsidTr="00653B8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267D12">
            <w:pPr>
              <w:pStyle w:val="BodyText"/>
              <w:rPr>
                <w:lang w:val="en-NZ"/>
              </w:rPr>
            </w:pPr>
            <w:r w:rsidRPr="00267D12">
              <w:t>1</w:t>
            </w:r>
          </w:p>
        </w:tc>
        <w:tc>
          <w:tcPr>
            <w:tcW w:w="2296" w:type="dxa"/>
            <w:tcBorders>
              <w:top w:val="nil"/>
              <w:left w:val="nil"/>
              <w:bottom w:val="nil"/>
              <w:right w:val="nil"/>
            </w:tcBorders>
            <w:tcMar>
              <w:top w:w="0" w:type="dxa"/>
              <w:left w:w="62" w:type="dxa"/>
              <w:bottom w:w="0" w:type="dxa"/>
              <w:right w:w="62" w:type="dxa"/>
            </w:tcMar>
          </w:tcPr>
          <w:p w:rsidR="00000000" w:rsidP="00267D12">
            <w:pPr>
              <w:pStyle w:val="BodyText"/>
              <w:rPr>
                <w:lang w:val="en-NZ"/>
              </w:rPr>
            </w:pPr>
            <w:r w:rsidRPr="00267D12">
              <w:t>Prepare to provide first aid in an ESI environment</w:t>
            </w:r>
          </w:p>
        </w:tc>
        <w:tc>
          <w:tcPr>
            <w:tcW w:w="900" w:type="dxa"/>
            <w:tcBorders>
              <w:top w:val="nil"/>
              <w:left w:val="nil"/>
              <w:bottom w:val="nil"/>
              <w:right w:val="nil"/>
            </w:tcBorders>
            <w:tcMar>
              <w:top w:w="0" w:type="dxa"/>
              <w:left w:w="62" w:type="dxa"/>
              <w:bottom w:w="0" w:type="dxa"/>
              <w:right w:w="62" w:type="dxa"/>
            </w:tcMar>
          </w:tcPr>
          <w:p w:rsidR="00000000" w:rsidP="00267D12">
            <w:pPr>
              <w:pStyle w:val="BodyText"/>
              <w:rPr>
                <w:lang w:val="en-NZ"/>
              </w:rPr>
            </w:pPr>
            <w:r w:rsidRPr="00267D12">
              <w:t>1.1</w:t>
            </w:r>
          </w:p>
        </w:tc>
        <w:tc>
          <w:tcPr>
            <w:tcW w:w="4860" w:type="dxa"/>
            <w:tcBorders>
              <w:top w:val="nil"/>
              <w:left w:val="nil"/>
              <w:bottom w:val="nil"/>
              <w:right w:val="nil"/>
            </w:tcBorders>
            <w:tcMar>
              <w:top w:w="0" w:type="dxa"/>
              <w:left w:w="62" w:type="dxa"/>
              <w:bottom w:w="0" w:type="dxa"/>
              <w:right w:w="62" w:type="dxa"/>
            </w:tcMar>
          </w:tcPr>
          <w:p w:rsidR="00000000" w:rsidP="00267D12">
            <w:pPr>
              <w:pStyle w:val="BodyText"/>
              <w:rPr>
                <w:lang w:val="en-NZ"/>
              </w:rPr>
            </w:pPr>
            <w:r w:rsidRPr="00267D12">
              <w:t>Identify physical hazards and risks to personal and others' health and safety according to established procedures.</w:t>
            </w:r>
          </w:p>
        </w:tc>
      </w:tr>
      <w:tr w:rsidTr="00653B8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67D12">
            <w:pPr>
              <w:pStyle w:val="BodyText"/>
              <w:rPr>
                <w:lang w:val="en-NZ"/>
              </w:rPr>
            </w:pPr>
            <w:r w:rsidRPr="00267D12">
              <w:t>1.2</w:t>
            </w:r>
          </w:p>
        </w:tc>
        <w:tc>
          <w:tcPr>
            <w:tcW w:w="4860" w:type="dxa"/>
            <w:tcBorders>
              <w:top w:val="nil"/>
              <w:left w:val="nil"/>
              <w:bottom w:val="nil"/>
              <w:right w:val="nil"/>
            </w:tcBorders>
            <w:tcMar>
              <w:top w:w="0" w:type="dxa"/>
              <w:left w:w="62" w:type="dxa"/>
              <w:bottom w:w="0" w:type="dxa"/>
              <w:right w:w="62" w:type="dxa"/>
            </w:tcMar>
          </w:tcPr>
          <w:p w:rsidR="00000000" w:rsidP="00267D12">
            <w:pPr>
              <w:pStyle w:val="BodyText"/>
              <w:rPr>
                <w:lang w:val="en-NZ"/>
              </w:rPr>
            </w:pPr>
            <w:r w:rsidRPr="00267D12">
              <w:t>Minimize immediate risks to self and casualty's health and safety by controlling hazards in accordance with established procedures for occupational health and safety.</w:t>
            </w:r>
          </w:p>
        </w:tc>
      </w:tr>
      <w:tr w:rsidTr="00653B8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67D12">
            <w:pPr>
              <w:pStyle w:val="BodyText"/>
              <w:rPr>
                <w:lang w:val="en-NZ"/>
              </w:rPr>
            </w:pPr>
            <w:r w:rsidRPr="00267D12">
              <w:t>1.3</w:t>
            </w:r>
          </w:p>
        </w:tc>
        <w:tc>
          <w:tcPr>
            <w:tcW w:w="4860" w:type="dxa"/>
            <w:tcBorders>
              <w:top w:val="nil"/>
              <w:left w:val="nil"/>
              <w:bottom w:val="nil"/>
              <w:right w:val="nil"/>
            </w:tcBorders>
            <w:tcMar>
              <w:top w:w="0" w:type="dxa"/>
              <w:left w:w="62" w:type="dxa"/>
              <w:bottom w:w="0" w:type="dxa"/>
              <w:right w:w="62" w:type="dxa"/>
            </w:tcMar>
          </w:tcPr>
          <w:p w:rsidR="00000000" w:rsidP="00267D12">
            <w:pPr>
              <w:pStyle w:val="BodyText"/>
              <w:rPr>
                <w:lang w:val="en-NZ"/>
              </w:rPr>
            </w:pPr>
            <w:r w:rsidRPr="00267D12">
              <w:t>Assess the situation and decide on actions required, promptly.</w:t>
            </w:r>
          </w:p>
        </w:tc>
      </w:tr>
      <w:tr w:rsidTr="00653B8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67D12">
            <w:pPr>
              <w:pStyle w:val="BodyText"/>
              <w:rPr>
                <w:lang w:val="en-NZ"/>
              </w:rPr>
            </w:pPr>
            <w:r w:rsidRPr="00267D12">
              <w:t>1.4</w:t>
            </w:r>
          </w:p>
        </w:tc>
        <w:tc>
          <w:tcPr>
            <w:tcW w:w="4860" w:type="dxa"/>
            <w:tcBorders>
              <w:top w:val="nil"/>
              <w:left w:val="nil"/>
              <w:bottom w:val="nil"/>
              <w:right w:val="nil"/>
            </w:tcBorders>
            <w:tcMar>
              <w:top w:w="0" w:type="dxa"/>
              <w:left w:w="62" w:type="dxa"/>
              <w:bottom w:w="0" w:type="dxa"/>
              <w:right w:w="62" w:type="dxa"/>
            </w:tcMar>
          </w:tcPr>
          <w:p w:rsidR="00000000" w:rsidP="00267D12">
            <w:pPr>
              <w:pStyle w:val="BodyText"/>
              <w:rPr>
                <w:lang w:val="en-NZ"/>
              </w:rPr>
            </w:pPr>
            <w:r w:rsidRPr="00267D12">
              <w:t>Seek assistance from others, as required and at the appropriate time.</w:t>
            </w:r>
          </w:p>
        </w:tc>
      </w:tr>
      <w:tr w:rsidTr="00653B8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267D12">
            <w:pPr>
              <w:pStyle w:val="BodyText"/>
              <w:rPr>
                <w:lang w:val="en-NZ"/>
              </w:rPr>
            </w:pPr>
            <w:r w:rsidRPr="00267D12">
              <w:t>2</w:t>
            </w:r>
          </w:p>
        </w:tc>
        <w:tc>
          <w:tcPr>
            <w:tcW w:w="2296" w:type="dxa"/>
            <w:vMerge w:val="restart"/>
            <w:tcBorders>
              <w:top w:val="nil"/>
              <w:left w:val="nil"/>
              <w:bottom w:val="nil"/>
              <w:right w:val="nil"/>
            </w:tcBorders>
            <w:tcMar>
              <w:top w:w="0" w:type="dxa"/>
              <w:left w:w="62" w:type="dxa"/>
              <w:bottom w:w="0" w:type="dxa"/>
              <w:right w:w="62" w:type="dxa"/>
            </w:tcMar>
          </w:tcPr>
          <w:p w:rsidR="00000000" w:rsidP="00267D12">
            <w:pPr>
              <w:pStyle w:val="BodyText"/>
              <w:rPr>
                <w:lang w:val="en-NZ"/>
              </w:rPr>
            </w:pPr>
            <w:r w:rsidRPr="00267D12">
              <w:t>Carry out the provision of first aid in an ESI environment</w:t>
            </w:r>
          </w:p>
        </w:tc>
        <w:tc>
          <w:tcPr>
            <w:tcW w:w="900" w:type="dxa"/>
            <w:tcBorders>
              <w:top w:val="nil"/>
              <w:left w:val="nil"/>
              <w:bottom w:val="nil"/>
              <w:right w:val="nil"/>
            </w:tcBorders>
            <w:tcMar>
              <w:top w:w="0" w:type="dxa"/>
              <w:left w:w="62" w:type="dxa"/>
              <w:bottom w:w="0" w:type="dxa"/>
              <w:right w:w="62" w:type="dxa"/>
            </w:tcMar>
          </w:tcPr>
          <w:p w:rsidR="00000000" w:rsidP="00267D12">
            <w:pPr>
              <w:pStyle w:val="BodyText"/>
              <w:rPr>
                <w:lang w:val="en-NZ"/>
              </w:rPr>
            </w:pPr>
            <w:r w:rsidRPr="00267D12">
              <w:t>2.1</w:t>
            </w:r>
          </w:p>
        </w:tc>
        <w:tc>
          <w:tcPr>
            <w:tcW w:w="4860" w:type="dxa"/>
            <w:tcBorders>
              <w:top w:val="nil"/>
              <w:left w:val="nil"/>
              <w:bottom w:val="nil"/>
              <w:right w:val="nil"/>
            </w:tcBorders>
            <w:tcMar>
              <w:top w:w="0" w:type="dxa"/>
              <w:left w:w="62" w:type="dxa"/>
              <w:bottom w:w="0" w:type="dxa"/>
              <w:right w:w="62" w:type="dxa"/>
            </w:tcMar>
          </w:tcPr>
          <w:p w:rsidR="00000000" w:rsidP="00267D12">
            <w:pPr>
              <w:pStyle w:val="BodyText"/>
              <w:rPr>
                <w:lang w:val="en-NZ"/>
              </w:rPr>
            </w:pPr>
            <w:r w:rsidRPr="00267D12">
              <w:t>Assess the victim's physical condition and visible vital signs.</w:t>
            </w:r>
          </w:p>
        </w:tc>
      </w:tr>
      <w:tr w:rsidTr="00653B8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67D12">
            <w:pPr>
              <w:pStyle w:val="BodyText"/>
              <w:rPr>
                <w:lang w:val="en-NZ"/>
              </w:rPr>
            </w:pPr>
            <w:r w:rsidRPr="00267D12">
              <w:t>2.2</w:t>
            </w:r>
          </w:p>
        </w:tc>
        <w:tc>
          <w:tcPr>
            <w:tcW w:w="4860" w:type="dxa"/>
            <w:tcBorders>
              <w:top w:val="nil"/>
              <w:left w:val="nil"/>
              <w:bottom w:val="nil"/>
              <w:right w:val="nil"/>
            </w:tcBorders>
            <w:tcMar>
              <w:top w:w="0" w:type="dxa"/>
              <w:left w:w="62" w:type="dxa"/>
              <w:bottom w:w="0" w:type="dxa"/>
              <w:right w:w="62" w:type="dxa"/>
            </w:tcMar>
          </w:tcPr>
          <w:p w:rsidR="00000000" w:rsidP="00267D12">
            <w:pPr>
              <w:pStyle w:val="BodyText"/>
              <w:rPr>
                <w:lang w:val="en-NZ"/>
              </w:rPr>
            </w:pPr>
            <w:r w:rsidRPr="00267D12">
              <w:t>Provide first aid to stabilise the victim's physi</w:t>
            </w:r>
            <w:r w:rsidRPr="00267D12">
              <w:t>cal and mental condition in accordance with enterprise policy on provision of first aid and recognised first aid procedures.</w:t>
            </w:r>
          </w:p>
        </w:tc>
      </w:tr>
      <w:tr w:rsidTr="00653B8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67D12">
            <w:pPr>
              <w:pStyle w:val="BodyText"/>
              <w:rPr>
                <w:lang w:val="en-NZ"/>
              </w:rPr>
            </w:pPr>
            <w:r w:rsidRPr="00267D12">
              <w:t>2.3</w:t>
            </w:r>
          </w:p>
        </w:tc>
        <w:tc>
          <w:tcPr>
            <w:tcW w:w="4860" w:type="dxa"/>
            <w:tcBorders>
              <w:top w:val="nil"/>
              <w:left w:val="nil"/>
              <w:bottom w:val="nil"/>
              <w:right w:val="nil"/>
            </w:tcBorders>
            <w:tcMar>
              <w:top w:w="0" w:type="dxa"/>
              <w:left w:w="62" w:type="dxa"/>
              <w:bottom w:w="0" w:type="dxa"/>
              <w:right w:w="62" w:type="dxa"/>
            </w:tcMar>
          </w:tcPr>
          <w:p w:rsidR="00000000" w:rsidP="00267D12">
            <w:pPr>
              <w:pStyle w:val="BodyText"/>
              <w:rPr>
                <w:lang w:val="en-NZ"/>
              </w:rPr>
            </w:pPr>
            <w:r w:rsidRPr="00267D12">
              <w:t>Use available first aid equipment as appropriate.</w:t>
            </w:r>
          </w:p>
        </w:tc>
      </w:tr>
      <w:tr w:rsidTr="00653B8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67D12">
            <w:pPr>
              <w:pStyle w:val="BodyText"/>
              <w:rPr>
                <w:lang w:val="en-NZ"/>
              </w:rPr>
            </w:pPr>
            <w:r w:rsidRPr="00267D12">
              <w:t>2.4</w:t>
            </w:r>
          </w:p>
        </w:tc>
        <w:tc>
          <w:tcPr>
            <w:tcW w:w="4860" w:type="dxa"/>
            <w:tcBorders>
              <w:top w:val="nil"/>
              <w:left w:val="nil"/>
              <w:bottom w:val="nil"/>
              <w:right w:val="nil"/>
            </w:tcBorders>
            <w:tcMar>
              <w:top w:w="0" w:type="dxa"/>
              <w:left w:w="62" w:type="dxa"/>
              <w:bottom w:w="0" w:type="dxa"/>
              <w:right w:w="62" w:type="dxa"/>
            </w:tcMar>
          </w:tcPr>
          <w:p w:rsidR="00000000" w:rsidP="00267D12">
            <w:pPr>
              <w:pStyle w:val="BodyText"/>
              <w:rPr>
                <w:lang w:val="en-NZ"/>
              </w:rPr>
            </w:pPr>
            <w:r w:rsidRPr="00267D12">
              <w:t>Identify and notify back-up services appropriate to the situation in accordance with established procedures.</w:t>
            </w:r>
          </w:p>
        </w:tc>
      </w:tr>
      <w:tr w:rsidTr="00653B8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67D12">
            <w:pPr>
              <w:pStyle w:val="BodyText"/>
              <w:rPr>
                <w:lang w:val="en-NZ"/>
              </w:rPr>
            </w:pPr>
            <w:r w:rsidRPr="00267D12">
              <w:t>2.5</w:t>
            </w:r>
          </w:p>
        </w:tc>
        <w:tc>
          <w:tcPr>
            <w:tcW w:w="4860" w:type="dxa"/>
            <w:tcBorders>
              <w:top w:val="nil"/>
              <w:left w:val="nil"/>
              <w:bottom w:val="nil"/>
              <w:right w:val="nil"/>
            </w:tcBorders>
            <w:tcMar>
              <w:top w:w="0" w:type="dxa"/>
              <w:left w:w="62" w:type="dxa"/>
              <w:bottom w:w="0" w:type="dxa"/>
              <w:right w:w="62" w:type="dxa"/>
            </w:tcMar>
          </w:tcPr>
          <w:p w:rsidR="00000000" w:rsidP="00267D12">
            <w:pPr>
              <w:pStyle w:val="BodyText"/>
              <w:rPr>
                <w:lang w:val="en-NZ"/>
              </w:rPr>
            </w:pPr>
            <w:r w:rsidRPr="00267D12">
              <w:t>Convey information about the victim's condition accurately and clearly to emergency services personnel or health professionals.</w:t>
            </w:r>
          </w:p>
        </w:tc>
      </w:tr>
      <w:tr w:rsidTr="00653B8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267D12">
            <w:pPr>
              <w:pStyle w:val="BodyText"/>
              <w:rPr>
                <w:lang w:val="en-NZ"/>
              </w:rPr>
            </w:pPr>
            <w:r w:rsidRPr="00267D12">
              <w:t>3</w:t>
            </w:r>
          </w:p>
        </w:tc>
        <w:tc>
          <w:tcPr>
            <w:tcW w:w="2296" w:type="dxa"/>
            <w:tcBorders>
              <w:top w:val="nil"/>
              <w:left w:val="nil"/>
              <w:bottom w:val="nil"/>
              <w:right w:val="nil"/>
            </w:tcBorders>
            <w:tcMar>
              <w:top w:w="0" w:type="dxa"/>
              <w:left w:w="62" w:type="dxa"/>
              <w:bottom w:w="0" w:type="dxa"/>
              <w:right w:w="62" w:type="dxa"/>
            </w:tcMar>
          </w:tcPr>
          <w:p w:rsidR="00000000" w:rsidP="00267D12">
            <w:pPr>
              <w:pStyle w:val="BodyText"/>
              <w:rPr>
                <w:lang w:val="en-NZ"/>
              </w:rPr>
            </w:pPr>
            <w:r w:rsidRPr="00267D12">
              <w:t>Complete provision of first aid in an ESI environment</w:t>
            </w:r>
          </w:p>
        </w:tc>
        <w:tc>
          <w:tcPr>
            <w:tcW w:w="900" w:type="dxa"/>
            <w:tcBorders>
              <w:top w:val="nil"/>
              <w:left w:val="nil"/>
              <w:bottom w:val="nil"/>
              <w:right w:val="nil"/>
            </w:tcBorders>
            <w:tcMar>
              <w:top w:w="0" w:type="dxa"/>
              <w:left w:w="62" w:type="dxa"/>
              <w:bottom w:w="0" w:type="dxa"/>
              <w:right w:w="62" w:type="dxa"/>
            </w:tcMar>
          </w:tcPr>
          <w:p w:rsidR="00000000" w:rsidP="00267D12">
            <w:pPr>
              <w:pStyle w:val="BodyText"/>
              <w:rPr>
                <w:lang w:val="en-NZ"/>
              </w:rPr>
            </w:pPr>
            <w:r w:rsidRPr="00267D12">
              <w:t>3.1</w:t>
            </w:r>
          </w:p>
        </w:tc>
        <w:tc>
          <w:tcPr>
            <w:tcW w:w="4860" w:type="dxa"/>
            <w:tcBorders>
              <w:top w:val="nil"/>
              <w:left w:val="nil"/>
              <w:bottom w:val="nil"/>
              <w:right w:val="nil"/>
            </w:tcBorders>
            <w:tcMar>
              <w:top w:w="0" w:type="dxa"/>
              <w:left w:w="62" w:type="dxa"/>
              <w:bottom w:w="0" w:type="dxa"/>
              <w:right w:w="62" w:type="dxa"/>
            </w:tcMar>
          </w:tcPr>
          <w:p w:rsidR="00000000" w:rsidRPr="00267D12" w:rsidP="00267D12">
            <w:pPr>
              <w:pStyle w:val="BodyText"/>
            </w:pPr>
            <w:r w:rsidRPr="00267D12">
              <w:t>Processes for reporting accidents and/or incidents to authorised personnel are confirmed in accordance with established procedures.</w:t>
            </w:r>
          </w:p>
        </w:tc>
      </w:tr>
    </w:tbl>
    <w:p w:rsidR="00653B84" w:rsidP="00267D12">
      <w:pPr>
        <w:pStyle w:val="BodyText"/>
      </w:pPr>
    </w:p>
    <w:p w:rsidR="00653B84" w:rsidP="00267D12">
      <w:pPr>
        <w:pStyle w:val="BodyText"/>
      </w:pPr>
    </w:p>
    <w:p w:rsidR="00000000" w:rsidRPr="00267D12" w:rsidP="00267D12">
      <w:pPr>
        <w:pStyle w:val="Heading1"/>
      </w:pPr>
      <w:bookmarkStart w:id="9" w:name="O_264009"/>
      <w:bookmarkEnd w:id="9"/>
      <w:r w:rsidRPr="00267D12">
        <w:t>Required Skills and Knowledge</w:t>
      </w:r>
    </w:p>
    <w:tbl>
      <w:tblPr>
        <w:tblW w:w="0" w:type="auto"/>
        <w:tblLayout w:type="fixed"/>
        <w:tblCellMar>
          <w:left w:w="62" w:type="dxa"/>
          <w:right w:w="62" w:type="dxa"/>
        </w:tblCellMar>
        <w:tblLook w:val="0000"/>
      </w:tblPr>
      <w:tblGrid>
        <w:gridCol w:w="2700"/>
        <w:gridCol w:w="1080"/>
        <w:gridCol w:w="4680"/>
      </w:tblGrid>
      <w:tr w:rsidTr="00653B84">
        <w:tblPrEx>
          <w:tblW w:w="0" w:type="auto"/>
          <w:tblLayout w:type="fixed"/>
          <w:tblCellMar>
            <w:left w:w="62" w:type="dxa"/>
            <w:right w:w="62" w:type="dxa"/>
          </w:tblCellMar>
          <w:tblLook w:val="0000"/>
        </w:tblPrEx>
        <w:trPr>
          <w:tblHeader/>
        </w:trPr>
        <w:tc>
          <w:tcPr>
            <w:tcW w:w="8460" w:type="dxa"/>
            <w:gridSpan w:val="3"/>
            <w:tcBorders>
              <w:top w:val="nil"/>
              <w:left w:val="nil"/>
              <w:bottom w:val="nil"/>
              <w:right w:val="nil"/>
            </w:tcBorders>
            <w:tcMar>
              <w:top w:w="0" w:type="dxa"/>
              <w:left w:w="62" w:type="dxa"/>
              <w:bottom w:w="0" w:type="dxa"/>
              <w:right w:w="62" w:type="dxa"/>
            </w:tcMar>
          </w:tcPr>
          <w:p w:rsidR="00000000" w:rsidP="00267D12">
            <w:pPr>
              <w:pStyle w:val="BodyText"/>
              <w:rPr>
                <w:lang w:val="en-NZ"/>
              </w:rPr>
            </w:pPr>
            <w:r w:rsidRPr="00267D12">
              <w:rPr>
                <w:rStyle w:val="SpecialBold"/>
              </w:rPr>
              <w:t xml:space="preserve">REQUIRED SKILLS </w:t>
            </w:r>
            <w:r w:rsidRPr="00267D12">
              <w:rPr>
                <w:rStyle w:val="SpecialBold"/>
              </w:rPr>
              <w:t>AND KNOWLEDGE</w:t>
            </w:r>
          </w:p>
        </w:tc>
      </w:tr>
      <w:tr w:rsidTr="00653B84">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267D12">
            <w:pPr>
              <w:pStyle w:val="BodyText"/>
              <w:rPr>
                <w:lang w:val="en-NZ"/>
              </w:rPr>
            </w:pPr>
            <w:r w:rsidRPr="00267D12">
              <w:rPr>
                <w:rStyle w:val="SpecialBold"/>
              </w:rPr>
              <w:t>7</w:t>
            </w:r>
            <w:r w:rsidRPr="00267D12">
              <w:t xml:space="preserve">) </w:t>
            </w:r>
            <w:r w:rsidRPr="00267D12">
              <w:rPr>
                <w:rStyle w:val="SpecialBold"/>
              </w:rPr>
              <w:t>Essential Knowledge and Associated Skills</w:t>
            </w:r>
            <w:r w:rsidRPr="00267D12">
              <w:t xml:space="preserve"> (</w:t>
            </w:r>
            <w:r w:rsidRPr="00267D12">
              <w:rPr>
                <w:rStyle w:val="SpecialBold"/>
              </w:rPr>
              <w:t>EKAS</w:t>
            </w:r>
            <w:r w:rsidRPr="00267D12">
              <w:t>): This describes the essential skills and knowledge and their level, required for this unit.</w:t>
            </w:r>
          </w:p>
        </w:tc>
      </w:tr>
      <w:tr w:rsidTr="00653B84">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RPr="00267D12" w:rsidP="00267D12">
            <w:pPr>
              <w:pStyle w:val="BodyText"/>
            </w:pPr>
            <w:r w:rsidRPr="00267D12">
              <w:t>Evidence shall show that knowledge has been acquired of the p</w:t>
            </w:r>
            <w:r w:rsidRPr="00267D12">
              <w:t>rovision of first aid in an ESI environment.</w:t>
            </w:r>
          </w:p>
          <w:p w:rsidR="00000000" w:rsidRPr="00267D12" w:rsidP="00267D12">
            <w:pPr>
              <w:pStyle w:val="BodyText"/>
            </w:pPr>
            <w:r w:rsidRPr="00267D12">
              <w:t>All knowledge and skills detailed in this unit should be contextualised to current industry practices and technologies.</w:t>
            </w:r>
          </w:p>
          <w:p w:rsidR="00000000" w:rsidP="00267D12">
            <w:pPr>
              <w:pStyle w:val="BodyText"/>
              <w:rPr>
                <w:lang w:val="en-NZ"/>
              </w:rPr>
            </w:pPr>
            <w:r w:rsidRPr="00267D12">
              <w:t>The extent of the essential knowledge and associated skills (EKAS) required is given in Vol</w:t>
            </w:r>
            <w:r w:rsidRPr="00267D12">
              <w:t>ume 2 - Part 2.2 EKAS. It forms an integral part of this unit.</w:t>
            </w:r>
          </w:p>
        </w:tc>
      </w:tr>
      <w:tr w:rsidTr="00653B8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267D12">
            <w:pPr>
              <w:pStyle w:val="BodyText"/>
              <w:rPr>
                <w:lang w:val="en-NZ"/>
              </w:rPr>
            </w:pPr>
            <w:r w:rsidRPr="00267D12">
              <w:t>T2.8.2</w:t>
            </w:r>
          </w:p>
        </w:tc>
        <w:tc>
          <w:tcPr>
            <w:tcW w:w="4680" w:type="dxa"/>
            <w:tcBorders>
              <w:top w:val="nil"/>
              <w:left w:val="nil"/>
              <w:bottom w:val="nil"/>
              <w:right w:val="nil"/>
            </w:tcBorders>
            <w:tcMar>
              <w:top w:w="0" w:type="dxa"/>
              <w:left w:w="62" w:type="dxa"/>
              <w:bottom w:w="0" w:type="dxa"/>
              <w:right w:w="62" w:type="dxa"/>
            </w:tcMar>
          </w:tcPr>
          <w:p w:rsidR="00000000" w:rsidRPr="00267D12" w:rsidP="00267D12">
            <w:pPr>
              <w:pStyle w:val="BodyText"/>
            </w:pPr>
            <w:r w:rsidRPr="00267D12">
              <w:t>Enterprises specific  OHS instructions</w:t>
            </w:r>
          </w:p>
        </w:tc>
      </w:tr>
    </w:tbl>
    <w:p w:rsidR="00653B84" w:rsidP="00267D12">
      <w:pPr>
        <w:pStyle w:val="BodyText"/>
      </w:pPr>
    </w:p>
    <w:p w:rsidR="00653B84" w:rsidP="00267D12">
      <w:pPr>
        <w:pStyle w:val="BodyText"/>
      </w:pPr>
    </w:p>
    <w:p w:rsidR="00000000" w:rsidRPr="00267D12" w:rsidP="00267D12">
      <w:pPr>
        <w:pStyle w:val="Heading1"/>
      </w:pPr>
      <w:bookmarkStart w:id="10" w:name="O_248201"/>
      <w:bookmarkEnd w:id="10"/>
      <w:r w:rsidRPr="00267D12">
        <w:t>Evidence Guide</w:t>
      </w:r>
    </w:p>
    <w:tbl>
      <w:tblPr>
        <w:tblW w:w="0" w:type="auto"/>
        <w:tblLayout w:type="fixed"/>
        <w:tblCellMar>
          <w:left w:w="62" w:type="dxa"/>
          <w:right w:w="62" w:type="dxa"/>
        </w:tblCellMar>
        <w:tblLook w:val="0000"/>
      </w:tblPr>
      <w:tblGrid>
        <w:gridCol w:w="2160"/>
        <w:gridCol w:w="720"/>
        <w:gridCol w:w="900"/>
        <w:gridCol w:w="1620"/>
        <w:gridCol w:w="3060"/>
      </w:tblGrid>
      <w:tr w:rsidTr="00653B84">
        <w:tblPrEx>
          <w:tblW w:w="0" w:type="auto"/>
          <w:tblLayout w:type="fixed"/>
          <w:tblCellMar>
            <w:left w:w="62" w:type="dxa"/>
            <w:right w:w="62" w:type="dxa"/>
          </w:tblCellMar>
          <w:tblLook w:val="0000"/>
        </w:tblPrEx>
        <w:trPr>
          <w:tblHeader/>
        </w:trPr>
        <w:tc>
          <w:tcPr>
            <w:tcW w:w="8460" w:type="dxa"/>
            <w:gridSpan w:val="5"/>
            <w:tcBorders>
              <w:top w:val="nil"/>
              <w:left w:val="nil"/>
              <w:bottom w:val="nil"/>
              <w:right w:val="nil"/>
            </w:tcBorders>
            <w:tcMar>
              <w:top w:w="0" w:type="dxa"/>
              <w:left w:w="62" w:type="dxa"/>
              <w:bottom w:w="0" w:type="dxa"/>
              <w:right w:w="62" w:type="dxa"/>
            </w:tcMar>
          </w:tcPr>
          <w:p w:rsidR="00000000" w:rsidP="00267D12">
            <w:pPr>
              <w:pStyle w:val="BodyText"/>
              <w:rPr>
                <w:lang w:val="en-NZ"/>
              </w:rPr>
            </w:pPr>
            <w:r w:rsidRPr="00267D12">
              <w:rPr>
                <w:rStyle w:val="SpecialBold"/>
              </w:rPr>
              <w:t>EVIDENCE GUIDE</w:t>
            </w:r>
          </w:p>
        </w:tc>
      </w:tr>
      <w:tr w:rsidTr="00653B84">
        <w:tblPrEx>
          <w:tblW w:w="0" w:type="auto"/>
          <w:tblLayout w:type="fixed"/>
          <w:tblCellMar>
            <w:left w:w="62" w:type="dxa"/>
            <w:right w:w="62" w:type="dxa"/>
          </w:tblCellMar>
          <w:tblLook w:val="0000"/>
        </w:tblPrEx>
        <w:tc>
          <w:tcPr>
            <w:tcW w:w="8460" w:type="dxa"/>
            <w:gridSpan w:val="5"/>
            <w:tcBorders>
              <w:top w:val="nil"/>
              <w:left w:val="nil"/>
              <w:bottom w:val="nil"/>
              <w:right w:val="nil"/>
            </w:tcBorders>
            <w:tcMar>
              <w:top w:w="0" w:type="dxa"/>
              <w:left w:w="62" w:type="dxa"/>
              <w:bottom w:w="0" w:type="dxa"/>
              <w:right w:w="62" w:type="dxa"/>
            </w:tcMar>
          </w:tcPr>
          <w:p w:rsidR="00000000" w:rsidRPr="00267D12" w:rsidP="00267D12">
            <w:pPr>
              <w:pStyle w:val="BodyText"/>
            </w:pPr>
            <w:r w:rsidRPr="00267D12">
              <w:rPr>
                <w:rStyle w:val="SpecialBold"/>
              </w:rPr>
              <w:t>9</w:t>
            </w:r>
            <w:r w:rsidRPr="00267D12">
              <w:t>) This provi</w:t>
            </w:r>
            <w:r w:rsidRPr="00267D12">
              <w:t>des essential advice for assessment of the competency standard unit and must be read in conjunction with the Performance Criteria and the range statement of the competency standard unit and the Training Package Assessment Guidelines.</w:t>
            </w:r>
          </w:p>
          <w:p w:rsidR="00000000" w:rsidP="00267D12">
            <w:pPr>
              <w:pStyle w:val="BodyText"/>
              <w:rPr>
                <w:lang w:val="en-NZ"/>
              </w:rPr>
            </w:pPr>
            <w:r w:rsidRPr="00267D12">
              <w:t>The Evidence Guide for</w:t>
            </w:r>
            <w:r w:rsidRPr="00267D12">
              <w:t>ms an integral part of this Competency Standard Unit and shall be used in conjunction with all component parts of this unit and, performed in accordance with the Assessment Guidelines of this Training Package.</w:t>
            </w:r>
          </w:p>
        </w:tc>
      </w:tr>
      <w:tr w:rsidTr="00653B8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267D12">
            <w:pPr>
              <w:pStyle w:val="BodyText"/>
              <w:rPr>
                <w:lang w:val="en-NZ"/>
              </w:rPr>
            </w:pPr>
            <w:r w:rsidRPr="00267D12">
              <w:t>Overview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267D12" w:rsidP="00267D12">
            <w:pPr>
              <w:pStyle w:val="BodyText"/>
            </w:pPr>
            <w:r w:rsidRPr="00267D12">
              <w:t>9.1)</w:t>
            </w:r>
          </w:p>
          <w:p w:rsidR="00000000" w:rsidRPr="00267D12" w:rsidP="00267D12">
            <w:pPr>
              <w:pStyle w:val="BodyText"/>
            </w:pPr>
            <w:r w:rsidRPr="00267D12">
              <w:t>In accordance with the National Refresher Training Recognition Protocol for the Electricity Supply Industry, this unit is identified as a Refresher Training unit and is only available for use by industry to meet industry protocols and regulatory requiremen</w:t>
            </w:r>
            <w:r w:rsidRPr="00267D12">
              <w:t xml:space="preserve">ts. </w:t>
            </w:r>
          </w:p>
          <w:p w:rsidR="00000000" w:rsidRPr="00267D12" w:rsidP="00267D12">
            <w:pPr>
              <w:pStyle w:val="BodyText"/>
            </w:pPr>
            <w:r w:rsidRPr="00267D12">
              <w:t>Industry has defined Refresher Training as:</w:t>
            </w:r>
          </w:p>
          <w:p w:rsidR="00000000" w:rsidRPr="00267D12" w:rsidP="00267D12">
            <w:pPr>
              <w:pStyle w:val="BodyText"/>
            </w:pPr>
            <w:r w:rsidRPr="00267D12">
              <w:t>"A competency confirmation event which may include training, the purpose of which is to compensate for or prevent deterioration in a previously achieved standard of performance"</w:t>
            </w:r>
          </w:p>
          <w:p w:rsidR="00000000" w:rsidRPr="00267D12" w:rsidP="00267D12">
            <w:pPr>
              <w:pStyle w:val="BodyText"/>
            </w:pPr>
            <w:r w:rsidRPr="00267D12">
              <w:t>Under the protocol and the ap</w:t>
            </w:r>
            <w:r w:rsidRPr="00267D12">
              <w:t>plicable State or Territory legislative and regulatory requirements, Electricity Supply Industry employees are required to maintain currency in this Unit for authorisation/approval to work on ESI Networks.</w:t>
            </w:r>
          </w:p>
          <w:p w:rsidR="00000000" w:rsidRPr="00267D12" w:rsidP="00267D12">
            <w:pPr>
              <w:pStyle w:val="BodyText"/>
            </w:pPr>
            <w:r w:rsidRPr="00267D12">
              <w:t>Industry accepts that opportunities to practice em</w:t>
            </w:r>
            <w:r w:rsidRPr="00267D12">
              <w:t xml:space="preserve">ergency procedures are generally restricted to simulated exercises in a controlled environment during competency confirmation programs. </w:t>
            </w:r>
          </w:p>
          <w:p w:rsidR="00000000" w:rsidRPr="00267D12" w:rsidP="00267D12">
            <w:pPr>
              <w:pStyle w:val="BodyText"/>
            </w:pPr>
            <w:r w:rsidRPr="00267D12">
              <w:t>The critical safety nature of working with electricity, electrical equipment, gas or any other hazardous substance/mate</w:t>
            </w:r>
            <w:r w:rsidRPr="00267D12">
              <w:t>rial carries risk in deeming a person competent. Hence, sources of evidence need to be 'rich' in nature so as to minimise error in judgment.</w:t>
            </w:r>
          </w:p>
          <w:p w:rsidR="00000000" w:rsidRPr="00267D12" w:rsidP="00267D12">
            <w:pPr>
              <w:pStyle w:val="BodyText"/>
            </w:pPr>
            <w:r w:rsidRPr="00267D12">
              <w:t>Methods chosen for a particular assessment will be influenced by various factors. These include the extent of the a</w:t>
            </w:r>
            <w:r w:rsidRPr="00267D12">
              <w:t>ssessment, the most effective locations for the assessment activities to take place, access to physical resources, additional safety measures that may be required and the critical nature of the competencies being assessed.</w:t>
            </w:r>
          </w:p>
          <w:p w:rsidR="00000000" w:rsidRPr="00267D12" w:rsidP="00267D12">
            <w:pPr>
              <w:pStyle w:val="BodyText"/>
            </w:pPr>
            <w:r w:rsidRPr="00267D12">
              <w:t>These points are raised for the a</w:t>
            </w:r>
            <w:r w:rsidRPr="00267D12">
              <w:t xml:space="preserve">ssessors to consider when </w:t>
            </w:r>
            <w:r w:rsidRPr="00267D12">
              <w:t>choosing an assessment method and developing assessment instruments.</w:t>
            </w:r>
          </w:p>
          <w:p w:rsidR="00000000" w:rsidP="00267D12">
            <w:pPr>
              <w:pStyle w:val="BodyText"/>
              <w:rPr>
                <w:lang w:val="en-NZ"/>
              </w:rPr>
            </w:pPr>
            <w:r w:rsidRPr="00267D12">
              <w:t>An industry endorsed Learning Assessment Plan has been developed to support this unit.</w:t>
            </w:r>
          </w:p>
        </w:tc>
      </w:tr>
      <w:tr w:rsidTr="00653B84">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P="00267D12">
            <w:pPr>
              <w:pStyle w:val="BodyText"/>
              <w:rPr>
                <w:lang w:val="en-NZ"/>
              </w:rPr>
            </w:pPr>
            <w:r w:rsidRPr="00267D12">
              <w:t>Critical aspects of evidence required to demonstrate competency in this unit</w:t>
            </w:r>
          </w:p>
        </w:tc>
        <w:tc>
          <w:tcPr>
            <w:tcW w:w="6300" w:type="dxa"/>
            <w:gridSpan w:val="4"/>
            <w:tcBorders>
              <w:top w:val="nil"/>
              <w:left w:val="nil"/>
              <w:bottom w:val="nil"/>
              <w:right w:val="nil"/>
            </w:tcBorders>
            <w:tcMar>
              <w:top w:w="0" w:type="dxa"/>
              <w:left w:w="62" w:type="dxa"/>
              <w:bottom w:w="0" w:type="dxa"/>
              <w:right w:w="62" w:type="dxa"/>
            </w:tcMar>
          </w:tcPr>
          <w:p w:rsidR="00000000" w:rsidRPr="00267D12" w:rsidP="00267D12">
            <w:pPr>
              <w:pStyle w:val="BodyText"/>
            </w:pPr>
            <w:r w:rsidRPr="00267D12">
              <w:t xml:space="preserve">9.2) </w:t>
            </w:r>
          </w:p>
          <w:p w:rsidR="00000000" w:rsidP="00267D12">
            <w:pPr>
              <w:pStyle w:val="BodyText"/>
              <w:rPr>
                <w:lang w:val="en-NZ"/>
              </w:rPr>
            </w:pPr>
            <w:r w:rsidRPr="00267D12">
              <w:t>Before the critical aspects of evidence are considered all prerequisites shall be met.</w:t>
            </w:r>
          </w:p>
        </w:tc>
      </w:tr>
      <w:tr w:rsidTr="00653B84">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rsidP="00267D12">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267D12" w:rsidP="00267D12">
            <w:pPr>
              <w:pStyle w:val="ListBullet"/>
            </w:pPr>
            <w:r w:rsidRPr="00267D12">
              <w:t>Evidence for competence in this unit shall be considered holistically. Each elem</w:t>
            </w:r>
            <w:r w:rsidRPr="00267D12">
              <w:t>ent and associated Performance Criteria shall be demonstrated at each competency confirmation event.</w:t>
            </w:r>
          </w:p>
          <w:p w:rsidR="00000000" w:rsidRPr="00267D12" w:rsidP="00267D12">
            <w:pPr>
              <w:pStyle w:val="BodyText"/>
            </w:pPr>
            <w:r w:rsidRPr="00267D12">
              <w:t xml:space="preserve"> In accordance with State and Territory regulations and the "Assessment Guidelines - UET09". Evidence shall also comprise:</w:t>
            </w:r>
          </w:p>
          <w:p w:rsidR="00000000" w:rsidP="00267D12">
            <w:pPr>
              <w:pStyle w:val="ListBullet"/>
              <w:rPr>
                <w:lang w:val="en-NZ"/>
              </w:rPr>
            </w:pPr>
            <w:r w:rsidRPr="00267D12">
              <w:t>A performance demonstrated within the timeframes typically expected of the rescue procedure. In particular the assessment of this unit shall confirm that a candidate is able to:</w:t>
            </w:r>
          </w:p>
        </w:tc>
      </w:tr>
      <w:tr w:rsidTr="00653B8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267D12">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267D12" w:rsidP="00267D12">
            <w:pPr>
              <w:pStyle w:val="ListBullet"/>
            </w:pPr>
            <w:r w:rsidRPr="00267D12">
              <w:t>Implement Occupational Health and Safety workplace procedures and practi</w:t>
            </w:r>
            <w:r w:rsidRPr="00267D12">
              <w:t>ces including the use of risk control measures as specified in the Performance Criteria and range; and</w:t>
            </w:r>
          </w:p>
          <w:p w:rsidR="00000000" w:rsidRPr="00267D12" w:rsidP="00267D12">
            <w:pPr>
              <w:pStyle w:val="ListBullet"/>
            </w:pPr>
            <w:r w:rsidRPr="00267D12">
              <w:t xml:space="preserve">Demonstrate an understanding of the essential knowledge and associated skills as described in this unit to such an extent that the learner's performance </w:t>
            </w:r>
            <w:r w:rsidRPr="00267D12">
              <w:t>outcome is reported in accordance with the preferred approach; namely a percentile graded result, where required by the regulated environment; and</w:t>
            </w:r>
          </w:p>
          <w:p w:rsidR="00000000" w:rsidRPr="00267D12" w:rsidP="00267D12">
            <w:pPr>
              <w:pStyle w:val="ListBullet"/>
            </w:pPr>
            <w:r w:rsidRPr="00267D12">
              <w:t>Demonstrate an appropriate level of employability skills; and</w:t>
            </w:r>
          </w:p>
          <w:p w:rsidR="00000000" w:rsidP="00267D12">
            <w:pPr>
              <w:pStyle w:val="ListBullet"/>
              <w:rPr>
                <w:lang w:val="en-NZ"/>
              </w:rPr>
            </w:pPr>
            <w:r w:rsidRPr="00267D12">
              <w:t>Conduct work observing the relevant Anti Discri</w:t>
            </w:r>
            <w:r w:rsidRPr="00267D12">
              <w:t>mination legislation, regulations, policies and workplace procedures; and</w:t>
            </w:r>
          </w:p>
        </w:tc>
      </w:tr>
      <w:tr w:rsidTr="00653B8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267D12">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267D12">
            <w:pPr>
              <w:pStyle w:val="ListBullet"/>
              <w:rPr>
                <w:lang w:val="en-NZ"/>
              </w:rPr>
            </w:pPr>
            <w:r w:rsidRPr="00267D12">
              <w:t>Demonstrated performance across a representative range of contexts from the prescribed items below:</w:t>
            </w:r>
          </w:p>
        </w:tc>
      </w:tr>
      <w:tr w:rsidTr="00653B8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6" w:space="0" w:color="auto"/>
            </w:tcBorders>
            <w:tcMar>
              <w:top w:w="0" w:type="dxa"/>
              <w:left w:w="62" w:type="dxa"/>
              <w:bottom w:w="0" w:type="dxa"/>
              <w:right w:w="62" w:type="dxa"/>
            </w:tcMar>
          </w:tcPr>
          <w:p w:rsidR="00000000" w:rsidRPr="00267D12">
            <w:pPr>
              <w:pStyle w:val="BodyText"/>
              <w:keepNext w:val="0"/>
              <w:keepLines w:val="0"/>
              <w:contextualSpacing w:val="0"/>
            </w:pPr>
          </w:p>
        </w:tc>
        <w:tc>
          <w:tcPr>
            <w:tcW w:w="5580"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7D12">
            <w:pPr>
              <w:pStyle w:val="BodyText"/>
              <w:rPr>
                <w:lang w:val="en-NZ"/>
              </w:rPr>
            </w:pPr>
            <w:r w:rsidRPr="00267D12">
              <w:rPr>
                <w:rStyle w:val="SpecialBold"/>
              </w:rPr>
              <w:t>Range of tools</w:t>
            </w:r>
            <w:r w:rsidRPr="00267D12">
              <w:t>/</w:t>
            </w:r>
            <w:r w:rsidRPr="00267D12">
              <w:rPr>
                <w:rStyle w:val="SpecialBold"/>
              </w:rPr>
              <w:t>equipment</w:t>
            </w:r>
            <w:r w:rsidRPr="00267D12">
              <w:t>/</w:t>
            </w:r>
            <w:r w:rsidRPr="00267D12">
              <w:rPr>
                <w:rStyle w:val="SpecialBold"/>
              </w:rPr>
              <w:t>materials</w:t>
            </w:r>
            <w:r w:rsidRPr="00267D12">
              <w:t>/</w:t>
            </w:r>
            <w:r w:rsidRPr="00267D12">
              <w:rPr>
                <w:rStyle w:val="SpecialBold"/>
              </w:rPr>
              <w:t>procedures</w:t>
            </w:r>
            <w:r w:rsidRPr="00267D12">
              <w:t>/</w:t>
            </w:r>
            <w:r w:rsidRPr="00267D12">
              <w:rPr>
                <w:rStyle w:val="SpecialBold"/>
              </w:rPr>
              <w:t>workplaces</w:t>
            </w:r>
            <w:r w:rsidRPr="00267D12">
              <w:t>/</w:t>
            </w:r>
            <w:r w:rsidRPr="00267D12">
              <w:rPr>
                <w:rStyle w:val="SpecialBold"/>
              </w:rPr>
              <w:t>other variables</w:t>
            </w:r>
          </w:p>
        </w:tc>
      </w:tr>
      <w:tr w:rsidTr="00653B8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6" w:space="0" w:color="auto"/>
            </w:tcBorders>
            <w:tcMar>
              <w:top w:w="0" w:type="dxa"/>
              <w:left w:w="62" w:type="dxa"/>
              <w:bottom w:w="0" w:type="dxa"/>
              <w:right w:w="62" w:type="dxa"/>
            </w:tcMar>
          </w:tcPr>
          <w:p w:rsidR="00000000" w:rsidRPr="00267D12">
            <w:pPr>
              <w:pStyle w:val="BodyText"/>
              <w:keepNext w:val="0"/>
              <w:keepLines w:val="0"/>
              <w:contextualSpacing w:val="0"/>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7D12" w:rsidP="00267D12">
            <w:pPr>
              <w:pStyle w:val="BodyText"/>
            </w:pPr>
            <w:r w:rsidRPr="00267D12">
              <w:rPr>
                <w:rStyle w:val="SpecialBold"/>
              </w:rPr>
              <w:t>Group No</w:t>
            </w:r>
          </w:p>
        </w:tc>
        <w:tc>
          <w:tcPr>
            <w:tcW w:w="1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7D12" w:rsidP="00267D12">
            <w:pPr>
              <w:pStyle w:val="BodyText"/>
            </w:pPr>
            <w:r w:rsidRPr="00267D12">
              <w:rPr>
                <w:rStyle w:val="SpecialBold"/>
              </w:rPr>
              <w:t xml:space="preserve">The minimum number of </w:t>
            </w:r>
            <w:r w:rsidRPr="00267D12">
              <w:rPr>
                <w:rStyle w:val="SpecialBold"/>
              </w:rPr>
              <w:t>items on which skill is to be demonstrated</w:t>
            </w:r>
          </w:p>
        </w:tc>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7D12">
            <w:pPr>
              <w:pStyle w:val="BodyText"/>
              <w:rPr>
                <w:lang w:val="en-NZ"/>
              </w:rPr>
            </w:pPr>
            <w:r w:rsidRPr="00267D12">
              <w:rPr>
                <w:rStyle w:val="SpecialBold"/>
              </w:rPr>
              <w:t>Item List</w:t>
            </w:r>
          </w:p>
        </w:tc>
      </w:tr>
      <w:tr w:rsidTr="00653B8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7D12">
            <w:pPr>
              <w:pStyle w:val="BodyText"/>
              <w:rPr>
                <w:lang w:val="en-NZ"/>
              </w:rPr>
            </w:pPr>
            <w:r w:rsidRPr="00267D12">
              <w:t>A</w:t>
            </w:r>
          </w:p>
        </w:tc>
        <w:tc>
          <w:tcPr>
            <w:tcW w:w="1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7D12">
            <w:pPr>
              <w:pStyle w:val="BodyText"/>
              <w:rPr>
                <w:lang w:val="en-NZ"/>
              </w:rPr>
            </w:pPr>
            <w:r w:rsidRPr="00267D12">
              <w:t>All, to the satisfaction of the network operator's assessor</w:t>
            </w:r>
          </w:p>
        </w:tc>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7D12" w:rsidP="00267D12">
            <w:pPr>
              <w:pStyle w:val="BodyText"/>
            </w:pPr>
            <w:r w:rsidRPr="00267D12">
              <w:t>Check site for danger to self, casualty and others minimising the danger</w:t>
            </w:r>
          </w:p>
          <w:p w:rsidR="00000000" w:rsidRPr="00267D12" w:rsidP="00267D12">
            <w:pPr>
              <w:pStyle w:val="BodyText"/>
            </w:pPr>
            <w:r w:rsidRPr="00267D12">
              <w:t>Check and maintain casualty's airway, breathing and circulation</w:t>
            </w:r>
          </w:p>
          <w:p w:rsidR="00000000" w:rsidP="00267D12">
            <w:pPr>
              <w:pStyle w:val="BodyText"/>
              <w:rPr>
                <w:lang w:val="en-NZ"/>
              </w:rPr>
            </w:pPr>
            <w:r w:rsidRPr="00267D12">
              <w:t>Monitor Consciousness</w:t>
            </w:r>
          </w:p>
        </w:tc>
      </w:tr>
      <w:tr w:rsidTr="00653B8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7D12">
            <w:pPr>
              <w:pStyle w:val="BodyText"/>
              <w:rPr>
                <w:lang w:val="en-NZ"/>
              </w:rPr>
            </w:pPr>
            <w:r w:rsidRPr="00267D12">
              <w:t>B</w:t>
            </w:r>
          </w:p>
        </w:tc>
        <w:tc>
          <w:tcPr>
            <w:tcW w:w="1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7D12">
            <w:pPr>
              <w:pStyle w:val="BodyText"/>
              <w:rPr>
                <w:lang w:val="en-NZ"/>
              </w:rPr>
            </w:pPr>
            <w:r w:rsidRPr="00267D12">
              <w:t>All, to the satisfaction of the network operator's assessor</w:t>
            </w:r>
          </w:p>
        </w:tc>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7D12" w:rsidP="00267D12">
            <w:pPr>
              <w:pStyle w:val="BodyText"/>
            </w:pPr>
            <w:r w:rsidRPr="00267D12">
              <w:t>Identification of immediate hazards - such as but not limited to:</w:t>
            </w:r>
          </w:p>
          <w:p w:rsidR="00000000" w:rsidRPr="00267D12" w:rsidP="00267D12">
            <w:pPr>
              <w:pStyle w:val="BodyText"/>
            </w:pPr>
            <w:r w:rsidRPr="00267D12">
              <w:t>Electrical wires/cables</w:t>
            </w:r>
          </w:p>
          <w:p w:rsidR="00000000" w:rsidRPr="00267D12" w:rsidP="00267D12">
            <w:pPr>
              <w:pStyle w:val="BodyText"/>
            </w:pPr>
            <w:r w:rsidRPr="00267D12">
              <w:t>Environmental h</w:t>
            </w:r>
            <w:r w:rsidRPr="00267D12">
              <w:t>azards such as</w:t>
            </w:r>
          </w:p>
          <w:p w:rsidR="00000000" w:rsidRPr="00267D12" w:rsidP="00267D12">
            <w:pPr>
              <w:pStyle w:val="ListBullet2"/>
            </w:pPr>
            <w:r w:rsidRPr="00267D12">
              <w:t>chemical spills</w:t>
            </w:r>
          </w:p>
          <w:p w:rsidR="00000000" w:rsidRPr="00267D12" w:rsidP="00267D12">
            <w:pPr>
              <w:pStyle w:val="ListBullet2"/>
            </w:pPr>
            <w:r w:rsidRPr="00267D12">
              <w:t>fires</w:t>
            </w:r>
          </w:p>
          <w:p w:rsidR="00000000" w:rsidRPr="00267D12" w:rsidP="00267D12">
            <w:pPr>
              <w:pStyle w:val="ListBullet2"/>
            </w:pPr>
            <w:r w:rsidRPr="00267D12">
              <w:t>slippery surfaces</w:t>
            </w:r>
          </w:p>
          <w:p w:rsidR="00000000" w:rsidRPr="00267D12" w:rsidP="00267D12">
            <w:pPr>
              <w:pStyle w:val="ListBullet2"/>
            </w:pPr>
            <w:r w:rsidRPr="00267D12">
              <w:t>floods</w:t>
            </w:r>
          </w:p>
          <w:p w:rsidR="00000000" w:rsidRPr="00267D12" w:rsidP="00267D12">
            <w:pPr>
              <w:pStyle w:val="ListBullet2"/>
            </w:pPr>
            <w:r w:rsidRPr="00267D12">
              <w:t>wild animals</w:t>
            </w:r>
          </w:p>
          <w:p w:rsidR="00000000" w:rsidRPr="00267D12" w:rsidP="00267D12">
            <w:pPr>
              <w:pStyle w:val="ListBullet2"/>
            </w:pPr>
            <w:r w:rsidRPr="00267D12">
              <w:t xml:space="preserve">fumes, </w:t>
            </w:r>
          </w:p>
          <w:p w:rsidR="00000000" w:rsidRPr="00267D12" w:rsidP="00267D12">
            <w:pPr>
              <w:pStyle w:val="ListBullet2"/>
            </w:pPr>
            <w:r w:rsidRPr="00267D12">
              <w:t>violent persons</w:t>
            </w:r>
          </w:p>
          <w:p w:rsidR="00000000" w:rsidRPr="00267D12" w:rsidP="00267D12">
            <w:pPr>
              <w:pStyle w:val="ListBullet2"/>
            </w:pPr>
            <w:r w:rsidRPr="00267D12">
              <w:t>equipment, machinery and substances</w:t>
            </w:r>
          </w:p>
          <w:p w:rsidR="00000000" w:rsidRPr="00267D12" w:rsidP="00267D12">
            <w:pPr>
              <w:pStyle w:val="ListBullet2"/>
            </w:pPr>
            <w:r w:rsidRPr="00267D12">
              <w:t>bodily fluids</w:t>
            </w:r>
          </w:p>
          <w:p w:rsidR="00000000" w:rsidRPr="00267D12" w:rsidP="00267D12">
            <w:pPr>
              <w:pStyle w:val="ListBullet2"/>
            </w:pPr>
            <w:r w:rsidRPr="00267D12">
              <w:t>risk of further injury to the casualty</w:t>
            </w:r>
          </w:p>
          <w:p w:rsidR="00000000" w:rsidRPr="00267D12" w:rsidP="00267D12">
            <w:pPr>
              <w:pStyle w:val="ListBullet2"/>
            </w:pPr>
            <w:r w:rsidRPr="00267D12">
              <w:t>risks associated with the proximity of other workers and bystanders</w:t>
            </w:r>
          </w:p>
          <w:p w:rsidR="00000000" w:rsidP="00267D12">
            <w:pPr>
              <w:pStyle w:val="ListBullet2"/>
              <w:rPr>
                <w:lang w:val="en-NZ"/>
              </w:rPr>
            </w:pPr>
            <w:r w:rsidRPr="00267D12">
              <w:t>road traffic</w:t>
            </w:r>
          </w:p>
        </w:tc>
      </w:tr>
      <w:tr w:rsidTr="00653B8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7D12">
            <w:pPr>
              <w:pStyle w:val="BodyText"/>
              <w:rPr>
                <w:lang w:val="en-NZ"/>
              </w:rPr>
            </w:pPr>
            <w:r w:rsidRPr="00267D12">
              <w:t>C</w:t>
            </w:r>
          </w:p>
        </w:tc>
        <w:tc>
          <w:tcPr>
            <w:tcW w:w="1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7D12">
            <w:pPr>
              <w:pStyle w:val="BodyText"/>
              <w:rPr>
                <w:lang w:val="en-NZ"/>
              </w:rPr>
            </w:pPr>
            <w:r w:rsidRPr="00267D12">
              <w:t>All, to the satisfaction of the network operator's assessor</w:t>
            </w:r>
          </w:p>
        </w:tc>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7D12" w:rsidP="00267D12">
            <w:pPr>
              <w:pStyle w:val="BodyText"/>
            </w:pPr>
            <w:r w:rsidRPr="00267D12">
              <w:t>Cardio-vascular failure</w:t>
            </w:r>
          </w:p>
          <w:p w:rsidR="00000000" w:rsidRPr="00267D12" w:rsidP="00267D12">
            <w:pPr>
              <w:pStyle w:val="BodyText"/>
            </w:pPr>
            <w:r w:rsidRPr="00267D12">
              <w:t>Shock</w:t>
            </w:r>
          </w:p>
          <w:p w:rsidR="00000000" w:rsidRPr="00267D12" w:rsidP="00267D12">
            <w:pPr>
              <w:pStyle w:val="BodyText"/>
            </w:pPr>
            <w:r w:rsidRPr="00267D12">
              <w:t>Unconsciousness</w:t>
            </w:r>
          </w:p>
          <w:p w:rsidR="00000000" w:rsidRPr="00267D12" w:rsidP="00267D12">
            <w:pPr>
              <w:pStyle w:val="BodyText"/>
            </w:pPr>
            <w:r w:rsidRPr="00267D12">
              <w:t>Electrical burns</w:t>
            </w:r>
          </w:p>
          <w:p w:rsidR="00000000" w:rsidRPr="00267D12" w:rsidP="00267D12">
            <w:pPr>
              <w:pStyle w:val="BodyText"/>
            </w:pPr>
            <w:r w:rsidRPr="00267D12">
              <w:t>Bites or stings</w:t>
            </w:r>
          </w:p>
          <w:p w:rsidR="00000000" w:rsidP="00267D12">
            <w:pPr>
              <w:pStyle w:val="BodyText"/>
              <w:rPr>
                <w:lang w:val="en-NZ"/>
              </w:rPr>
            </w:pPr>
            <w:r w:rsidRPr="00267D12">
              <w:t>Response to Bleeding</w:t>
            </w:r>
          </w:p>
        </w:tc>
      </w:tr>
      <w:tr w:rsidTr="00653B8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7D12">
            <w:pPr>
              <w:pStyle w:val="BodyText"/>
              <w:rPr>
                <w:lang w:val="en-NZ"/>
              </w:rPr>
            </w:pPr>
            <w:r w:rsidRPr="00267D12">
              <w:t>D</w:t>
            </w:r>
          </w:p>
        </w:tc>
        <w:tc>
          <w:tcPr>
            <w:tcW w:w="1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7D12">
            <w:pPr>
              <w:pStyle w:val="BodyText"/>
              <w:rPr>
                <w:lang w:val="en-NZ"/>
              </w:rPr>
            </w:pPr>
            <w:r w:rsidRPr="00267D12">
              <w:t>All, to the satisfaction of the network operator's assessor</w:t>
            </w:r>
          </w:p>
        </w:tc>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7D12" w:rsidP="00267D12">
            <w:pPr>
              <w:pStyle w:val="BodyText"/>
            </w:pPr>
            <w:r w:rsidRPr="00267D12">
              <w:t>Maintain site safety</w:t>
            </w:r>
          </w:p>
          <w:p w:rsidR="00000000" w:rsidRPr="00267D12" w:rsidP="00267D12">
            <w:pPr>
              <w:pStyle w:val="BodyText"/>
            </w:pPr>
            <w:r w:rsidRPr="00267D12">
              <w:t>Minimise risk of further injury or injury to others</w:t>
            </w:r>
          </w:p>
          <w:p w:rsidR="00000000" w:rsidRPr="00267D12" w:rsidP="00267D12">
            <w:pPr>
              <w:pStyle w:val="BodyText"/>
            </w:pPr>
            <w:r w:rsidRPr="00267D12">
              <w:t xml:space="preserve">Making the casualty comfortable </w:t>
            </w:r>
          </w:p>
          <w:p w:rsidR="00000000" w:rsidRPr="00267D12" w:rsidP="00267D12">
            <w:pPr>
              <w:pStyle w:val="BodyText"/>
            </w:pPr>
            <w:r w:rsidRPr="00267D12">
              <w:t>Assessment of injury situations</w:t>
            </w:r>
          </w:p>
          <w:p w:rsidR="00000000" w:rsidRPr="00267D12" w:rsidP="00267D12">
            <w:pPr>
              <w:pStyle w:val="BodyText"/>
            </w:pPr>
            <w:r w:rsidRPr="00267D12">
              <w:t xml:space="preserve">Manage bleeding </w:t>
            </w:r>
          </w:p>
          <w:p w:rsidR="00000000" w:rsidP="00267D12">
            <w:pPr>
              <w:pStyle w:val="BodyText"/>
              <w:rPr>
                <w:lang w:val="en-NZ"/>
              </w:rPr>
            </w:pPr>
            <w:r w:rsidRPr="00267D12">
              <w:t>Raising alarm with emergency services or health professionals</w:t>
            </w:r>
          </w:p>
        </w:tc>
      </w:tr>
      <w:tr w:rsidTr="00653B8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267D12">
            <w:pPr>
              <w:pStyle w:val="BodyText"/>
              <w:rPr>
                <w:lang w:val="en-NZ"/>
              </w:rPr>
            </w:pPr>
            <w:r w:rsidRPr="00267D12">
              <w:t>Context of and specific resources for assessment</w:t>
            </w:r>
          </w:p>
        </w:tc>
        <w:tc>
          <w:tcPr>
            <w:tcW w:w="6300" w:type="dxa"/>
            <w:gridSpan w:val="4"/>
            <w:tcBorders>
              <w:top w:val="nil"/>
              <w:left w:val="nil"/>
              <w:bottom w:val="nil"/>
              <w:right w:val="nil"/>
            </w:tcBorders>
            <w:tcMar>
              <w:top w:w="0" w:type="dxa"/>
              <w:left w:w="62" w:type="dxa"/>
              <w:bottom w:w="0" w:type="dxa"/>
              <w:right w:w="62" w:type="dxa"/>
            </w:tcMar>
          </w:tcPr>
          <w:p w:rsidR="00000000" w:rsidRPr="00267D12" w:rsidP="00267D12">
            <w:pPr>
              <w:pStyle w:val="BodyText"/>
            </w:pPr>
            <w:r w:rsidRPr="00267D12">
              <w:t xml:space="preserve">9.3) </w:t>
            </w:r>
          </w:p>
          <w:p w:rsidR="00000000" w:rsidRPr="00267D12" w:rsidP="00267D12">
            <w:pPr>
              <w:pStyle w:val="BodyText"/>
            </w:pPr>
            <w:r w:rsidRPr="00267D12">
              <w:t>This unit should be assessed as it relates to normal work practice using procedures, information and resources typical of a workplace. This should include:</w:t>
            </w:r>
          </w:p>
          <w:p w:rsidR="00000000" w:rsidRPr="00267D12" w:rsidP="00267D12">
            <w:pPr>
              <w:pStyle w:val="ListBullet"/>
            </w:pPr>
            <w:r w:rsidRPr="00267D12">
              <w:t>OHS policy and work procedures and instructi</w:t>
            </w:r>
            <w:r w:rsidRPr="00267D12">
              <w:t>ons.</w:t>
            </w:r>
          </w:p>
          <w:p w:rsidR="00000000" w:rsidP="00267D12">
            <w:pPr>
              <w:pStyle w:val="ListBullet"/>
              <w:rPr>
                <w:lang w:val="en-NZ"/>
              </w:rPr>
            </w:pPr>
            <w:r w:rsidRPr="00267D12">
              <w:t>Suitable work environment, facilities, equipment and materials to safely undertake actual performance of the provision of first aid, in an ESI environment, in the workplace.</w:t>
            </w:r>
          </w:p>
        </w:tc>
      </w:tr>
      <w:tr w:rsidTr="00653B8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267D12">
            <w:pPr>
              <w:pStyle w:val="BodyText"/>
              <w:rPr>
                <w:lang w:val="en-NZ"/>
              </w:rPr>
            </w:pPr>
            <w:r w:rsidRPr="00267D12">
              <w:t>In addition to the resources listed above, in Context of and specific resources for assessment, evidence should show demonstrated competency working in a realistic environment and a variety of conditions.</w:t>
            </w:r>
          </w:p>
        </w:tc>
      </w:tr>
      <w:tr w:rsidTr="00653B8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267D12">
            <w:pPr>
              <w:pStyle w:val="BodyText"/>
              <w:rPr>
                <w:lang w:val="en-NZ"/>
              </w:rPr>
            </w:pPr>
            <w:r w:rsidRPr="00267D12">
              <w:t>Method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267D12" w:rsidP="00267D12">
            <w:pPr>
              <w:pStyle w:val="BodyText"/>
            </w:pPr>
            <w:r w:rsidRPr="00267D12">
              <w:t xml:space="preserve">9.4) </w:t>
            </w:r>
          </w:p>
          <w:p w:rsidR="00000000" w:rsidRPr="00267D12" w:rsidP="00267D12">
            <w:pPr>
              <w:pStyle w:val="BodyText"/>
            </w:pPr>
            <w:r w:rsidRPr="00267D12">
              <w:t>This Competency Stan</w:t>
            </w:r>
            <w:r w:rsidRPr="00267D12">
              <w:t>dard Unit shall be assessed by methods given in Volume 1, Part 3 "Assessment Guidelines".</w:t>
            </w:r>
          </w:p>
          <w:p w:rsidR="00000000" w:rsidRPr="00267D12" w:rsidP="00267D12">
            <w:pPr>
              <w:pStyle w:val="BodyText"/>
            </w:pPr>
            <w:r w:rsidRPr="00267D12">
              <w:t>Note:</w:t>
            </w:r>
          </w:p>
          <w:p w:rsidR="00000000" w:rsidP="00267D12">
            <w:pPr>
              <w:pStyle w:val="BodyText"/>
              <w:rPr>
                <w:lang w:val="en-NZ"/>
              </w:rPr>
            </w:pPr>
            <w:r w:rsidRPr="00267D12">
              <w:t>Competent performance with inherent safe working practices is expected in the Industry to which this Competency Standard Unit applies. This requires that the sp</w:t>
            </w:r>
            <w:r w:rsidRPr="00267D12">
              <w:t>ecified essential knowledge and associated skills are assessed in a structured environment which is primarily intended for learning/assessment and incorporates all necessary equipment and facilities for learners to develop and demonstrate the essential kno</w:t>
            </w:r>
            <w:r w:rsidRPr="00267D12">
              <w:t>wledge and associated skills described in this unit.</w:t>
            </w:r>
          </w:p>
        </w:tc>
      </w:tr>
      <w:tr w:rsidTr="00653B84">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267D12" w:rsidP="00267D12">
            <w:pPr>
              <w:pStyle w:val="BodyText"/>
            </w:pPr>
            <w:r w:rsidRPr="00267D12">
              <w:t>Concurrent assessment and relationship with other units</w:t>
            </w:r>
          </w:p>
        </w:tc>
        <w:tc>
          <w:tcPr>
            <w:tcW w:w="6300" w:type="dxa"/>
            <w:gridSpan w:val="4"/>
            <w:tcBorders>
              <w:top w:val="nil"/>
              <w:left w:val="nil"/>
              <w:bottom w:val="nil"/>
              <w:right w:val="nil"/>
            </w:tcBorders>
            <w:tcMar>
              <w:top w:w="0" w:type="dxa"/>
              <w:left w:w="62" w:type="dxa"/>
              <w:bottom w:w="0" w:type="dxa"/>
              <w:right w:w="62" w:type="dxa"/>
            </w:tcMar>
          </w:tcPr>
          <w:p w:rsidR="00000000" w:rsidP="00267D12">
            <w:pPr>
              <w:pStyle w:val="BodyText"/>
              <w:rPr>
                <w:lang w:val="en-NZ"/>
              </w:rPr>
            </w:pPr>
            <w:r w:rsidRPr="00267D12">
              <w:rPr>
                <w:rStyle w:val="SpecialBold"/>
              </w:rPr>
              <w:t>9</w:t>
            </w:r>
            <w:r w:rsidRPr="00267D12">
              <w:t>.</w:t>
            </w:r>
            <w:r w:rsidRPr="00267D12">
              <w:rPr>
                <w:rStyle w:val="SpecialBold"/>
              </w:rPr>
              <w:t>5</w:t>
            </w:r>
            <w:r w:rsidRPr="00267D12">
              <w:t>)</w:t>
            </w:r>
          </w:p>
        </w:tc>
      </w:tr>
      <w:tr w:rsidTr="00653B84">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267D12" w:rsidP="00267D12">
            <w:pPr>
              <w:pStyle w:val="BodyText"/>
            </w:pPr>
            <w:r w:rsidRPr="00267D12">
              <w:t xml:space="preserve">For </w:t>
            </w:r>
            <w:r w:rsidRPr="00267D12">
              <w:t>optimisation of training and assessment effort, competence in this unit is not recommended to be assessed concurrently with any other unit.</w:t>
            </w:r>
          </w:p>
        </w:tc>
      </w:tr>
    </w:tbl>
    <w:p w:rsidR="00653B84" w:rsidP="00267D12">
      <w:pPr>
        <w:pStyle w:val="BodyText"/>
      </w:pPr>
    </w:p>
    <w:p w:rsidR="00653B84" w:rsidP="00267D12">
      <w:pPr>
        <w:pStyle w:val="BodyText"/>
      </w:pPr>
    </w:p>
    <w:p w:rsidR="00000000" w:rsidRPr="00267D12" w:rsidP="00267D12">
      <w:pPr>
        <w:pStyle w:val="Heading1"/>
      </w:pPr>
      <w:bookmarkStart w:id="11" w:name="O_256185"/>
      <w:bookmarkEnd w:id="11"/>
      <w:r w:rsidRPr="00267D12">
        <w:t>Range Statement</w:t>
      </w:r>
    </w:p>
    <w:tbl>
      <w:tblPr>
        <w:tblW w:w="0" w:type="auto"/>
        <w:tblLayout w:type="fixed"/>
        <w:tblCellMar>
          <w:left w:w="62" w:type="dxa"/>
          <w:right w:w="62" w:type="dxa"/>
        </w:tblCellMar>
        <w:tblLook w:val="0000"/>
      </w:tblPr>
      <w:tblGrid>
        <w:gridCol w:w="2160"/>
        <w:gridCol w:w="6300"/>
      </w:tblGrid>
      <w:tr w:rsidTr="00653B84">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267D12">
            <w:pPr>
              <w:pStyle w:val="BodyText"/>
              <w:rPr>
                <w:lang w:val="en-NZ"/>
              </w:rPr>
            </w:pPr>
            <w:r w:rsidRPr="00267D12">
              <w:rPr>
                <w:rStyle w:val="SpecialBold"/>
              </w:rPr>
              <w:t>RANGE STATEMENT</w:t>
            </w:r>
          </w:p>
        </w:tc>
      </w:tr>
      <w:tr w:rsidTr="00653B84">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267D12">
            <w:pPr>
              <w:pStyle w:val="BodyText"/>
              <w:rPr>
                <w:lang w:val="en-NZ"/>
              </w:rPr>
            </w:pPr>
            <w:r w:rsidRPr="00267D12">
              <w:rPr>
                <w:rStyle w:val="SpecialBold"/>
              </w:rPr>
              <w:t>8</w:t>
            </w:r>
            <w:r w:rsidRPr="00267D12">
              <w:t>) This relates to the competency standard  unit as a whole providing the range of contexts and conditions to which the Performance Criteria apply. It allows for different work environments and situations that will affect performance.</w:t>
            </w:r>
          </w:p>
        </w:tc>
      </w:tr>
      <w:tr w:rsidTr="00653B84">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267D12" w:rsidP="00267D12">
            <w:pPr>
              <w:pStyle w:val="BodyText"/>
            </w:pPr>
            <w:r w:rsidRPr="00267D12">
              <w:t>This Competency Standard Unit shall be demonstrated in relation to the provision of first aid in an ESI environment and may include the following:</w:t>
            </w:r>
          </w:p>
          <w:p w:rsidR="00000000" w:rsidRPr="00267D12" w:rsidP="00267D12">
            <w:pPr>
              <w:pStyle w:val="BodyText"/>
            </w:pPr>
            <w:r w:rsidRPr="00267D12">
              <w:t>Established first aid principles including; checking and maintaining the casualty's airway, breathing and cir</w:t>
            </w:r>
            <w:r w:rsidRPr="00267D12">
              <w:t>culation, and checking the site for danger to self, casualty and others and minimising the danger.</w:t>
            </w:r>
          </w:p>
          <w:p w:rsidR="00000000" w:rsidRPr="00267D12" w:rsidP="00267D12">
            <w:pPr>
              <w:pStyle w:val="BodyText"/>
            </w:pPr>
            <w:r w:rsidRPr="00267D12">
              <w:t>Physical and personal hazards may include; workplace hazards such as fire, floods, violent persons, and environmental hazards such as electrical faults, chem</w:t>
            </w:r>
            <w:r w:rsidRPr="00267D12">
              <w:t>ical spills, fires, slippery surfaces, floods, wild animals, fumes, and proximity of other people, and hazards associated with the casualty management processes.</w:t>
            </w:r>
          </w:p>
          <w:p w:rsidR="00000000" w:rsidRPr="00267D12" w:rsidP="00267D12">
            <w:pPr>
              <w:pStyle w:val="BodyText"/>
            </w:pPr>
            <w:r w:rsidRPr="00267D12">
              <w:t>Risks may include; worksite equipment, machinery and substances, and bodily fluids, and risk o</w:t>
            </w:r>
            <w:r w:rsidRPr="00267D12">
              <w:t>f further injury to the casualty, and risks associated with the proximity of other workers and bystanders, and road traffic.</w:t>
            </w:r>
          </w:p>
          <w:p w:rsidR="00000000" w:rsidRPr="00267D12" w:rsidP="00267D12">
            <w:pPr>
              <w:pStyle w:val="BodyText"/>
            </w:pPr>
            <w:r w:rsidRPr="00267D12">
              <w:t>First aid management will need to account for; Location and nature of the work environment, and Electrical hazards, and Environment</w:t>
            </w:r>
            <w:r w:rsidRPr="00267D12">
              <w:t xml:space="preserve">al conditions and situations, such as, biological risks, weather and terrain, motor vehicle accidents, and Level of knowledge, skills, training and experience of the person administering first aid and Familiarity with particular injuries, and Legal issues </w:t>
            </w:r>
            <w:r w:rsidRPr="00267D12">
              <w:t>that affect the provision of first aid in different industry sectors, and Characteristics of the site where the injury occurs, and Nature of the injury and its cause, and Infection control procedures, and Availability of first aid equipment, medications an</w:t>
            </w:r>
            <w:r w:rsidRPr="00267D12">
              <w:t>d kits or other suitable alternative aids, and Proximity and availability of trained paramedical and medical/health professional assistance, and Victim's cardio-vascular condition as indicated by vitals signs such as body temperature, pulse rate and breath</w:t>
            </w:r>
            <w:r w:rsidRPr="00267D12">
              <w:t>ing rates, and Unresolved dangers such as fire, chemical contamination or fume toxicity of the area where the injury occurs.</w:t>
            </w:r>
          </w:p>
          <w:p w:rsidR="00000000" w:rsidRPr="00267D12" w:rsidP="00267D12">
            <w:pPr>
              <w:pStyle w:val="BodyText"/>
            </w:pPr>
            <w:r w:rsidRPr="00267D12">
              <w:t>Vital signs include; breathing, circulation and consciousness</w:t>
            </w:r>
          </w:p>
          <w:p w:rsidR="00000000" w:rsidRPr="00267D12" w:rsidP="00267D12">
            <w:pPr>
              <w:pStyle w:val="BodyText"/>
            </w:pPr>
            <w:r w:rsidRPr="00267D12">
              <w:t>Injuries may include; Abdominal trauma, Allergic reactions, Bleeding,</w:t>
            </w:r>
            <w:r w:rsidRPr="00267D12">
              <w:t xml:space="preserve"> Chemical contamination, Choking, Cold injuries, Cardio-vascular failure, Dislocations and fractures, Drowning, Poisoning and toxic substances, Medical conditions including epilepsy, diabetes, asthma, Eye injuries, Head injuries, Minor skin injuries, Neck </w:t>
            </w:r>
            <w:r w:rsidRPr="00267D12">
              <w:t>and spinal injuries, Needle stick injuries, Puncture wounds and cuts, Crush injuries, Shock, Smoke inhalation, Sprains and strains, Substance abuse, Unconsciousness, Infections, Bone and joint injuries, Electrical burns, Eye injuries, Burns and scalds, the</w:t>
            </w:r>
            <w:r w:rsidRPr="00267D12">
              <w:t>rmal, chemical and friction, Bites or stings, Inhalation of toxic fumes and airborne dusts.</w:t>
            </w:r>
          </w:p>
          <w:p w:rsidR="00000000" w:rsidRPr="00267D12" w:rsidP="00267D12">
            <w:pPr>
              <w:pStyle w:val="BodyText"/>
            </w:pPr>
            <w:r w:rsidRPr="00267D12">
              <w:t>Injuries may involve; Unconsciousness, Confusion, Tremors, Rigidity, Numbness, Inability to move body parts, Pain, Delirium, External bleeding, Internal bleeding, H</w:t>
            </w:r>
            <w:r w:rsidRPr="00267D12">
              <w:t>eat exhaustion, Hypothermia and Pre-existing illness.</w:t>
            </w:r>
          </w:p>
          <w:p w:rsidR="00000000" w:rsidRPr="00267D12" w:rsidP="00267D12">
            <w:pPr>
              <w:pStyle w:val="BodyText"/>
            </w:pPr>
            <w:r w:rsidRPr="00267D12">
              <w:t>Appropriate others from whom assistance may be sought may include; emergency services personnel, health professionals, colleagues, customers, passers by</w:t>
            </w:r>
          </w:p>
          <w:p w:rsidR="00000000" w:rsidRPr="00267D12" w:rsidP="00267D12">
            <w:pPr>
              <w:pStyle w:val="BodyText"/>
            </w:pPr>
            <w:r w:rsidRPr="00267D12">
              <w:t>Assistance may include, as appropriate to emergen</w:t>
            </w:r>
            <w:r w:rsidRPr="00267D12">
              <w:t>cy situations; Maintain site safety, and Minimise risk of further injury or injury to others, Making the casualty comfortable, Assessment of injury situations, Manage bleeding through the application of tourniquets, pressure and dressings, Giving reassuran</w:t>
            </w:r>
            <w:r w:rsidRPr="00267D12">
              <w:t>ce and comfort, Raising alarm with emergency services or health professionals, and Removing debris.</w:t>
            </w:r>
          </w:p>
          <w:p w:rsidR="00000000" w:rsidRPr="00267D12" w:rsidP="00267D12">
            <w:pPr>
              <w:pStyle w:val="BodyText"/>
            </w:pPr>
            <w:r w:rsidRPr="00267D12">
              <w:t>First aid and emergency equipment may include; first aid kit, pressure and other bandages, thermometers, eyewash, thermal blankets, pocket face masks, rubbe</w:t>
            </w:r>
            <w:r w:rsidRPr="00267D12">
              <w:t>r gloves, dressings, flags and flares, fire extinguishers, communication equipment such as mobile phones, satellite phone, radio.</w:t>
            </w:r>
          </w:p>
          <w:p w:rsidR="00000000" w:rsidP="00267D12">
            <w:pPr>
              <w:pStyle w:val="BodyText"/>
              <w:rPr>
                <w:lang w:val="en-NZ"/>
              </w:rPr>
            </w:pPr>
            <w:r w:rsidRPr="00267D12">
              <w:t>The following constants and variables included in the element/Performance Criteria in this unit are fully described in the Def</w:t>
            </w:r>
            <w:r w:rsidRPr="00267D12">
              <w:t>initions Section 1 of this volume and form an integral part of the Range Statement of this unit:</w:t>
            </w:r>
          </w:p>
        </w:tc>
      </w:tr>
      <w:tr w:rsidTr="00653B8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267D12">
            <w:pPr>
              <w:pStyle w:val="BodyText"/>
              <w:rPr>
                <w:lang w:val="en-NZ"/>
              </w:rPr>
            </w:pPr>
          </w:p>
        </w:tc>
        <w:tc>
          <w:tcPr>
            <w:tcW w:w="6300" w:type="dxa"/>
            <w:tcBorders>
              <w:top w:val="nil"/>
              <w:left w:val="nil"/>
              <w:bottom w:val="nil"/>
              <w:right w:val="nil"/>
            </w:tcBorders>
            <w:tcMar>
              <w:top w:w="0" w:type="dxa"/>
              <w:left w:w="62" w:type="dxa"/>
              <w:bottom w:w="0" w:type="dxa"/>
              <w:right w:w="62" w:type="dxa"/>
            </w:tcMar>
          </w:tcPr>
          <w:p w:rsidR="00000000" w:rsidRPr="00267D12" w:rsidP="00267D12">
            <w:pPr>
              <w:pStyle w:val="ListBullet"/>
            </w:pPr>
            <w:r w:rsidRPr="00267D12">
              <w:t>Appropriate and relevant persons</w:t>
            </w:r>
          </w:p>
          <w:p w:rsidR="00000000" w:rsidRPr="00267D12" w:rsidP="00267D12">
            <w:pPr>
              <w:pStyle w:val="ListBullet"/>
            </w:pPr>
            <w:r w:rsidRPr="00267D12">
              <w:t>Assessing risk</w:t>
            </w:r>
          </w:p>
          <w:p w:rsidR="00000000" w:rsidRPr="00267D12" w:rsidP="00267D12">
            <w:pPr>
              <w:pStyle w:val="ListBullet"/>
            </w:pPr>
            <w:r w:rsidRPr="00267D12">
              <w:t>Assessment</w:t>
            </w:r>
          </w:p>
          <w:p w:rsidR="00000000" w:rsidRPr="00267D12" w:rsidP="00267D12">
            <w:pPr>
              <w:pStyle w:val="ListBullet"/>
            </w:pPr>
            <w:r w:rsidRPr="00267D12">
              <w:t>Authorisation</w:t>
            </w:r>
          </w:p>
          <w:p w:rsidR="00000000" w:rsidRPr="00267D12" w:rsidP="00267D12">
            <w:pPr>
              <w:pStyle w:val="ListBullet"/>
            </w:pPr>
            <w:r w:rsidRPr="00267D12">
              <w:t>Confined space</w:t>
            </w:r>
          </w:p>
          <w:p w:rsidR="00000000" w:rsidRPr="00267D12" w:rsidP="00267D12">
            <w:pPr>
              <w:pStyle w:val="ListBullet"/>
            </w:pPr>
            <w:r w:rsidRPr="00267D12">
              <w:t>Emergency</w:t>
            </w:r>
          </w:p>
          <w:p w:rsidR="00000000" w:rsidRPr="00267D12" w:rsidP="00267D12">
            <w:pPr>
              <w:pStyle w:val="ListBullet"/>
            </w:pPr>
            <w:r w:rsidRPr="00267D12">
              <w:t>Established procedures</w:t>
            </w:r>
          </w:p>
          <w:p w:rsidR="00000000" w:rsidRPr="00267D12" w:rsidP="00267D12">
            <w:pPr>
              <w:pStyle w:val="ListBullet"/>
            </w:pPr>
            <w:r w:rsidRPr="00267D12">
              <w:t>Fall prevention</w:t>
            </w:r>
          </w:p>
          <w:p w:rsidR="00000000" w:rsidRPr="00267D12" w:rsidP="00267D12">
            <w:pPr>
              <w:pStyle w:val="ListBullet"/>
            </w:pPr>
            <w:r w:rsidRPr="00267D12">
              <w:t>Hazards</w:t>
            </w:r>
          </w:p>
          <w:p w:rsidR="00000000" w:rsidRPr="00267D12" w:rsidP="00267D12">
            <w:pPr>
              <w:pStyle w:val="ListBullet"/>
            </w:pPr>
            <w:r w:rsidRPr="00267D12">
              <w:t>Identi</w:t>
            </w:r>
            <w:r w:rsidRPr="00267D12">
              <w:t>fying hazards</w:t>
            </w:r>
          </w:p>
          <w:p w:rsidR="00000000" w:rsidRPr="00267D12" w:rsidP="00267D12">
            <w:pPr>
              <w:pStyle w:val="ListBullet"/>
            </w:pPr>
            <w:r w:rsidRPr="00267D12">
              <w:t>Inspect</w:t>
            </w:r>
          </w:p>
          <w:p w:rsidR="00000000" w:rsidRPr="00267D12" w:rsidP="00267D12">
            <w:pPr>
              <w:pStyle w:val="ListBullet"/>
            </w:pPr>
            <w:r w:rsidRPr="00267D12">
              <w:t>Legislation</w:t>
            </w:r>
          </w:p>
          <w:p w:rsidR="00000000" w:rsidRPr="00267D12" w:rsidP="00267D12">
            <w:pPr>
              <w:pStyle w:val="ListBullet"/>
            </w:pPr>
            <w:r w:rsidRPr="00267D12">
              <w:t>Notification</w:t>
            </w:r>
          </w:p>
          <w:p w:rsidR="00000000" w:rsidRPr="00267D12" w:rsidP="00267D12">
            <w:pPr>
              <w:pStyle w:val="ListBullet"/>
            </w:pPr>
            <w:r w:rsidRPr="00267D12">
              <w:t>OHS practices</w:t>
            </w:r>
          </w:p>
          <w:p w:rsidR="00000000" w:rsidRPr="00267D12" w:rsidP="00267D12">
            <w:pPr>
              <w:pStyle w:val="ListBullet"/>
            </w:pPr>
            <w:r w:rsidRPr="00267D12">
              <w:t>OHS issues</w:t>
            </w:r>
          </w:p>
          <w:p w:rsidR="00000000" w:rsidRPr="00267D12" w:rsidP="00267D12">
            <w:pPr>
              <w:pStyle w:val="ListBullet"/>
            </w:pPr>
            <w:r w:rsidRPr="00267D12">
              <w:t>Permits and/or permits to work</w:t>
            </w:r>
          </w:p>
          <w:p w:rsidR="00000000" w:rsidRPr="00267D12" w:rsidP="00267D12">
            <w:pPr>
              <w:pStyle w:val="ListBullet"/>
            </w:pPr>
            <w:r w:rsidRPr="00267D12">
              <w:t>Personnel</w:t>
            </w:r>
          </w:p>
          <w:p w:rsidR="00000000" w:rsidRPr="00267D12" w:rsidP="00267D12">
            <w:pPr>
              <w:pStyle w:val="ListBullet"/>
            </w:pPr>
            <w:r w:rsidRPr="00267D12">
              <w:t>Requirements</w:t>
            </w:r>
          </w:p>
          <w:p w:rsidR="00000000" w:rsidRPr="00267D12" w:rsidP="00267D12">
            <w:pPr>
              <w:pStyle w:val="ListBullet"/>
            </w:pPr>
            <w:r w:rsidRPr="00267D12">
              <w:t>Testing procedures</w:t>
            </w:r>
          </w:p>
          <w:p w:rsidR="00000000" w:rsidRPr="00267D12" w:rsidP="00267D12">
            <w:pPr>
              <w:pStyle w:val="ListBullet"/>
            </w:pPr>
            <w:r w:rsidRPr="00267D12">
              <w:t>Work clearance systems</w:t>
            </w:r>
          </w:p>
        </w:tc>
      </w:tr>
    </w:tbl>
    <w:p w:rsidR="00653B84" w:rsidP="00267D12">
      <w:pPr>
        <w:pStyle w:val="BodyText"/>
      </w:pPr>
    </w:p>
    <w:p w:rsidR="00653B84" w:rsidP="00267D12">
      <w:pPr>
        <w:pStyle w:val="BodyText"/>
      </w:pPr>
    </w:p>
    <w:p w:rsidR="00000000" w:rsidRPr="00267D12" w:rsidP="00267D12">
      <w:pPr>
        <w:pStyle w:val="Heading1"/>
      </w:pPr>
      <w:bookmarkStart w:id="12" w:name="O_297198"/>
      <w:bookmarkEnd w:id="12"/>
      <w:r w:rsidRPr="00267D12">
        <w:t>Unit Sector(s)</w:t>
      </w:r>
    </w:p>
    <w:p w:rsidR="00000000" w:rsidRPr="00267D12" w:rsidP="00267D12">
      <w:pPr>
        <w:pStyle w:val="BodyText"/>
      </w:pPr>
      <w:r w:rsidRPr="00267D12">
        <w:t>Not Applicable</w:t>
      </w:r>
    </w:p>
    <w:p w:rsidR="00000000" w:rsidRPr="00267D12" w:rsidP="00267D12">
      <w:pPr>
        <w:pStyle w:val="AllowPageBreak"/>
      </w:pPr>
    </w:p>
    <w:p w:rsidR="00000000" w:rsidRPr="00267D12" w:rsidP="00267D12">
      <w:pPr>
        <w:pStyle w:val="Heading1"/>
      </w:pPr>
      <w:bookmarkStart w:id="13" w:name="O_231679"/>
      <w:bookmarkEnd w:id="13"/>
      <w:r w:rsidRPr="00267D12">
        <w:t>2.2) Literacy and numeracy skills</w:t>
      </w:r>
    </w:p>
    <w:tbl>
      <w:tblPr>
        <w:tblW w:w="0" w:type="auto"/>
        <w:tblLayout w:type="fixed"/>
        <w:tblCellMar>
          <w:left w:w="62" w:type="dxa"/>
          <w:right w:w="62" w:type="dxa"/>
        </w:tblCellMar>
        <w:tblLook w:val="0000"/>
      </w:tblPr>
      <w:tblGrid>
        <w:gridCol w:w="1454"/>
        <w:gridCol w:w="1182"/>
        <w:gridCol w:w="1739"/>
        <w:gridCol w:w="1182"/>
        <w:gridCol w:w="1721"/>
        <w:gridCol w:w="1182"/>
      </w:tblGrid>
      <w:tr w:rsidTr="00653B84">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267D12" w:rsidP="00267D12">
            <w:pPr>
              <w:pStyle w:val="BodyText"/>
            </w:pPr>
            <w:r w:rsidRPr="00267D12">
              <w:t>2.2) Literacy and numeracy skills</w:t>
            </w:r>
          </w:p>
          <w:p w:rsidR="00000000" w:rsidP="00267D12">
            <w:pPr>
              <w:pStyle w:val="BodyText"/>
              <w:rPr>
                <w:lang w:val="en-NZ"/>
              </w:rPr>
            </w:pPr>
            <w:r w:rsidRPr="00267D12">
              <w:t>Participants are best equipped to achieve this unit if they have reading, writing and numeracy skills indicated by the following scales. Description of each scale is given in Volume 2, Par</w:t>
            </w:r>
            <w:r w:rsidRPr="00267D12">
              <w:t>t 3 "Literacy and Numeracy"</w:t>
            </w:r>
          </w:p>
        </w:tc>
      </w:tr>
      <w:tr w:rsidTr="00653B84">
        <w:tblPrEx>
          <w:tblW w:w="0" w:type="auto"/>
          <w:tblLayout w:type="fixed"/>
          <w:tblCellMar>
            <w:left w:w="62" w:type="dxa"/>
            <w:right w:w="62" w:type="dxa"/>
          </w:tblCellMar>
          <w:tblLook w:val="0000"/>
        </w:tblPrEx>
        <w:tc>
          <w:tcPr>
            <w:tcW w:w="1454" w:type="dxa"/>
            <w:tcBorders>
              <w:top w:val="nil"/>
              <w:left w:val="nil"/>
              <w:bottom w:val="nil"/>
              <w:right w:val="nil"/>
            </w:tcBorders>
            <w:tcMar>
              <w:top w:w="0" w:type="dxa"/>
              <w:left w:w="62" w:type="dxa"/>
              <w:bottom w:w="0" w:type="dxa"/>
              <w:right w:w="62" w:type="dxa"/>
            </w:tcMar>
          </w:tcPr>
          <w:p w:rsidR="00000000" w:rsidP="00267D12">
            <w:pPr>
              <w:pStyle w:val="BodyText"/>
              <w:rPr>
                <w:lang w:val="en-NZ"/>
              </w:rPr>
            </w:pPr>
            <w:r w:rsidRPr="00267D12">
              <w:t>Reading</w:t>
            </w:r>
          </w:p>
        </w:tc>
        <w:tc>
          <w:tcPr>
            <w:tcW w:w="1182" w:type="dxa"/>
            <w:tcBorders>
              <w:top w:val="nil"/>
              <w:left w:val="nil"/>
              <w:bottom w:val="nil"/>
              <w:right w:val="nil"/>
            </w:tcBorders>
            <w:tcMar>
              <w:top w:w="0" w:type="dxa"/>
              <w:left w:w="62" w:type="dxa"/>
              <w:bottom w:w="0" w:type="dxa"/>
              <w:right w:w="62" w:type="dxa"/>
            </w:tcMar>
          </w:tcPr>
          <w:p w:rsidR="00000000" w:rsidP="00267D12">
            <w:pPr>
              <w:pStyle w:val="BodyText"/>
              <w:rPr>
                <w:lang w:val="en-NZ"/>
              </w:rPr>
            </w:pPr>
            <w:r w:rsidRPr="00267D12">
              <w:t>3</w:t>
            </w:r>
          </w:p>
        </w:tc>
        <w:tc>
          <w:tcPr>
            <w:tcW w:w="1739" w:type="dxa"/>
            <w:tcBorders>
              <w:top w:val="nil"/>
              <w:left w:val="nil"/>
              <w:bottom w:val="nil"/>
              <w:right w:val="nil"/>
            </w:tcBorders>
            <w:tcMar>
              <w:top w:w="0" w:type="dxa"/>
              <w:left w:w="62" w:type="dxa"/>
              <w:bottom w:w="0" w:type="dxa"/>
              <w:right w:w="62" w:type="dxa"/>
            </w:tcMar>
          </w:tcPr>
          <w:p w:rsidR="00000000" w:rsidP="00267D12">
            <w:pPr>
              <w:pStyle w:val="BodyText"/>
              <w:rPr>
                <w:lang w:val="en-NZ"/>
              </w:rPr>
            </w:pPr>
            <w:r w:rsidRPr="00267D12">
              <w:t>Writing</w:t>
            </w:r>
          </w:p>
        </w:tc>
        <w:tc>
          <w:tcPr>
            <w:tcW w:w="1182" w:type="dxa"/>
            <w:tcBorders>
              <w:top w:val="nil"/>
              <w:left w:val="nil"/>
              <w:bottom w:val="nil"/>
              <w:right w:val="nil"/>
            </w:tcBorders>
            <w:tcMar>
              <w:top w:w="0" w:type="dxa"/>
              <w:left w:w="62" w:type="dxa"/>
              <w:bottom w:w="0" w:type="dxa"/>
              <w:right w:w="62" w:type="dxa"/>
            </w:tcMar>
          </w:tcPr>
          <w:p w:rsidR="00000000" w:rsidP="00267D12">
            <w:pPr>
              <w:pStyle w:val="BodyText"/>
              <w:rPr>
                <w:lang w:val="en-NZ"/>
              </w:rPr>
            </w:pPr>
            <w:r w:rsidRPr="00267D12">
              <w:t>3</w:t>
            </w:r>
          </w:p>
        </w:tc>
        <w:tc>
          <w:tcPr>
            <w:tcW w:w="1721" w:type="dxa"/>
            <w:tcBorders>
              <w:top w:val="nil"/>
              <w:left w:val="nil"/>
              <w:bottom w:val="nil"/>
              <w:right w:val="nil"/>
            </w:tcBorders>
            <w:tcMar>
              <w:top w:w="0" w:type="dxa"/>
              <w:left w:w="62" w:type="dxa"/>
              <w:bottom w:w="0" w:type="dxa"/>
              <w:right w:w="62" w:type="dxa"/>
            </w:tcMar>
          </w:tcPr>
          <w:p w:rsidR="00000000" w:rsidP="00267D12">
            <w:pPr>
              <w:pStyle w:val="BodyText"/>
              <w:rPr>
                <w:lang w:val="en-NZ"/>
              </w:rPr>
            </w:pPr>
            <w:r w:rsidRPr="00267D12">
              <w:t>Numeracy</w:t>
            </w:r>
          </w:p>
        </w:tc>
        <w:tc>
          <w:tcPr>
            <w:tcW w:w="1182" w:type="dxa"/>
            <w:tcBorders>
              <w:top w:val="nil"/>
              <w:left w:val="nil"/>
              <w:bottom w:val="nil"/>
              <w:right w:val="nil"/>
            </w:tcBorders>
            <w:tcMar>
              <w:top w:w="0" w:type="dxa"/>
              <w:left w:w="62" w:type="dxa"/>
              <w:bottom w:w="0" w:type="dxa"/>
              <w:right w:w="62" w:type="dxa"/>
            </w:tcMar>
          </w:tcPr>
          <w:p w:rsidR="00000000" w:rsidRPr="00267D12" w:rsidP="00267D12">
            <w:pPr>
              <w:pStyle w:val="BodyText"/>
            </w:pPr>
            <w:r w:rsidRPr="00267D12">
              <w:t>3</w:t>
            </w:r>
          </w:p>
        </w:tc>
      </w:tr>
    </w:tbl>
    <w:p w:rsidR="00653B84" w:rsidP="00267D12">
      <w:pPr>
        <w:pStyle w:val="BodyText"/>
      </w:pPr>
    </w:p>
    <w:p w:rsidR="00653B84" w:rsidP="00267D12">
      <w:pPr>
        <w:pStyle w:val="BodyText"/>
      </w:pPr>
    </w:p>
    <w:p w:rsidR="00000000" w:rsidRPr="00267D12" w:rsidP="00267D12">
      <w:pPr>
        <w:pStyle w:val="Heading1"/>
      </w:pPr>
      <w:bookmarkStart w:id="14" w:name="O_231682"/>
      <w:bookmarkEnd w:id="14"/>
      <w:r w:rsidRPr="00267D12">
        <w:t>Competency Field</w:t>
      </w:r>
    </w:p>
    <w:tbl>
      <w:tblPr>
        <w:tblW w:w="0" w:type="auto"/>
        <w:tblLayout w:type="fixed"/>
        <w:tblCellMar>
          <w:left w:w="62" w:type="dxa"/>
          <w:right w:w="62" w:type="dxa"/>
        </w:tblCellMar>
        <w:tblLook w:val="0000"/>
      </w:tblPr>
      <w:tblGrid>
        <w:gridCol w:w="2700"/>
        <w:gridCol w:w="5760"/>
      </w:tblGrid>
      <w:tr w:rsidTr="00653B8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P="00267D12">
            <w:pPr>
              <w:pStyle w:val="BodyText"/>
              <w:rPr>
                <w:lang w:val="en-NZ"/>
              </w:rPr>
            </w:pPr>
            <w:r w:rsidRPr="00267D12">
              <w:t>Competency Field</w:t>
            </w:r>
          </w:p>
        </w:tc>
        <w:tc>
          <w:tcPr>
            <w:tcW w:w="5760" w:type="dxa"/>
            <w:tcBorders>
              <w:top w:val="nil"/>
              <w:left w:val="nil"/>
              <w:bottom w:val="nil"/>
              <w:right w:val="nil"/>
            </w:tcBorders>
            <w:tcMar>
              <w:top w:w="0" w:type="dxa"/>
              <w:left w:w="62" w:type="dxa"/>
              <w:bottom w:w="0" w:type="dxa"/>
              <w:right w:w="62" w:type="dxa"/>
            </w:tcMar>
          </w:tcPr>
          <w:p w:rsidR="00000000" w:rsidP="00267D12">
            <w:pPr>
              <w:pStyle w:val="BodyText"/>
              <w:rPr>
                <w:lang w:val="en-NZ"/>
              </w:rPr>
            </w:pPr>
            <w:r w:rsidRPr="00267D12">
              <w:t>5)</w:t>
            </w:r>
          </w:p>
        </w:tc>
      </w:tr>
      <w:tr w:rsidTr="00653B8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267D12" w:rsidP="00267D12">
            <w:pPr>
              <w:pStyle w:val="BodyText"/>
            </w:pPr>
            <w:r w:rsidRPr="00267D12">
              <w:t>Refresher Training Unit</w:t>
            </w:r>
          </w:p>
        </w:tc>
      </w:tr>
    </w:tbl>
    <w:p w:rsidR="00653B84" w:rsidP="00267D12">
      <w:pPr>
        <w:pStyle w:val="BodyText"/>
      </w:pPr>
    </w:p>
    <w:p w:rsidR="00653B84" w:rsidP="00267D12">
      <w:pPr>
        <w:pStyle w:val="BodyText"/>
      </w:pPr>
    </w:p>
    <w:p w:rsidR="00000000" w:rsidRPr="00267D12" w:rsidP="00267D12"/>
    <w:sectPr w:rsidSect="00267D1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7D1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53B84" w:rsidP="00653B8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7D1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3B84" w:rsidP="00267D1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13</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653B84" w:rsidP="00267D1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653B84" w:rsidP="00267D1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7D1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53B84" w:rsidP="00653B8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7D1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3B84" w:rsidP="00267D12">
    <w:pPr>
      <w:pStyle w:val="Header"/>
      <w:framePr w:wrap="around"/>
    </w:pPr>
    <w:r>
      <w:fldChar w:fldCharType="begin"/>
    </w:r>
    <w:r>
      <w:instrText xml:space="preserve"> TITLE   \* MERGEFORMAT </w:instrText>
    </w:r>
    <w:r>
      <w:fldChar w:fldCharType="separate"/>
    </w:r>
    <w:r>
      <w:t>UETTDRRF10A Provide first aid in an ESI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653B84" w:rsidP="00267D1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6B2C31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91CC30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EAAB9F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7D1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67D12"/>
    <w:pPr>
      <w:spacing w:before="360" w:after="60"/>
      <w:outlineLvl w:val="0"/>
    </w:pPr>
    <w:rPr>
      <w:sz w:val="32"/>
    </w:rPr>
  </w:style>
  <w:style w:type="paragraph" w:styleId="Heading2">
    <w:name w:val="heading 2"/>
    <w:basedOn w:val="HeadingBase"/>
    <w:next w:val="BodyText"/>
    <w:link w:val="Heading2Char"/>
    <w:qFormat/>
    <w:rsid w:val="00267D12"/>
    <w:pPr>
      <w:keepLines/>
      <w:spacing w:before="240" w:after="120"/>
      <w:outlineLvl w:val="1"/>
    </w:pPr>
    <w:rPr>
      <w:sz w:val="28"/>
      <w:szCs w:val="40"/>
    </w:rPr>
  </w:style>
  <w:style w:type="paragraph" w:styleId="Heading3">
    <w:name w:val="heading 3"/>
    <w:basedOn w:val="HeadingBase"/>
    <w:next w:val="BodyText"/>
    <w:link w:val="Heading3Char"/>
    <w:qFormat/>
    <w:rsid w:val="00267D12"/>
    <w:pPr>
      <w:spacing w:before="180" w:after="120"/>
      <w:outlineLvl w:val="2"/>
    </w:pPr>
    <w:rPr>
      <w:spacing w:val="-10"/>
      <w:kern w:val="32"/>
    </w:rPr>
  </w:style>
  <w:style w:type="paragraph" w:styleId="Heading4">
    <w:name w:val="heading 4"/>
    <w:basedOn w:val="HeadingBase"/>
    <w:next w:val="BodyText"/>
    <w:link w:val="Heading4Char"/>
    <w:qFormat/>
    <w:rsid w:val="00267D12"/>
    <w:pPr>
      <w:spacing w:before="160" w:after="120"/>
      <w:outlineLvl w:val="3"/>
    </w:pPr>
    <w:rPr>
      <w:sz w:val="22"/>
    </w:rPr>
  </w:style>
  <w:style w:type="paragraph" w:styleId="Heading5">
    <w:name w:val="heading 5"/>
    <w:basedOn w:val="HeadingBase"/>
    <w:next w:val="Normal"/>
    <w:link w:val="Heading5Char"/>
    <w:qFormat/>
    <w:rsid w:val="00267D12"/>
    <w:pPr>
      <w:spacing w:before="80"/>
      <w:outlineLvl w:val="4"/>
    </w:pPr>
    <w:rPr>
      <w:color w:val="918585"/>
      <w:sz w:val="20"/>
    </w:rPr>
  </w:style>
  <w:style w:type="paragraph" w:styleId="Heading6">
    <w:name w:val="heading 6"/>
    <w:basedOn w:val="HeadingBase"/>
    <w:next w:val="Normal"/>
    <w:link w:val="Heading6Char"/>
    <w:qFormat/>
    <w:rsid w:val="00267D12"/>
    <w:pPr>
      <w:spacing w:before="60"/>
      <w:outlineLvl w:val="5"/>
    </w:pPr>
    <w:rPr>
      <w:color w:val="918585"/>
      <w:sz w:val="20"/>
    </w:rPr>
  </w:style>
  <w:style w:type="paragraph" w:styleId="Heading7">
    <w:name w:val="heading 7"/>
    <w:basedOn w:val="Normal"/>
    <w:next w:val="Normal"/>
    <w:link w:val="Heading7Char"/>
    <w:qFormat/>
    <w:rsid w:val="00267D12"/>
    <w:pPr>
      <w:ind w:left="720"/>
      <w:outlineLvl w:val="6"/>
    </w:pPr>
    <w:rPr>
      <w:i/>
    </w:rPr>
  </w:style>
  <w:style w:type="paragraph" w:styleId="Heading8">
    <w:name w:val="heading 8"/>
    <w:basedOn w:val="Normal"/>
    <w:next w:val="Normal"/>
    <w:link w:val="Heading8Char"/>
    <w:qFormat/>
    <w:rsid w:val="00267D12"/>
    <w:pPr>
      <w:ind w:left="720"/>
      <w:outlineLvl w:val="7"/>
    </w:pPr>
    <w:rPr>
      <w:i/>
    </w:rPr>
  </w:style>
  <w:style w:type="paragraph" w:styleId="Heading9">
    <w:name w:val="heading 9"/>
    <w:basedOn w:val="Normal"/>
    <w:next w:val="Normal"/>
    <w:link w:val="Heading9Char"/>
    <w:qFormat/>
    <w:rsid w:val="00267D12"/>
    <w:pPr>
      <w:ind w:left="720"/>
      <w:outlineLvl w:val="8"/>
    </w:pPr>
    <w:rPr>
      <w:i/>
    </w:rPr>
  </w:style>
  <w:style w:type="character" w:default="1" w:styleId="DefaultParagraphFont">
    <w:name w:val="Default Paragraph Font"/>
    <w:uiPriority w:val="1"/>
    <w:unhideWhenUsed/>
    <w:rsid w:val="00267D1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67D12"/>
  </w:style>
  <w:style w:type="character" w:customStyle="1" w:styleId="Heading1Char">
    <w:name w:val="Heading 1 Char"/>
    <w:basedOn w:val="DefaultParagraphFont"/>
    <w:link w:val="Heading1"/>
    <w:rsid w:val="00267D12"/>
    <w:rPr>
      <w:rFonts w:ascii="Times New Roman" w:eastAsia="Times New Roman" w:hAnsi="Times New Roman" w:cs="Times New Roman"/>
      <w:b/>
      <w:sz w:val="32"/>
      <w:szCs w:val="20"/>
      <w:lang w:eastAsia="en-US"/>
    </w:rPr>
  </w:style>
  <w:style w:type="paragraph" w:styleId="BodyText">
    <w:name w:val="Body Text"/>
    <w:basedOn w:val="Normal"/>
    <w:link w:val="BodyTextChar"/>
    <w:rsid w:val="00267D1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67D12"/>
    <w:rPr>
      <w:rFonts w:ascii="Times New Roman" w:eastAsia="Times New Roman" w:hAnsi="Times New Roman" w:cs="Times New Roman"/>
      <w:sz w:val="24"/>
      <w:lang w:val="en-US" w:eastAsia="en-US"/>
    </w:rPr>
  </w:style>
  <w:style w:type="paragraph" w:styleId="Footer">
    <w:name w:val="footer"/>
    <w:basedOn w:val="Normal"/>
    <w:link w:val="FooterChar"/>
    <w:rsid w:val="00267D1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67D12"/>
    <w:rPr>
      <w:rFonts w:ascii="Times New Roman" w:eastAsia="Times New Roman" w:hAnsi="Times New Roman" w:cs="Times New Roman"/>
      <w:sz w:val="16"/>
      <w:lang w:val="en-US" w:eastAsia="en-US"/>
    </w:rPr>
  </w:style>
  <w:style w:type="paragraph" w:styleId="ListBullet">
    <w:name w:val="List Bullet"/>
    <w:basedOn w:val="List"/>
    <w:rsid w:val="00267D12"/>
    <w:pPr>
      <w:numPr>
        <w:numId w:val="13"/>
      </w:numPr>
      <w:tabs>
        <w:tab w:val="clear" w:pos="340"/>
      </w:tabs>
      <w:spacing w:before="40" w:after="40"/>
    </w:pPr>
  </w:style>
  <w:style w:type="character" w:customStyle="1" w:styleId="SpecialBold">
    <w:name w:val="Special Bold"/>
    <w:basedOn w:val="DefaultParagraphFont"/>
    <w:rsid w:val="00267D12"/>
    <w:rPr>
      <w:b/>
      <w:spacing w:val="0"/>
    </w:rPr>
  </w:style>
  <w:style w:type="paragraph" w:styleId="ListBullet2">
    <w:name w:val="List Bullet 2"/>
    <w:basedOn w:val="List2"/>
    <w:rsid w:val="00267D12"/>
    <w:pPr>
      <w:numPr>
        <w:numId w:val="14"/>
      </w:numPr>
      <w:tabs>
        <w:tab w:val="clear" w:pos="680"/>
      </w:tabs>
    </w:pPr>
  </w:style>
  <w:style w:type="paragraph" w:styleId="Header">
    <w:name w:val="header"/>
    <w:basedOn w:val="Normal"/>
    <w:link w:val="HeaderChar"/>
    <w:rsid w:val="00267D1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67D1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67D12"/>
    <w:pPr>
      <w:spacing w:before="240" w:after="120"/>
      <w:outlineLvl w:val="0"/>
    </w:pPr>
    <w:rPr>
      <w:rFonts w:ascii="Times New Roman" w:hAnsi="Times New Roman"/>
      <w:b/>
      <w:sz w:val="28"/>
    </w:rPr>
  </w:style>
  <w:style w:type="paragraph" w:customStyle="1" w:styleId="AllowPageBreak">
    <w:name w:val="AllowPageBreak"/>
    <w:rsid w:val="00267D1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67D1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67D1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67D1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67D1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67D1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67D1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67D1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67D12"/>
    <w:rPr>
      <w:rFonts w:ascii="Courier New" w:eastAsia="Times New Roman" w:hAnsi="Courier New" w:cs="Times New Roman"/>
      <w:i/>
      <w:szCs w:val="20"/>
      <w:lang w:val="en-US" w:eastAsia="en-US"/>
    </w:rPr>
  </w:style>
  <w:style w:type="paragraph" w:customStyle="1" w:styleId="HeadingBase">
    <w:name w:val="Heading Base"/>
    <w:rsid w:val="00267D1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67D12"/>
    <w:pPr>
      <w:tabs>
        <w:tab w:val="right" w:leader="dot" w:pos="9072"/>
      </w:tabs>
      <w:ind w:left="567"/>
    </w:pPr>
    <w:rPr>
      <w:szCs w:val="22"/>
    </w:rPr>
  </w:style>
  <w:style w:type="paragraph" w:customStyle="1" w:styleId="TOCBase">
    <w:name w:val="TOC Base"/>
    <w:rsid w:val="00267D1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67D12"/>
    <w:pPr>
      <w:tabs>
        <w:tab w:val="right" w:leader="dot" w:pos="9072"/>
      </w:tabs>
      <w:spacing w:before="40" w:after="40"/>
      <w:ind w:left="284"/>
    </w:pPr>
    <w:rPr>
      <w:rFonts w:ascii="Times New Roman" w:hAnsi="Times New Roman"/>
    </w:rPr>
  </w:style>
  <w:style w:type="paragraph" w:styleId="TOC1">
    <w:name w:val="toc 1"/>
    <w:basedOn w:val="TOCBase"/>
    <w:next w:val="Normal"/>
    <w:rsid w:val="00267D1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67D12"/>
    <w:pPr>
      <w:spacing w:before="5040"/>
      <w:jc w:val="center"/>
    </w:pPr>
    <w:rPr>
      <w:sz w:val="48"/>
      <w:szCs w:val="72"/>
      <w:lang w:val="en-US"/>
    </w:rPr>
  </w:style>
  <w:style w:type="character" w:customStyle="1" w:styleId="TitleChar">
    <w:name w:val="Title Char"/>
    <w:basedOn w:val="DefaultParagraphFont"/>
    <w:link w:val="Title"/>
    <w:rsid w:val="00267D1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67D12"/>
    <w:pPr>
      <w:tabs>
        <w:tab w:val="left" w:pos="3600"/>
        <w:tab w:val="left" w:pos="3958"/>
      </w:tabs>
    </w:pPr>
  </w:style>
  <w:style w:type="paragraph" w:styleId="List">
    <w:name w:val="List"/>
    <w:basedOn w:val="BodyText"/>
    <w:next w:val="BodyText"/>
    <w:rsid w:val="00267D12"/>
    <w:pPr>
      <w:tabs>
        <w:tab w:val="left" w:pos="340"/>
      </w:tabs>
      <w:spacing w:before="60" w:after="60"/>
      <w:ind w:left="340" w:hanging="340"/>
    </w:pPr>
  </w:style>
  <w:style w:type="paragraph" w:customStyle="1" w:styleId="Note">
    <w:name w:val="Note"/>
    <w:basedOn w:val="BodyText"/>
    <w:rsid w:val="00267D1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67D12"/>
    <w:pPr>
      <w:framePr w:wrap="auto" w:hAnchor="text" w:y="6049"/>
    </w:pPr>
    <w:rPr>
      <w:color w:val="000000"/>
      <w:sz w:val="40"/>
    </w:rPr>
  </w:style>
  <w:style w:type="paragraph" w:customStyle="1" w:styleId="TOCTitle">
    <w:name w:val="TOCTitle"/>
    <w:basedOn w:val="Heading1"/>
    <w:rsid w:val="00267D12"/>
    <w:pPr>
      <w:spacing w:after="240"/>
      <w:jc w:val="center"/>
      <w:outlineLvl w:val="9"/>
    </w:pPr>
    <w:rPr>
      <w:caps/>
    </w:rPr>
  </w:style>
  <w:style w:type="paragraph" w:customStyle="1" w:styleId="Version">
    <w:name w:val="Version"/>
    <w:rsid w:val="00267D1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67D12"/>
    <w:pPr>
      <w:keepNext w:val="0"/>
      <w:tabs>
        <w:tab w:val="right" w:pos="4176"/>
      </w:tabs>
      <w:ind w:left="198" w:hanging="198"/>
    </w:pPr>
    <w:rPr>
      <w:rFonts w:ascii="Garamond" w:hAnsi="Garamond"/>
    </w:rPr>
  </w:style>
  <w:style w:type="paragraph" w:styleId="IndexHeading">
    <w:name w:val="index heading"/>
    <w:basedOn w:val="Normal"/>
    <w:next w:val="Index1"/>
    <w:semiHidden/>
    <w:rsid w:val="00267D12"/>
    <w:pPr>
      <w:spacing w:before="120" w:after="120"/>
    </w:pPr>
    <w:rPr>
      <w:rFonts w:ascii="Arial" w:hAnsi="Arial"/>
      <w:b/>
      <w:color w:val="918585"/>
      <w:sz w:val="24"/>
    </w:rPr>
  </w:style>
  <w:style w:type="paragraph" w:customStyle="1" w:styleId="Chapter">
    <w:name w:val="Chapter"/>
    <w:basedOn w:val="Normal"/>
    <w:rsid w:val="00267D12"/>
    <w:pPr>
      <w:spacing w:before="240"/>
    </w:pPr>
    <w:rPr>
      <w:rFonts w:ascii="Times New Roman" w:hAnsi="Times New Roman"/>
      <w:smallCaps/>
      <w:spacing w:val="80"/>
      <w:sz w:val="28"/>
    </w:rPr>
  </w:style>
  <w:style w:type="paragraph" w:customStyle="1" w:styleId="InChapter">
    <w:name w:val="InChapter"/>
    <w:basedOn w:val="Heading3"/>
    <w:rsid w:val="00267D12"/>
    <w:pPr>
      <w:spacing w:after="240"/>
      <w:outlineLvl w:val="9"/>
    </w:pPr>
    <w:rPr>
      <w:noProof/>
    </w:rPr>
  </w:style>
  <w:style w:type="paragraph" w:styleId="Index2">
    <w:name w:val="index 2"/>
    <w:basedOn w:val="Normal"/>
    <w:next w:val="Normal"/>
    <w:semiHidden/>
    <w:rsid w:val="00267D12"/>
    <w:pPr>
      <w:tabs>
        <w:tab w:val="right" w:pos="4176"/>
      </w:tabs>
      <w:ind w:left="568" w:hanging="284"/>
    </w:pPr>
    <w:rPr>
      <w:rFonts w:ascii="Garamond" w:hAnsi="Garamond"/>
    </w:rPr>
  </w:style>
  <w:style w:type="paragraph" w:customStyle="1" w:styleId="Byline">
    <w:name w:val="Byline"/>
    <w:rsid w:val="00267D1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67D12"/>
    <w:pPr>
      <w:tabs>
        <w:tab w:val="clear" w:pos="3600"/>
        <w:tab w:val="clear" w:pos="3958"/>
      </w:tabs>
      <w:jc w:val="right"/>
    </w:pPr>
  </w:style>
  <w:style w:type="character" w:styleId="Emphasis">
    <w:name w:val="Emphasis"/>
    <w:basedOn w:val="DefaultParagraphFont"/>
    <w:qFormat/>
    <w:rsid w:val="00267D12"/>
    <w:rPr>
      <w:i/>
    </w:rPr>
  </w:style>
  <w:style w:type="paragraph" w:styleId="Caption">
    <w:name w:val="caption"/>
    <w:basedOn w:val="BodyText"/>
    <w:next w:val="Normal"/>
    <w:qFormat/>
    <w:rsid w:val="00267D12"/>
    <w:pPr>
      <w:framePr w:w="2268" w:hSpace="181" w:vSpace="181" w:wrap="around" w:vAnchor="text" w:hAnchor="page" w:x="1135" w:y="285" w:anchorLock="1"/>
    </w:pPr>
    <w:rPr>
      <w:i/>
    </w:rPr>
  </w:style>
  <w:style w:type="paragraph" w:customStyle="1" w:styleId="MiniTOCTitle">
    <w:name w:val="MiniTOCTitle"/>
    <w:basedOn w:val="Heading4"/>
    <w:rsid w:val="00267D12"/>
    <w:pPr>
      <w:spacing w:before="240"/>
      <w:outlineLvl w:val="9"/>
    </w:pPr>
    <w:rPr>
      <w:noProof/>
      <w:sz w:val="24"/>
    </w:rPr>
  </w:style>
  <w:style w:type="paragraph" w:customStyle="1" w:styleId="MiniTOCItem">
    <w:name w:val="MiniTOCItem"/>
    <w:basedOn w:val="ListBullet"/>
    <w:rsid w:val="00267D12"/>
    <w:pPr>
      <w:numPr>
        <w:numId w:val="0"/>
      </w:numPr>
      <w:tabs>
        <w:tab w:val="right" w:leader="dot" w:pos="6521"/>
      </w:tabs>
      <w:spacing w:before="0" w:after="0"/>
    </w:pPr>
  </w:style>
  <w:style w:type="paragraph" w:customStyle="1" w:styleId="TOFTitle">
    <w:name w:val="TOFTitle"/>
    <w:basedOn w:val="TOCTitle"/>
    <w:rsid w:val="00267D12"/>
  </w:style>
  <w:style w:type="paragraph" w:styleId="TableofFigures">
    <w:name w:val="table of figures"/>
    <w:basedOn w:val="Normal"/>
    <w:next w:val="Normal"/>
    <w:semiHidden/>
    <w:rsid w:val="00267D12"/>
    <w:pPr>
      <w:tabs>
        <w:tab w:val="right" w:leader="dot" w:pos="9072"/>
      </w:tabs>
      <w:ind w:left="970" w:hanging="403"/>
    </w:pPr>
    <w:rPr>
      <w:rFonts w:ascii="Times New Roman" w:hAnsi="Times New Roman"/>
      <w:b/>
    </w:rPr>
  </w:style>
  <w:style w:type="paragraph" w:styleId="ListNumber">
    <w:name w:val="List Number"/>
    <w:basedOn w:val="List"/>
    <w:rsid w:val="00267D12"/>
    <w:pPr>
      <w:numPr>
        <w:numId w:val="11"/>
      </w:numPr>
    </w:pPr>
  </w:style>
  <w:style w:type="character" w:customStyle="1" w:styleId="WingdingSymbols">
    <w:name w:val="Wingding Symbols"/>
    <w:rsid w:val="00267D12"/>
    <w:rPr>
      <w:rFonts w:ascii="Wingdings" w:hAnsi="Wingdings"/>
    </w:rPr>
  </w:style>
  <w:style w:type="paragraph" w:customStyle="1" w:styleId="TableHeading">
    <w:name w:val="Table Heading"/>
    <w:basedOn w:val="HeadingBase"/>
    <w:rsid w:val="00267D12"/>
    <w:pPr>
      <w:keepLines/>
      <w:pBdr>
        <w:bottom w:val="single" w:sz="6" w:space="1" w:color="918585"/>
      </w:pBdr>
      <w:spacing w:before="240"/>
    </w:pPr>
  </w:style>
  <w:style w:type="character" w:customStyle="1" w:styleId="HotSpot">
    <w:name w:val="HotSpot"/>
    <w:rsid w:val="00267D12"/>
    <w:rPr>
      <w:color w:val="0033CC"/>
      <w:u w:val="none"/>
    </w:rPr>
  </w:style>
  <w:style w:type="paragraph" w:customStyle="1" w:styleId="BodyTextRight">
    <w:name w:val="Body Text Right"/>
    <w:basedOn w:val="BodyText"/>
    <w:rsid w:val="00267D12"/>
    <w:pPr>
      <w:spacing w:before="0" w:after="0"/>
      <w:jc w:val="right"/>
    </w:pPr>
  </w:style>
  <w:style w:type="paragraph" w:styleId="Index3">
    <w:name w:val="index 3"/>
    <w:basedOn w:val="ListNumber2"/>
    <w:next w:val="Normal"/>
    <w:semiHidden/>
    <w:rsid w:val="00267D12"/>
    <w:pPr>
      <w:numPr>
        <w:numId w:val="0"/>
      </w:numPr>
      <w:tabs>
        <w:tab w:val="right" w:leader="dot" w:pos="4176"/>
      </w:tabs>
    </w:pPr>
  </w:style>
  <w:style w:type="paragraph" w:styleId="ListNumber2">
    <w:name w:val="List Number 2"/>
    <w:basedOn w:val="List2"/>
    <w:rsid w:val="00267D12"/>
    <w:pPr>
      <w:numPr>
        <w:numId w:val="10"/>
      </w:numPr>
      <w:tabs>
        <w:tab w:val="clear" w:pos="1060"/>
      </w:tabs>
    </w:pPr>
  </w:style>
  <w:style w:type="paragraph" w:customStyle="1" w:styleId="MarginNote">
    <w:name w:val="Margin Note"/>
    <w:basedOn w:val="BodyText"/>
    <w:rsid w:val="00267D1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67D1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67D1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67D12"/>
    <w:rPr>
      <w:sz w:val="32"/>
    </w:rPr>
  </w:style>
  <w:style w:type="paragraph" w:customStyle="1" w:styleId="HeadingProcedure">
    <w:name w:val="Heading Procedure"/>
    <w:basedOn w:val="HeadingBase"/>
    <w:next w:val="Normal"/>
    <w:rsid w:val="00267D12"/>
    <w:pPr>
      <w:tabs>
        <w:tab w:val="left" w:pos="0"/>
      </w:tabs>
      <w:spacing w:before="120" w:after="60"/>
    </w:pPr>
    <w:rPr>
      <w:i/>
      <w:color w:val="918585"/>
      <w:sz w:val="22"/>
    </w:rPr>
  </w:style>
  <w:style w:type="paragraph" w:customStyle="1" w:styleId="TableBodyText">
    <w:name w:val="Table Body Text"/>
    <w:basedOn w:val="BodyText"/>
    <w:rsid w:val="00267D12"/>
    <w:pPr>
      <w:spacing w:before="60" w:after="60"/>
    </w:pPr>
  </w:style>
  <w:style w:type="paragraph" w:styleId="ListContinue">
    <w:name w:val="List Continue"/>
    <w:basedOn w:val="List"/>
    <w:rsid w:val="00267D12"/>
    <w:pPr>
      <w:ind w:firstLine="0"/>
    </w:pPr>
  </w:style>
  <w:style w:type="paragraph" w:customStyle="1" w:styleId="ListNote">
    <w:name w:val="List Note"/>
    <w:basedOn w:val="List"/>
    <w:rsid w:val="00267D12"/>
    <w:pPr>
      <w:pBdr>
        <w:top w:val="single" w:sz="6" w:space="2" w:color="918585"/>
        <w:bottom w:val="single" w:sz="6" w:space="2" w:color="918585"/>
      </w:pBdr>
      <w:tabs>
        <w:tab w:val="left" w:pos="1021"/>
      </w:tabs>
      <w:ind w:firstLine="0"/>
    </w:pPr>
  </w:style>
  <w:style w:type="paragraph" w:customStyle="1" w:styleId="Warning">
    <w:name w:val="Warning"/>
    <w:basedOn w:val="BodyText"/>
    <w:rsid w:val="00267D12"/>
    <w:pPr>
      <w:shd w:val="clear" w:color="auto" w:fill="D9D9D9"/>
      <w:tabs>
        <w:tab w:val="left" w:pos="992"/>
      </w:tabs>
      <w:ind w:left="119" w:right="119"/>
    </w:pPr>
    <w:rPr>
      <w:sz w:val="20"/>
    </w:rPr>
  </w:style>
  <w:style w:type="paragraph" w:customStyle="1" w:styleId="MarginIcons">
    <w:name w:val="Margin Icons"/>
    <w:basedOn w:val="BodyText"/>
    <w:rsid w:val="00267D1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67D12"/>
    <w:rPr>
      <w:rFonts w:ascii="Courier New" w:hAnsi="Courier New"/>
    </w:rPr>
  </w:style>
  <w:style w:type="paragraph" w:customStyle="1" w:styleId="NoteBullet">
    <w:name w:val="Note Bullet"/>
    <w:basedOn w:val="Note"/>
    <w:rsid w:val="00267D12"/>
    <w:pPr>
      <w:tabs>
        <w:tab w:val="clear" w:pos="680"/>
      </w:tabs>
      <w:spacing w:before="60" w:after="60"/>
    </w:pPr>
  </w:style>
  <w:style w:type="paragraph" w:customStyle="1" w:styleId="SubHeading2">
    <w:name w:val="SubHeading2"/>
    <w:basedOn w:val="HeadingBase"/>
    <w:rsid w:val="00267D12"/>
    <w:pPr>
      <w:spacing w:before="240" w:after="60"/>
    </w:pPr>
    <w:rPr>
      <w:sz w:val="20"/>
    </w:rPr>
  </w:style>
  <w:style w:type="paragraph" w:customStyle="1" w:styleId="SubHeading1">
    <w:name w:val="SubHeading1"/>
    <w:basedOn w:val="HeadingBase"/>
    <w:rsid w:val="00267D12"/>
    <w:pPr>
      <w:spacing w:before="240" w:after="60"/>
    </w:pPr>
    <w:rPr>
      <w:color w:val="918585"/>
      <w:sz w:val="22"/>
    </w:rPr>
  </w:style>
  <w:style w:type="paragraph" w:customStyle="1" w:styleId="SideHeading">
    <w:name w:val="Side Heading"/>
    <w:basedOn w:val="HeadingBase"/>
    <w:rsid w:val="00267D1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67D12"/>
    <w:pPr>
      <w:numPr>
        <w:numId w:val="12"/>
      </w:numPr>
    </w:pPr>
  </w:style>
  <w:style w:type="paragraph" w:styleId="PlainText">
    <w:name w:val="Plain Text"/>
    <w:basedOn w:val="Normal"/>
    <w:link w:val="PlainTextChar"/>
    <w:rsid w:val="00267D12"/>
    <w:rPr>
      <w:sz w:val="20"/>
    </w:rPr>
  </w:style>
  <w:style w:type="character" w:customStyle="1" w:styleId="PlainTextChar">
    <w:name w:val="Plain Text Char"/>
    <w:basedOn w:val="DefaultParagraphFont"/>
    <w:link w:val="PlainText"/>
    <w:rsid w:val="00267D1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67D12"/>
    <w:rPr>
      <w:b/>
      <w:smallCaps/>
    </w:rPr>
  </w:style>
  <w:style w:type="paragraph" w:customStyle="1" w:styleId="TableListNumber">
    <w:name w:val="Table List Number"/>
    <w:basedOn w:val="ListNumber"/>
    <w:rsid w:val="00267D12"/>
    <w:pPr>
      <w:numPr>
        <w:numId w:val="0"/>
      </w:numPr>
    </w:pPr>
  </w:style>
  <w:style w:type="paragraph" w:styleId="TOC4">
    <w:name w:val="toc 4"/>
    <w:basedOn w:val="TOCBase"/>
    <w:next w:val="Normal"/>
    <w:semiHidden/>
    <w:rsid w:val="00267D12"/>
    <w:pPr>
      <w:tabs>
        <w:tab w:val="right" w:leader="dot" w:pos="9071"/>
      </w:tabs>
      <w:ind w:left="1701"/>
    </w:pPr>
  </w:style>
  <w:style w:type="paragraph" w:customStyle="1" w:styleId="ListAlpha">
    <w:name w:val="List Alpha"/>
    <w:basedOn w:val="List"/>
    <w:rsid w:val="00267D12"/>
    <w:pPr>
      <w:numPr>
        <w:numId w:val="9"/>
      </w:numPr>
    </w:pPr>
  </w:style>
  <w:style w:type="paragraph" w:customStyle="1" w:styleId="ListAlpha2">
    <w:name w:val="List Alpha 2"/>
    <w:basedOn w:val="List2"/>
    <w:rsid w:val="00267D12"/>
    <w:pPr>
      <w:numPr>
        <w:numId w:val="8"/>
      </w:numPr>
    </w:pPr>
  </w:style>
  <w:style w:type="paragraph" w:styleId="List2">
    <w:name w:val="List 2"/>
    <w:basedOn w:val="BodyText"/>
    <w:rsid w:val="00267D12"/>
    <w:pPr>
      <w:tabs>
        <w:tab w:val="left" w:pos="680"/>
      </w:tabs>
      <w:spacing w:before="60" w:after="60"/>
      <w:ind w:left="680" w:hanging="340"/>
    </w:pPr>
  </w:style>
  <w:style w:type="paragraph" w:styleId="List3">
    <w:name w:val="List 3"/>
    <w:basedOn w:val="BodyText"/>
    <w:rsid w:val="00267D12"/>
    <w:pPr>
      <w:tabs>
        <w:tab w:val="left" w:pos="1021"/>
      </w:tabs>
      <w:spacing w:before="60" w:after="60"/>
      <w:ind w:left="1020" w:hanging="340"/>
    </w:pPr>
  </w:style>
  <w:style w:type="paragraph" w:styleId="List4">
    <w:name w:val="List 4"/>
    <w:basedOn w:val="BodyText"/>
    <w:rsid w:val="00267D12"/>
    <w:pPr>
      <w:tabs>
        <w:tab w:val="left" w:pos="1361"/>
      </w:tabs>
      <w:spacing w:before="60" w:after="60"/>
      <w:ind w:left="1361" w:hanging="340"/>
    </w:pPr>
  </w:style>
  <w:style w:type="paragraph" w:styleId="List5">
    <w:name w:val="List 5"/>
    <w:basedOn w:val="BodyText"/>
    <w:rsid w:val="00267D12"/>
    <w:pPr>
      <w:tabs>
        <w:tab w:val="left" w:pos="1701"/>
      </w:tabs>
      <w:spacing w:before="60" w:after="60"/>
      <w:ind w:left="1701" w:hanging="340"/>
    </w:pPr>
  </w:style>
  <w:style w:type="paragraph" w:styleId="ListBullet3">
    <w:name w:val="List Bullet 3"/>
    <w:basedOn w:val="List3"/>
    <w:rsid w:val="00267D12"/>
    <w:pPr>
      <w:numPr>
        <w:numId w:val="15"/>
      </w:numPr>
      <w:tabs>
        <w:tab w:val="clear" w:pos="1021"/>
      </w:tabs>
      <w:ind w:left="1037" w:hanging="357"/>
    </w:pPr>
  </w:style>
  <w:style w:type="paragraph" w:styleId="ListBullet4">
    <w:name w:val="List Bullet 4"/>
    <w:basedOn w:val="List4"/>
    <w:rsid w:val="00267D12"/>
    <w:pPr>
      <w:numPr>
        <w:numId w:val="3"/>
      </w:numPr>
    </w:pPr>
  </w:style>
  <w:style w:type="paragraph" w:styleId="ListBullet5">
    <w:name w:val="List Bullet 5"/>
    <w:basedOn w:val="List5"/>
    <w:rsid w:val="00267D12"/>
    <w:pPr>
      <w:numPr>
        <w:numId w:val="4"/>
      </w:numPr>
    </w:pPr>
  </w:style>
  <w:style w:type="paragraph" w:styleId="ListContinue2">
    <w:name w:val="List Continue 2"/>
    <w:basedOn w:val="List2"/>
    <w:rsid w:val="00267D12"/>
    <w:pPr>
      <w:ind w:firstLine="0"/>
    </w:pPr>
  </w:style>
  <w:style w:type="paragraph" w:styleId="ListContinue3">
    <w:name w:val="List Continue 3"/>
    <w:basedOn w:val="List3"/>
    <w:rsid w:val="00267D12"/>
    <w:pPr>
      <w:ind w:left="1021" w:firstLine="0"/>
    </w:pPr>
  </w:style>
  <w:style w:type="paragraph" w:styleId="ListContinue4">
    <w:name w:val="List Continue 4"/>
    <w:basedOn w:val="List4"/>
    <w:rsid w:val="00267D12"/>
    <w:pPr>
      <w:ind w:firstLine="0"/>
    </w:pPr>
  </w:style>
  <w:style w:type="paragraph" w:styleId="ListContinue5">
    <w:name w:val="List Continue 5"/>
    <w:basedOn w:val="List5"/>
    <w:rsid w:val="00267D12"/>
    <w:pPr>
      <w:ind w:firstLine="0"/>
    </w:pPr>
  </w:style>
  <w:style w:type="paragraph" w:styleId="ListNumber3">
    <w:name w:val="List Number 3"/>
    <w:basedOn w:val="List3"/>
    <w:rsid w:val="00267D12"/>
    <w:pPr>
      <w:numPr>
        <w:numId w:val="5"/>
      </w:numPr>
    </w:pPr>
  </w:style>
  <w:style w:type="paragraph" w:styleId="ListNumber4">
    <w:name w:val="List Number 4"/>
    <w:basedOn w:val="List4"/>
    <w:rsid w:val="00267D12"/>
    <w:pPr>
      <w:numPr>
        <w:numId w:val="6"/>
      </w:numPr>
    </w:pPr>
  </w:style>
  <w:style w:type="paragraph" w:styleId="ListNumber5">
    <w:name w:val="List Number 5"/>
    <w:basedOn w:val="List5"/>
    <w:rsid w:val="00267D12"/>
    <w:pPr>
      <w:numPr>
        <w:numId w:val="7"/>
      </w:numPr>
    </w:pPr>
  </w:style>
  <w:style w:type="paragraph" w:styleId="BlockText">
    <w:name w:val="Block Text"/>
    <w:basedOn w:val="Normal"/>
    <w:rsid w:val="00267D12"/>
    <w:pPr>
      <w:spacing w:after="120"/>
      <w:ind w:left="1440" w:right="1440"/>
    </w:pPr>
  </w:style>
  <w:style w:type="character" w:customStyle="1" w:styleId="Subscript">
    <w:name w:val="Subscript"/>
    <w:basedOn w:val="DefaultParagraphFont"/>
    <w:rsid w:val="00267D12"/>
    <w:rPr>
      <w:sz w:val="16"/>
      <w:vertAlign w:val="subscript"/>
    </w:rPr>
  </w:style>
  <w:style w:type="character" w:customStyle="1" w:styleId="Superscript">
    <w:name w:val="Superscript"/>
    <w:basedOn w:val="DefaultParagraphFont"/>
    <w:rsid w:val="00267D12"/>
    <w:rPr>
      <w:sz w:val="16"/>
      <w:vertAlign w:val="superscript"/>
    </w:rPr>
  </w:style>
  <w:style w:type="character" w:customStyle="1" w:styleId="Symbols">
    <w:name w:val="Symbols"/>
    <w:basedOn w:val="DefaultParagraphFont"/>
    <w:rsid w:val="00267D12"/>
    <w:rPr>
      <w:rFonts w:ascii="Symbol" w:hAnsi="Symbol"/>
    </w:rPr>
  </w:style>
  <w:style w:type="character" w:customStyle="1" w:styleId="MenuOptions">
    <w:name w:val="Menu Options"/>
    <w:basedOn w:val="DefaultParagraphFont"/>
    <w:rsid w:val="00267D12"/>
    <w:rPr>
      <w:rFonts w:ascii="Arial Narrow" w:hAnsi="Arial Narrow"/>
      <w:smallCaps/>
    </w:rPr>
  </w:style>
  <w:style w:type="character" w:customStyle="1" w:styleId="Buttons">
    <w:name w:val="Buttons"/>
    <w:basedOn w:val="DefaultParagraphFont"/>
    <w:rsid w:val="00267D12"/>
    <w:rPr>
      <w:b/>
    </w:rPr>
  </w:style>
  <w:style w:type="character" w:customStyle="1" w:styleId="Underlined">
    <w:name w:val="Underlined"/>
    <w:basedOn w:val="DefaultParagraphFont"/>
    <w:rsid w:val="00267D12"/>
    <w:rPr>
      <w:u w:val="single"/>
    </w:rPr>
  </w:style>
  <w:style w:type="paragraph" w:customStyle="1" w:styleId="TableBodyTextRight">
    <w:name w:val="Table Body Text Right"/>
    <w:basedOn w:val="TableBodyText"/>
    <w:rsid w:val="00267D12"/>
    <w:pPr>
      <w:widowControl w:val="0"/>
      <w:autoSpaceDE w:val="0"/>
      <w:autoSpaceDN w:val="0"/>
      <w:adjustRightInd w:val="0"/>
      <w:jc w:val="right"/>
    </w:pPr>
    <w:rPr>
      <w:rFonts w:cs="Arial"/>
      <w:szCs w:val="18"/>
    </w:rPr>
  </w:style>
  <w:style w:type="paragraph" w:customStyle="1" w:styleId="CopyrightText">
    <w:name w:val="Copyright Text"/>
    <w:basedOn w:val="BodyText"/>
    <w:rsid w:val="00267D12"/>
    <w:rPr>
      <w:sz w:val="18"/>
    </w:rPr>
  </w:style>
  <w:style w:type="paragraph" w:customStyle="1" w:styleId="BodySmallRight">
    <w:name w:val="Body Small Right"/>
    <w:basedOn w:val="BodyTextRight"/>
    <w:rsid w:val="00267D12"/>
    <w:rPr>
      <w:sz w:val="18"/>
      <w:szCs w:val="18"/>
    </w:rPr>
  </w:style>
  <w:style w:type="paragraph" w:customStyle="1" w:styleId="MarginEdition">
    <w:name w:val="Margin Edition"/>
    <w:basedOn w:val="MarginNote"/>
    <w:rsid w:val="00267D12"/>
    <w:pPr>
      <w:spacing w:before="0" w:after="0"/>
    </w:pPr>
    <w:rPr>
      <w:rFonts w:ascii="Times New Roman" w:hAnsi="Times New Roman"/>
      <w:color w:val="999999"/>
    </w:rPr>
  </w:style>
  <w:style w:type="paragraph" w:customStyle="1" w:styleId="Spacer">
    <w:name w:val="Spacer"/>
    <w:basedOn w:val="Normal"/>
    <w:rsid w:val="00267D12"/>
    <w:rPr>
      <w:sz w:val="2"/>
      <w:szCs w:val="2"/>
    </w:rPr>
  </w:style>
  <w:style w:type="character" w:customStyle="1" w:styleId="Small">
    <w:name w:val="Small"/>
    <w:basedOn w:val="DefaultParagraphFont"/>
    <w:rsid w:val="00267D12"/>
    <w:rPr>
      <w:sz w:val="16"/>
    </w:rPr>
  </w:style>
  <w:style w:type="paragraph" w:customStyle="1" w:styleId="WideTable">
    <w:name w:val="Wide Table"/>
    <w:basedOn w:val="Normal"/>
    <w:rsid w:val="00267D12"/>
    <w:pPr>
      <w:ind w:left="-1418"/>
    </w:pPr>
    <w:rPr>
      <w:sz w:val="2"/>
      <w:szCs w:val="2"/>
    </w:rPr>
  </w:style>
  <w:style w:type="character" w:styleId="PageNumber">
    <w:name w:val="page number"/>
    <w:basedOn w:val="DefaultParagraphFont"/>
    <w:rsid w:val="00267D12"/>
  </w:style>
  <w:style w:type="paragraph" w:styleId="Quote">
    <w:name w:val="Quote"/>
    <w:basedOn w:val="Heading1"/>
    <w:link w:val="QuoteChar"/>
    <w:qFormat/>
    <w:rsid w:val="00267D12"/>
    <w:rPr>
      <w:b w:val="0"/>
      <w:sz w:val="72"/>
      <w:szCs w:val="72"/>
      <w:lang w:val="en-NZ"/>
    </w:rPr>
  </w:style>
  <w:style w:type="character" w:customStyle="1" w:styleId="QuoteChar">
    <w:name w:val="Quote Char"/>
    <w:basedOn w:val="DefaultParagraphFont"/>
    <w:link w:val="Quote"/>
    <w:rsid w:val="00267D1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67D12"/>
    <w:pPr>
      <w:pageBreakBefore/>
    </w:pPr>
  </w:style>
  <w:style w:type="paragraph" w:customStyle="1" w:styleId="Border">
    <w:name w:val="Border"/>
    <w:basedOn w:val="Normal"/>
    <w:qFormat/>
    <w:rsid w:val="00267D1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67D12"/>
    <w:rPr>
      <w:b/>
      <w:bCs/>
      <w:i/>
      <w:iCs/>
      <w:color w:val="auto"/>
    </w:rPr>
  </w:style>
  <w:style w:type="paragraph" w:styleId="IntenseQuote">
    <w:name w:val="Intense Quote"/>
    <w:basedOn w:val="Normal"/>
    <w:next w:val="Normal"/>
    <w:link w:val="IntenseQuoteChar"/>
    <w:uiPriority w:val="30"/>
    <w:qFormat/>
    <w:rsid w:val="00267D1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67D1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67D12"/>
    <w:rPr>
      <w:smallCaps/>
      <w:color w:val="auto"/>
      <w:u w:val="single"/>
    </w:rPr>
  </w:style>
  <w:style w:type="character" w:styleId="IntenseReference">
    <w:name w:val="Intense Reference"/>
    <w:basedOn w:val="DefaultParagraphFont"/>
    <w:uiPriority w:val="32"/>
    <w:qFormat/>
    <w:rsid w:val="00267D12"/>
    <w:rPr>
      <w:b/>
      <w:bCs/>
      <w:smallCaps/>
      <w:color w:val="auto"/>
      <w:spacing w:val="5"/>
      <w:u w:val="single"/>
    </w:rPr>
  </w:style>
  <w:style w:type="paragraph" w:customStyle="1" w:styleId="2ColumnHeading">
    <w:name w:val="2Column Heading"/>
    <w:basedOn w:val="BodyText"/>
    <w:qFormat/>
    <w:rsid w:val="00267D12"/>
    <w:pPr>
      <w:spacing w:after="60"/>
      <w:ind w:left="-2268"/>
    </w:pPr>
    <w:rPr>
      <w:b/>
    </w:rPr>
  </w:style>
  <w:style w:type="paragraph" w:customStyle="1" w:styleId="Heading1TOC">
    <w:name w:val="Heading1 TOC"/>
    <w:basedOn w:val="Normal"/>
    <w:qFormat/>
    <w:rsid w:val="00267D12"/>
    <w:pPr>
      <w:spacing w:before="240" w:after="120"/>
    </w:pPr>
    <w:rPr>
      <w:rFonts w:ascii="Times New Roman" w:hAnsi="Times New Roman"/>
      <w:b/>
      <w:sz w:val="32"/>
    </w:rPr>
  </w:style>
  <w:style w:type="paragraph" w:customStyle="1" w:styleId="Heading2TOC">
    <w:name w:val="Heading2 TOC"/>
    <w:basedOn w:val="Normal"/>
    <w:qFormat/>
    <w:rsid w:val="00267D12"/>
    <w:pPr>
      <w:spacing w:before="240" w:after="60"/>
    </w:pPr>
    <w:rPr>
      <w:rFonts w:ascii="Times New Roman" w:hAnsi="Times New Roman"/>
      <w:b/>
      <w:sz w:val="28"/>
    </w:rPr>
  </w:style>
  <w:style w:type="character" w:customStyle="1" w:styleId="Underline">
    <w:name w:val="Underline"/>
    <w:basedOn w:val="DefaultParagraphFont"/>
    <w:qFormat/>
    <w:rsid w:val="00267D12"/>
    <w:rPr>
      <w:u w:val="single"/>
    </w:rPr>
  </w:style>
  <w:style w:type="character" w:customStyle="1" w:styleId="BoldandItalics">
    <w:name w:val="Bold and Italics"/>
    <w:qFormat/>
    <w:rsid w:val="00267D12"/>
    <w:rPr>
      <w:b/>
      <w:i/>
      <w:u w:val="none"/>
    </w:rPr>
  </w:style>
  <w:style w:type="paragraph" w:styleId="BalloonText">
    <w:name w:val="Balloon Text"/>
    <w:basedOn w:val="Normal"/>
    <w:link w:val="BalloonTextChar"/>
    <w:rsid w:val="00267D12"/>
    <w:rPr>
      <w:rFonts w:ascii="Tahoma" w:hAnsi="Tahoma" w:cs="Tahoma"/>
      <w:sz w:val="16"/>
      <w:szCs w:val="16"/>
    </w:rPr>
  </w:style>
  <w:style w:type="character" w:customStyle="1" w:styleId="BalloonTextChar">
    <w:name w:val="Balloon Text Char"/>
    <w:basedOn w:val="DefaultParagraphFont"/>
    <w:link w:val="BalloonText"/>
    <w:rsid w:val="00267D1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67D1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67D1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2333</Words>
  <Characters>14350</Characters>
  <Application>Microsoft Office Word</Application>
  <DocSecurity>0</DocSecurity>
  <Lines>512</Lines>
  <Paragraphs>238</Paragraphs>
  <ScaleCrop>false</ScaleCrop>
  <Company>Author-it Software Corporation Ltd.</Company>
  <LinksUpToDate>false</LinksUpToDate>
  <CharactersWithSpaces>16445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UETTDRRF10A Provide first aid in an ESI environment</dc:title>
  <dc:subject>Approved</dc:subject>
  <dc:creator>EE-Oz Training Standards</dc:creator>
  <cp:keywords>Release: 1</cp:keywords>
  <dc:description>Copyright © 1996-2007 Author-it Software Corporation Ltd., all rights reserved.</dc:description>
  <cp:lastModifiedBy>Windows User</cp:lastModifiedBy>
  <cp:revision>3</cp:revision>
  <dcterms:created xsi:type="dcterms:W3CDTF">2012-05-26T12:16:00Z</dcterms:created>
  <dcterms:modified xsi:type="dcterms:W3CDTF">2012-05-26T12:16:00Z</dcterms:modified>
</cp:coreProperties>
</file>