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C1A" w:rsidP="00362C1A">
      <w:pPr>
        <w:pStyle w:val="Title"/>
      </w:pPr>
      <w:r>
        <w:fldChar w:fldCharType="begin"/>
      </w:r>
      <w:r>
        <w:instrText xml:space="preserve"> TITLE   \* MERGEFORMAT </w:instrText>
      </w:r>
      <w:r>
        <w:fldChar w:fldCharType="separate"/>
      </w:r>
      <w:r>
        <w:t>UETTDRRF06A Perform rescue from a live LV panel</w:t>
      </w:r>
      <w:r>
        <w:fldChar w:fldCharType="end"/>
      </w:r>
    </w:p>
    <w:p w:rsidR="00362C1A" w:rsidP="00362C1A">
      <w:pPr>
        <w:pStyle w:val="Version"/>
        <w:sectPr w:rsidSect="003E61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1B0" w:rsidP="003E61B0">
      <w:pPr>
        <w:pStyle w:val="SuperHeading"/>
      </w:pPr>
      <w:r w:rsidRPr="003E61B0">
        <w:t>UETTDRRF06A Perform rescue from a live LV panel</w:t>
      </w:r>
    </w:p>
    <w:p w:rsidR="00000000" w:rsidRPr="003E61B0" w:rsidP="003E61B0">
      <w:pPr>
        <w:pStyle w:val="Heading1"/>
      </w:pPr>
      <w:bookmarkStart w:id="1" w:name="O_275500"/>
      <w:bookmarkEnd w:id="1"/>
      <w:r w:rsidRPr="003E61B0">
        <w:t>Modification History</w:t>
      </w:r>
    </w:p>
    <w:p w:rsidR="00000000" w:rsidRPr="003E61B0" w:rsidP="003E61B0">
      <w:pPr>
        <w:pStyle w:val="BodyText"/>
      </w:pPr>
      <w:r w:rsidRPr="003E61B0">
        <w:t>Not Applicable</w:t>
      </w:r>
    </w:p>
    <w:p w:rsidR="00000000" w:rsidRPr="003E61B0" w:rsidP="003E61B0">
      <w:pPr>
        <w:pStyle w:val="AllowPageBreak"/>
      </w:pPr>
    </w:p>
    <w:p w:rsidR="00000000" w:rsidRPr="003E61B0" w:rsidP="003E61B0">
      <w:pPr>
        <w:pStyle w:val="Heading1"/>
      </w:pPr>
      <w:bookmarkStart w:id="2" w:name="O_231648"/>
      <w:bookmarkEnd w:id="2"/>
      <w:r w:rsidRPr="003E61B0">
        <w:t>Unit Descriptor</w:t>
      </w:r>
    </w:p>
    <w:tbl>
      <w:tblPr>
        <w:tblW w:w="0" w:type="auto"/>
        <w:tblLayout w:type="fixed"/>
        <w:tblCellMar>
          <w:left w:w="62" w:type="dxa"/>
          <w:right w:w="62" w:type="dxa"/>
        </w:tblCellMar>
        <w:tblLook w:val="0000"/>
      </w:tblPr>
      <w:tblGrid>
        <w:gridCol w:w="2700"/>
        <w:gridCol w:w="5760"/>
      </w:tblGrid>
      <w:tr w:rsidTr="00362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 xml:space="preserve">1) </w:t>
            </w:r>
          </w:p>
          <w:p w:rsidR="00000000" w:rsidP="003E61B0">
            <w:pPr>
              <w:pStyle w:val="BodyText"/>
              <w:rPr>
                <w:lang w:val="en-NZ"/>
              </w:rPr>
            </w:pPr>
            <w:r w:rsidRPr="003E61B0">
              <w:t>1.1) Descriptor</w:t>
            </w:r>
          </w:p>
        </w:tc>
      </w:tr>
      <w:tr w:rsidTr="00362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This Competency Standard Unit covers the performance of rescue procedures from live LV apparatus, not including overhead lines and underground cables in the work place. It specifies the mandatory requirements of rescue from a live LV panel and how they app</w:t>
            </w:r>
            <w:r w:rsidRPr="003E61B0">
              <w:t>ly in the context of transmission, distribution or rail work functions. It encompasses responsibilities for, health, safety and risk management processes at all operative levels and adherence to safety practices as part of the normal way of doing work.</w:t>
            </w:r>
          </w:p>
        </w:tc>
      </w:tr>
    </w:tbl>
    <w:p w:rsidR="00362C1A" w:rsidP="003E61B0">
      <w:pPr>
        <w:pStyle w:val="BodyText"/>
      </w:pPr>
    </w:p>
    <w:p w:rsidR="00362C1A" w:rsidP="003E61B0">
      <w:pPr>
        <w:pStyle w:val="BodyText"/>
      </w:pPr>
    </w:p>
    <w:p w:rsidR="00000000" w:rsidRPr="003E61B0" w:rsidP="003E61B0">
      <w:pPr>
        <w:pStyle w:val="Heading1"/>
      </w:pPr>
      <w:bookmarkStart w:id="3" w:name="O_231653"/>
      <w:bookmarkEnd w:id="3"/>
      <w:r w:rsidRPr="003E61B0">
        <w:t>Application of the Unit</w:t>
      </w:r>
    </w:p>
    <w:tbl>
      <w:tblPr>
        <w:tblW w:w="0" w:type="auto"/>
        <w:tblLayout w:type="fixed"/>
        <w:tblCellMar>
          <w:left w:w="62" w:type="dxa"/>
          <w:right w:w="62" w:type="dxa"/>
        </w:tblCellMar>
        <w:tblLook w:val="0000"/>
      </w:tblPr>
      <w:tblGrid>
        <w:gridCol w:w="2700"/>
        <w:gridCol w:w="5760"/>
      </w:tblGrid>
      <w:tr w:rsidTr="00362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4)</w:t>
            </w:r>
          </w:p>
        </w:tc>
      </w:tr>
      <w:tr w:rsidTr="00362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 xml:space="preserve">This competency standard unit shall be selected as part of an endorsed skill set for the purposes of refresher training and/or to meet regulatory and/or network requirements. </w:t>
            </w:r>
          </w:p>
          <w:p w:rsidR="00000000" w:rsidRPr="003E61B0" w:rsidP="003E61B0">
            <w:pPr>
              <w:pStyle w:val="BodyText"/>
            </w:pPr>
            <w:r w:rsidRPr="003E61B0">
              <w:t>Delivery a</w:t>
            </w:r>
            <w:r w:rsidRPr="003E61B0">
              <w:t>nd assessment of this unit should be undertaken within regard to the requirements of License to Practice (1.2 above), Prerequisite Competencies and Literacy and Numeracy skills (2 above) and the  recommendations for concurrent assessment and relationship w</w:t>
            </w:r>
            <w:r w:rsidRPr="003E61B0">
              <w:t>ith other units (9.5 below).</w:t>
            </w:r>
          </w:p>
          <w:p w:rsidR="00000000" w:rsidRPr="003E61B0" w:rsidP="003E61B0">
            <w:pPr>
              <w:pStyle w:val="BodyText"/>
            </w:pPr>
            <w:r w:rsidRPr="003E61B0">
              <w:t>Practice in the workplace and during training is also subject to regulations directly related to occupational health and safety and where applicable contracts of training such as apprenticeships.</w:t>
            </w:r>
          </w:p>
          <w:p w:rsidR="00000000" w:rsidRPr="003E61B0" w:rsidP="003E61B0">
            <w:pPr>
              <w:pStyle w:val="BodyText"/>
            </w:pPr>
            <w:r w:rsidRPr="003E61B0">
              <w:t xml:space="preserve">Note: </w:t>
            </w:r>
          </w:p>
          <w:p w:rsidR="00000000" w:rsidRPr="003E61B0" w:rsidP="003E61B0">
            <w:pPr>
              <w:pStyle w:val="BodyText"/>
            </w:pPr>
            <w:r w:rsidRPr="003E61B0">
              <w:t xml:space="preserve">1. Compliance with permits may be required in various </w:t>
            </w:r>
            <w:r w:rsidRPr="003E61B0">
              <w:t>jurisdictions and typically relates to the operation of plant, machinery and equipment such as elevating work platforms, powder operated fixing tools, power operated tools, vehicles, road signage and tr</w:t>
            </w:r>
            <w:r w:rsidRPr="003E61B0">
              <w:t>affic control and lifting equipment. Permits may also be required for some work environments such as confined spaces, working aloft, near live electrical apparatus and site rehabilitation.</w:t>
            </w:r>
          </w:p>
          <w:p w:rsidR="00000000" w:rsidRPr="003E61B0" w:rsidP="003E61B0">
            <w:pPr>
              <w:pStyle w:val="BodyText"/>
            </w:pPr>
            <w:r w:rsidRPr="003E61B0">
              <w:t xml:space="preserve">2. Compliance may be required in various jurisdictions relating to </w:t>
            </w:r>
            <w:r w:rsidRPr="003E61B0">
              <w:t>currency in First Aid, confined space, lifting, risk safety measures etc</w:t>
            </w:r>
          </w:p>
        </w:tc>
      </w:tr>
    </w:tbl>
    <w:p w:rsidR="00362C1A" w:rsidP="003E61B0">
      <w:pPr>
        <w:pStyle w:val="BodyText"/>
      </w:pPr>
    </w:p>
    <w:p w:rsidR="00362C1A" w:rsidP="003E61B0">
      <w:pPr>
        <w:pStyle w:val="BodyText"/>
      </w:pPr>
    </w:p>
    <w:p w:rsidR="00000000" w:rsidRPr="003E61B0" w:rsidP="003E61B0">
      <w:pPr>
        <w:pStyle w:val="Heading1"/>
      </w:pPr>
      <w:bookmarkStart w:id="4" w:name="O_231649"/>
      <w:bookmarkEnd w:id="4"/>
      <w:r w:rsidRPr="003E61B0">
        <w:t>Licensing/Regulatory Information</w:t>
      </w:r>
    </w:p>
    <w:tbl>
      <w:tblPr>
        <w:tblW w:w="0" w:type="auto"/>
        <w:tblLayout w:type="fixed"/>
        <w:tblCellMar>
          <w:left w:w="62" w:type="dxa"/>
          <w:right w:w="62" w:type="dxa"/>
        </w:tblCellMar>
        <w:tblLook w:val="0000"/>
      </w:tblPr>
      <w:tblGrid>
        <w:gridCol w:w="8460"/>
      </w:tblGrid>
      <w:tr w:rsidTr="00362C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1.2) License to practice</w:t>
            </w:r>
          </w:p>
        </w:tc>
      </w:tr>
      <w:tr w:rsidTr="00362C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The skills and knowledge described in this unit may require a licence/registration to practice in the wo</w:t>
            </w:r>
            <w:r w:rsidRPr="003E61B0">
              <w:t>rk place subject to regulations for undertaking of electrical work. Practice in workplace and during training is also subject to regulations directly related to Occupational Health and Safety, electricity/telecommunications/gas/water industry safety and co</w:t>
            </w:r>
            <w:r w:rsidRPr="003E61B0">
              <w:t>mpliance, environmental protection, anti discrimination and training. Commonwealth, State/Territory or Local Government legislation and regulations may exist that limits the age of operating certain equipment.</w:t>
            </w:r>
          </w:p>
          <w:p w:rsidR="00000000" w:rsidRPr="003E61B0" w:rsidP="003E61B0">
            <w:pPr>
              <w:pStyle w:val="BodyText"/>
            </w:pPr>
            <w:r w:rsidRPr="003E61B0">
              <w:t>ESI employees are required to maintain currenc</w:t>
            </w:r>
            <w:r w:rsidRPr="003E61B0">
              <w:t>y in this Unit for authorisation/approval to work on ESI Networks.</w:t>
            </w:r>
          </w:p>
        </w:tc>
      </w:tr>
    </w:tbl>
    <w:p w:rsidR="00362C1A" w:rsidP="003E61B0">
      <w:pPr>
        <w:pStyle w:val="BodyText"/>
      </w:pPr>
    </w:p>
    <w:p w:rsidR="00362C1A" w:rsidP="003E61B0">
      <w:pPr>
        <w:pStyle w:val="BodyText"/>
      </w:pPr>
    </w:p>
    <w:p w:rsidR="00000000" w:rsidRPr="003E61B0" w:rsidP="003E61B0">
      <w:pPr>
        <w:pStyle w:val="Heading1"/>
      </w:pPr>
      <w:bookmarkStart w:id="5" w:name="O_231650"/>
      <w:bookmarkEnd w:id="5"/>
      <w:r w:rsidRPr="003E61B0">
        <w:t>Pre-Requisites</w:t>
      </w:r>
    </w:p>
    <w:tbl>
      <w:tblPr>
        <w:tblW w:w="0" w:type="auto"/>
        <w:tblLayout w:type="fixed"/>
        <w:tblCellMar>
          <w:left w:w="62" w:type="dxa"/>
          <w:right w:w="62" w:type="dxa"/>
        </w:tblCellMar>
        <w:tblLook w:val="0000"/>
      </w:tblPr>
      <w:tblGrid>
        <w:gridCol w:w="2700"/>
        <w:gridCol w:w="5760"/>
      </w:tblGrid>
      <w:tr w:rsidTr="00362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Prerequisite Unit</w:t>
            </w:r>
            <w:r w:rsidRPr="003E61B0">
              <w:t>(</w:t>
            </w:r>
            <w:r w:rsidRPr="003E61B0">
              <w:rPr>
                <w:rStyle w:val="SpecialBold"/>
              </w:rPr>
              <w:t>s</w:t>
            </w:r>
            <w:r w:rsidRPr="003E61B0">
              <w:t>)</w:t>
            </w:r>
          </w:p>
        </w:tc>
        <w:tc>
          <w:tcPr>
            <w:tcW w:w="57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 xml:space="preserve">2) </w:t>
            </w:r>
          </w:p>
        </w:tc>
      </w:tr>
      <w:tr w:rsidTr="00362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2.1) Competencies</w:t>
            </w:r>
          </w:p>
        </w:tc>
      </w:tr>
      <w:tr w:rsidTr="00362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Granting of competency in this unit shall be made only after competency in the following unit(s) has/have been confirmed:</w:t>
            </w:r>
          </w:p>
        </w:tc>
      </w:tr>
      <w:tr w:rsidTr="00362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HLTCPR201A - Perform CPR</w:t>
            </w:r>
          </w:p>
        </w:tc>
      </w:tr>
    </w:tbl>
    <w:p w:rsidR="00362C1A" w:rsidP="003E61B0">
      <w:pPr>
        <w:pStyle w:val="BodyText"/>
      </w:pPr>
    </w:p>
    <w:p w:rsidR="00362C1A" w:rsidP="003E61B0">
      <w:pPr>
        <w:pStyle w:val="BodyText"/>
      </w:pPr>
    </w:p>
    <w:p w:rsidR="00000000" w:rsidRPr="003E61B0" w:rsidP="003E61B0">
      <w:pPr>
        <w:pStyle w:val="Heading1"/>
      </w:pPr>
      <w:bookmarkStart w:id="6" w:name="O_231652"/>
      <w:bookmarkEnd w:id="6"/>
      <w:r w:rsidRPr="003E61B0">
        <w:t>Employability Skills Information</w:t>
      </w:r>
    </w:p>
    <w:tbl>
      <w:tblPr>
        <w:tblW w:w="0" w:type="auto"/>
        <w:tblLayout w:type="fixed"/>
        <w:tblCellMar>
          <w:left w:w="62" w:type="dxa"/>
          <w:right w:w="62" w:type="dxa"/>
        </w:tblCellMar>
        <w:tblLook w:val="0000"/>
      </w:tblPr>
      <w:tblGrid>
        <w:gridCol w:w="2700"/>
        <w:gridCol w:w="5760"/>
      </w:tblGrid>
      <w:tr w:rsidTr="00362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3)</w:t>
            </w:r>
          </w:p>
          <w:p w:rsidR="00000000" w:rsidRPr="003E61B0" w:rsidP="003E61B0">
            <w:pPr>
              <w:pStyle w:val="BodyText"/>
            </w:pPr>
            <w:r w:rsidRPr="003E61B0">
              <w:t>This unit contains employabili</w:t>
            </w:r>
            <w:r w:rsidRPr="003E61B0">
              <w:t>ty skills.</w:t>
            </w:r>
          </w:p>
        </w:tc>
      </w:tr>
    </w:tbl>
    <w:p w:rsidR="00362C1A" w:rsidP="003E61B0">
      <w:pPr>
        <w:pStyle w:val="BodyText"/>
      </w:pPr>
    </w:p>
    <w:p w:rsidR="00362C1A" w:rsidP="003E61B0">
      <w:pPr>
        <w:pStyle w:val="BodyText"/>
      </w:pPr>
    </w:p>
    <w:p w:rsidR="00000000" w:rsidRPr="003E61B0" w:rsidP="003E61B0">
      <w:pPr>
        <w:pStyle w:val="Heading1"/>
      </w:pPr>
      <w:bookmarkStart w:id="7" w:name="O_293546"/>
      <w:bookmarkEnd w:id="7"/>
      <w:r w:rsidRPr="003E61B0">
        <w:t>Elements and Performance Criteria Pre-Content</w:t>
      </w:r>
    </w:p>
    <w:tbl>
      <w:tblPr>
        <w:tblW w:w="0" w:type="auto"/>
        <w:tblLayout w:type="fixed"/>
        <w:tblCellMar>
          <w:left w:w="62" w:type="dxa"/>
          <w:right w:w="62" w:type="dxa"/>
        </w:tblCellMar>
        <w:tblLook w:val="0000"/>
      </w:tblPr>
      <w:tblGrid>
        <w:gridCol w:w="2700"/>
        <w:gridCol w:w="5760"/>
      </w:tblGrid>
      <w:tr w:rsidTr="00362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6</w:t>
            </w:r>
            <w:r w:rsidRPr="003E61B0">
              <w:t xml:space="preserve">) </w:t>
            </w:r>
            <w:r w:rsidRPr="003E61B0">
              <w:rPr>
                <w:rStyle w:val="SpecialBold"/>
              </w:rPr>
              <w:t>Elements</w:t>
            </w:r>
            <w:r w:rsidRPr="003E61B0">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Performance Criteria describe the required performance needed to demonstrate achievement of the element. Assessment of performance is to be consistent with the evidence guide.</w:t>
            </w:r>
          </w:p>
        </w:tc>
      </w:tr>
    </w:tbl>
    <w:p w:rsidR="00000000" w:rsidRPr="003E61B0" w:rsidP="003E61B0">
      <w:pPr>
        <w:pStyle w:val="BodyText"/>
      </w:pPr>
    </w:p>
    <w:p w:rsidR="00000000" w:rsidRPr="003E61B0" w:rsidP="003E61B0">
      <w:pPr>
        <w:pStyle w:val="AllowPageBreak"/>
      </w:pPr>
    </w:p>
    <w:p w:rsidR="00000000" w:rsidRPr="003E61B0" w:rsidP="003E61B0">
      <w:pPr>
        <w:pStyle w:val="Heading1"/>
      </w:pPr>
      <w:bookmarkStart w:id="8" w:name="O_240214"/>
      <w:bookmarkEnd w:id="8"/>
      <w:r w:rsidRPr="003E61B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2C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PERFORMANCE CRITER</w:t>
            </w:r>
            <w:r w:rsidRPr="003E61B0">
              <w:rPr>
                <w:rStyle w:val="SpecialBold"/>
              </w:rPr>
              <w:t>IA</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1</w:t>
            </w:r>
          </w:p>
        </w:tc>
        <w:tc>
          <w:tcPr>
            <w:tcW w:w="2296"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Prepare to perform rescue procedures from live LV panel</w:t>
            </w: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1.1</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Instruction in hazards and risk control measures for specific work functions and work areas are identified and obtained.</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1.2</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Electricit</w:t>
            </w:r>
            <w:r w:rsidRPr="003E61B0">
              <w:t>y isolation point is identified and labelled where appropriate.</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1.3</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Tools and equipment needed for a rescue are checked for safety, functionality and placed in an accessible location according to established procedures.</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2</w:t>
            </w:r>
          </w:p>
        </w:tc>
        <w:tc>
          <w:tcPr>
            <w:tcW w:w="2296" w:type="dxa"/>
            <w:vMerge w:val="restart"/>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Carry out rescue from live LV panel</w:t>
            </w: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2.1</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Workplace procedures and work instructions for controlling risk are followed.</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2.2</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Workplace procedures for accessing and isolating the LV panel are followed.</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2.3</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Workplace procedures for removing the victim, where necessary, from contact with live apparatus are followed.</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2.4</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 xml:space="preserve">Workplace procedures for applying CPR at the worksite and where required, treatment by </w:t>
            </w:r>
            <w:r w:rsidRPr="003E61B0">
              <w:t>medical professionals are followed.</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2.5</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Hazards a</w:t>
            </w:r>
            <w:r w:rsidRPr="003E61B0">
              <w:t>re controlled and monitored through active participation in consultation with employer and other employees.</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2.6</w:t>
            </w:r>
          </w:p>
        </w:tc>
        <w:tc>
          <w:tcPr>
            <w:tcW w:w="48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The worksite is secured and entry controlled until appropriate authorities inspect and release the site.</w:t>
            </w:r>
          </w:p>
        </w:tc>
      </w:tr>
      <w:tr w:rsidTr="00362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3</w:t>
            </w:r>
          </w:p>
        </w:tc>
        <w:tc>
          <w:tcPr>
            <w:tcW w:w="2296"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Complete the LV panel rescue procedure</w:t>
            </w:r>
          </w:p>
        </w:tc>
        <w:tc>
          <w:tcPr>
            <w:tcW w:w="9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3.1</w:t>
            </w:r>
          </w:p>
        </w:tc>
        <w:tc>
          <w:tcPr>
            <w:tcW w:w="48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Processes for reporting accidents and/or incidents to authorised personnel are confirmed in accordance with established procedures.</w:t>
            </w:r>
          </w:p>
        </w:tc>
      </w:tr>
    </w:tbl>
    <w:p w:rsidR="00362C1A" w:rsidP="003E61B0">
      <w:pPr>
        <w:pStyle w:val="BodyText"/>
      </w:pPr>
    </w:p>
    <w:p w:rsidR="00362C1A" w:rsidP="003E61B0">
      <w:pPr>
        <w:pStyle w:val="BodyText"/>
      </w:pPr>
    </w:p>
    <w:p w:rsidR="00000000" w:rsidRPr="003E61B0" w:rsidP="003E61B0">
      <w:pPr>
        <w:pStyle w:val="Heading1"/>
      </w:pPr>
      <w:bookmarkStart w:id="9" w:name="O_264005"/>
      <w:bookmarkEnd w:id="9"/>
      <w:r w:rsidRPr="003E61B0">
        <w:t>Required Skills and Knowledge</w:t>
      </w:r>
    </w:p>
    <w:tbl>
      <w:tblPr>
        <w:tblW w:w="0" w:type="auto"/>
        <w:tblLayout w:type="fixed"/>
        <w:tblCellMar>
          <w:left w:w="62" w:type="dxa"/>
          <w:right w:w="62" w:type="dxa"/>
        </w:tblCellMar>
        <w:tblLook w:val="0000"/>
      </w:tblPr>
      <w:tblGrid>
        <w:gridCol w:w="2700"/>
        <w:gridCol w:w="1080"/>
        <w:gridCol w:w="4680"/>
      </w:tblGrid>
      <w:tr w:rsidTr="00362C1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REQUIRED SKILLS AND KNOWLEDGE</w:t>
            </w:r>
          </w:p>
        </w:tc>
      </w:tr>
      <w:tr w:rsidTr="00362C1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7</w:t>
            </w:r>
            <w:r w:rsidRPr="003E61B0">
              <w:t xml:space="preserve">) </w:t>
            </w:r>
            <w:r w:rsidRPr="003E61B0">
              <w:rPr>
                <w:rStyle w:val="SpecialBold"/>
              </w:rPr>
              <w:t>Essential Knowledge and Associated Skills</w:t>
            </w:r>
            <w:r w:rsidRPr="003E61B0">
              <w:t xml:space="preserve"> (</w:t>
            </w:r>
            <w:r w:rsidRPr="003E61B0">
              <w:rPr>
                <w:rStyle w:val="SpecialBold"/>
              </w:rPr>
              <w:t>EKAS</w:t>
            </w:r>
            <w:r w:rsidRPr="003E61B0">
              <w:t>): This describes the essential skills and knowledge and their level, required for this unit.</w:t>
            </w:r>
          </w:p>
        </w:tc>
      </w:tr>
      <w:tr w:rsidTr="00362C1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Evidence shall show that knowledge has been acquired of performing rescue from LV panel procedures.</w:t>
            </w:r>
          </w:p>
          <w:p w:rsidR="00000000" w:rsidRPr="003E61B0" w:rsidP="003E61B0">
            <w:pPr>
              <w:pStyle w:val="BodyText"/>
            </w:pPr>
            <w:r w:rsidRPr="003E61B0">
              <w:t>All knowledge and skills detailed in this unit should be contextualised to current industry practices and technologies.</w:t>
            </w:r>
          </w:p>
          <w:p w:rsidR="00000000" w:rsidP="003E61B0">
            <w:pPr>
              <w:pStyle w:val="BodyText"/>
              <w:rPr>
                <w:lang w:val="en-NZ"/>
              </w:rPr>
            </w:pPr>
            <w:r w:rsidRPr="003E61B0">
              <w:t>The extent of the essential knowledge and associated skills (EKAS) required is given in Volume 2 - Part 2.2 EKAS. It forms an integral p</w:t>
            </w:r>
            <w:r w:rsidRPr="003E61B0">
              <w:t>art of this unit.</w:t>
            </w:r>
          </w:p>
        </w:tc>
      </w:tr>
      <w:tr w:rsidTr="00362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T2.5.5</w:t>
            </w:r>
          </w:p>
        </w:tc>
        <w:tc>
          <w:tcPr>
            <w:tcW w:w="468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Powerline clearances and approach distances</w:t>
            </w:r>
          </w:p>
        </w:tc>
      </w:tr>
    </w:tbl>
    <w:p w:rsidR="00362C1A" w:rsidP="003E61B0">
      <w:pPr>
        <w:pStyle w:val="BodyText"/>
      </w:pPr>
    </w:p>
    <w:p w:rsidR="00362C1A" w:rsidP="003E61B0">
      <w:pPr>
        <w:pStyle w:val="BodyText"/>
      </w:pPr>
    </w:p>
    <w:p w:rsidR="00000000" w:rsidRPr="003E61B0" w:rsidP="003E61B0">
      <w:pPr>
        <w:pStyle w:val="Heading1"/>
      </w:pPr>
      <w:bookmarkStart w:id="10" w:name="O_248197"/>
      <w:bookmarkEnd w:id="10"/>
      <w:r w:rsidRPr="003E61B0">
        <w:t>Evidence Guide</w:t>
      </w:r>
    </w:p>
    <w:tbl>
      <w:tblPr>
        <w:tblW w:w="0" w:type="auto"/>
        <w:tblLayout w:type="fixed"/>
        <w:tblCellMar>
          <w:left w:w="62" w:type="dxa"/>
          <w:right w:w="62" w:type="dxa"/>
        </w:tblCellMar>
        <w:tblLook w:val="0000"/>
      </w:tblPr>
      <w:tblGrid>
        <w:gridCol w:w="2160"/>
        <w:gridCol w:w="720"/>
        <w:gridCol w:w="900"/>
        <w:gridCol w:w="1620"/>
        <w:gridCol w:w="3060"/>
      </w:tblGrid>
      <w:tr w:rsidTr="00362C1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EVIDENCE GUIDE</w:t>
            </w:r>
          </w:p>
        </w:tc>
      </w:tr>
      <w:tr w:rsidTr="00362C1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rPr>
                <w:rStyle w:val="SpecialBold"/>
              </w:rPr>
              <w:t>9</w:t>
            </w:r>
            <w:r w:rsidRPr="003E61B0">
              <w:t xml:space="preserve">) This provides essential advice for assessment of the competency standard unit and must be read </w:t>
            </w:r>
            <w:r w:rsidRPr="003E61B0">
              <w:t>in conjunction with the Performance Criteria and the range statement of the competency standard unit and the Training Package Assessment Guidelines.</w:t>
            </w:r>
          </w:p>
          <w:p w:rsidR="00000000" w:rsidP="003E61B0">
            <w:pPr>
              <w:pStyle w:val="BodyText"/>
              <w:rPr>
                <w:lang w:val="en-NZ"/>
              </w:rPr>
            </w:pPr>
            <w:r w:rsidRPr="003E61B0">
              <w:t>The Evidence Guide forms an integral part of this Competency Standard Unit and shall be used in conjunction</w:t>
            </w:r>
            <w:r w:rsidRPr="003E61B0">
              <w:t xml:space="preserve"> with all component parts of this unit and, performed in accordance with the Assessment Guidelines of this Training Package.</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9.1)</w:t>
            </w:r>
          </w:p>
          <w:p w:rsidR="00000000" w:rsidRPr="003E61B0" w:rsidP="003E61B0">
            <w:pPr>
              <w:pStyle w:val="BodyText"/>
            </w:pPr>
            <w:r w:rsidRPr="003E61B0">
              <w:t>In accordance with the National Refresher Training Recognition Protocol for the Electricity Supply Industry, this unit is identified as a Refresher Training unit and is only available for use by industry to meet industry protocols and regulatory requiremen</w:t>
            </w:r>
            <w:r w:rsidRPr="003E61B0">
              <w:t xml:space="preserve">ts. </w:t>
            </w:r>
          </w:p>
          <w:p w:rsidR="00000000" w:rsidRPr="003E61B0" w:rsidP="003E61B0">
            <w:pPr>
              <w:pStyle w:val="BodyText"/>
            </w:pPr>
            <w:r w:rsidRPr="003E61B0">
              <w:t>Industry has defined Refresher Training as:</w:t>
            </w:r>
          </w:p>
          <w:p w:rsidR="00000000" w:rsidRPr="003E61B0" w:rsidP="003E61B0">
            <w:pPr>
              <w:pStyle w:val="BodyText"/>
            </w:pPr>
            <w:r w:rsidRPr="003E61B0">
              <w:t>"A competency confirmation event which may include training, the purpose of which is to compensate for or prevent deterioration in a previously achieved standard of performance"</w:t>
            </w:r>
          </w:p>
          <w:p w:rsidR="00000000" w:rsidRPr="003E61B0" w:rsidP="003E61B0">
            <w:pPr>
              <w:pStyle w:val="BodyText"/>
            </w:pPr>
            <w:r w:rsidRPr="003E61B0">
              <w:t>Under the protocol and the ap</w:t>
            </w:r>
            <w:r w:rsidRPr="003E61B0">
              <w:t>plicable State or Territory legislative and regulatory requirements, Electricity Supply Industry employees are required to maintain currency in this Unit for authorisation/approval to work on ESI Networks.</w:t>
            </w:r>
          </w:p>
          <w:p w:rsidR="00000000" w:rsidRPr="003E61B0" w:rsidP="003E61B0">
            <w:pPr>
              <w:pStyle w:val="BodyText"/>
            </w:pPr>
            <w:r w:rsidRPr="003E61B0">
              <w:t>Industry accepts that opportunities to practice em</w:t>
            </w:r>
            <w:r w:rsidRPr="003E61B0">
              <w:t xml:space="preserve">ergency procedures are generally restricted to simulated exercises in a controlled environment during competency confirmation programs. </w:t>
            </w:r>
          </w:p>
          <w:p w:rsidR="00000000" w:rsidRPr="003E61B0" w:rsidP="003E61B0">
            <w:pPr>
              <w:pStyle w:val="BodyText"/>
            </w:pPr>
            <w:r w:rsidRPr="003E61B0">
              <w:t>The critical safety nature of working with electricity, electrical equipment, gas or any other hazardous substance/mate</w:t>
            </w:r>
            <w:r w:rsidRPr="003E61B0">
              <w:t>rial carries risk in deeming a person competent. Hence, sources of evidence need to be 'rich' in nature so as to minimise error in judgment.</w:t>
            </w:r>
          </w:p>
          <w:p w:rsidR="00000000" w:rsidRPr="003E61B0" w:rsidP="003E61B0">
            <w:pPr>
              <w:pStyle w:val="BodyText"/>
            </w:pPr>
            <w:r w:rsidRPr="003E61B0">
              <w:t>Methods chosen for a particular assessment will be influenced by various factors. These include the extent of the a</w:t>
            </w:r>
            <w:r w:rsidRPr="003E61B0">
              <w:t>ssessment, the most effective locations for the assessment activities to take place, access to physical resources, additional safety measures that may be required and the critical nature of the competencies being assessed.</w:t>
            </w:r>
          </w:p>
          <w:p w:rsidR="00000000" w:rsidRPr="003E61B0" w:rsidP="003E61B0">
            <w:pPr>
              <w:pStyle w:val="BodyText"/>
            </w:pPr>
            <w:r w:rsidRPr="003E61B0">
              <w:t>These points are raised for the a</w:t>
            </w:r>
            <w:r w:rsidRPr="003E61B0">
              <w:t>ssessors to consider when choosing an assessment method and developing assessment instruments.</w:t>
            </w:r>
          </w:p>
          <w:p w:rsidR="00000000" w:rsidP="003E61B0">
            <w:pPr>
              <w:pStyle w:val="BodyText"/>
              <w:rPr>
                <w:lang w:val="en-NZ"/>
              </w:rPr>
            </w:pPr>
            <w:r w:rsidRPr="003E61B0">
              <w:t>An industry endorsed Learning Assessment Plan has been developed to support this unit.</w:t>
            </w:r>
          </w:p>
        </w:tc>
      </w:tr>
      <w:tr w:rsidTr="00362C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 xml:space="preserve">9.2) </w:t>
            </w:r>
          </w:p>
          <w:p w:rsidR="00000000" w:rsidP="003E61B0">
            <w:pPr>
              <w:pStyle w:val="BodyText"/>
              <w:rPr>
                <w:lang w:val="en-NZ"/>
              </w:rPr>
            </w:pPr>
            <w:r w:rsidRPr="003E61B0">
              <w:t>Before the critical aspects of evidence are considered all prerequisites shall be met.</w:t>
            </w:r>
          </w:p>
        </w:tc>
      </w:tr>
      <w:tr w:rsidTr="00362C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3E61B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E61B0" w:rsidP="003E61B0">
            <w:pPr>
              <w:pStyle w:val="ListBullet"/>
            </w:pPr>
            <w:r w:rsidRPr="003E61B0">
              <w:t>Evidence for competence in this unit shall be considered holistically. Each elem</w:t>
            </w:r>
            <w:r w:rsidRPr="003E61B0">
              <w:t>ent and associated Performance Criteria shall be demonstrated at each competency confirmation event.</w:t>
            </w:r>
          </w:p>
          <w:p w:rsidR="00000000" w:rsidRPr="003E61B0" w:rsidP="003E61B0">
            <w:pPr>
              <w:pStyle w:val="BodyText"/>
            </w:pPr>
            <w:r w:rsidRPr="003E61B0">
              <w:t xml:space="preserve"> In accordance with State and Territory regulations and the "Assessment Guidelines - UET09". Evidence shall also comprise:</w:t>
            </w:r>
          </w:p>
          <w:p w:rsidR="00000000" w:rsidP="003E61B0">
            <w:pPr>
              <w:pStyle w:val="ListBullet"/>
              <w:rPr>
                <w:lang w:val="en-NZ"/>
              </w:rPr>
            </w:pPr>
            <w:r w:rsidRPr="003E61B0">
              <w:t>A performance demonstrated within the timeframes typically expected of the rescue procedure. In particular the assessment of this unit shall confirm that a candidate  is able to:</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E61B0" w:rsidP="003E61B0">
            <w:pPr>
              <w:pStyle w:val="ListBullet"/>
            </w:pPr>
            <w:r w:rsidRPr="003E61B0">
              <w:t>Implement Occupational Health and Safety workplace procedures and pract</w:t>
            </w:r>
            <w:r w:rsidRPr="003E61B0">
              <w:t>ices including the use of risk control measures as specified in the Performance Criteria and range; and</w:t>
            </w:r>
          </w:p>
          <w:p w:rsidR="00000000" w:rsidRPr="003E61B0" w:rsidP="003E61B0">
            <w:pPr>
              <w:pStyle w:val="ListBullet"/>
            </w:pPr>
            <w:r w:rsidRPr="003E61B0">
              <w:t>Demonstrate an understanding of the essential knowledge and associated skills as described in this unit to such an extent that the learner's performance</w:t>
            </w:r>
            <w:r w:rsidRPr="003E61B0">
              <w:t xml:space="preserve"> outcome is reported in accordance with the preferred approach; namely a percentile graded result, where required by the regulated environment; and</w:t>
            </w:r>
          </w:p>
          <w:p w:rsidR="00000000" w:rsidRPr="003E61B0" w:rsidP="003E61B0">
            <w:pPr>
              <w:pStyle w:val="ListBullet"/>
            </w:pPr>
            <w:r w:rsidRPr="003E61B0">
              <w:t>Demonstrate an appropriate level of employability skills; and</w:t>
            </w:r>
          </w:p>
          <w:p w:rsidR="00000000" w:rsidP="003E61B0">
            <w:pPr>
              <w:pStyle w:val="ListBullet"/>
              <w:rPr>
                <w:lang w:val="en-NZ"/>
              </w:rPr>
            </w:pPr>
            <w:r w:rsidRPr="003E61B0">
              <w:t>Conduct work observing the relevant Anti Discr</w:t>
            </w:r>
            <w:r w:rsidRPr="003E61B0">
              <w:t>imination legislation, regulations, policies and workplace procedures; and</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E61B0">
            <w:pPr>
              <w:pStyle w:val="ListBullet"/>
              <w:rPr>
                <w:lang w:val="en-NZ"/>
              </w:rPr>
            </w:pPr>
            <w:r w:rsidRPr="003E61B0">
              <w:t>Demonstrated performance across a representative range of contexts from the prescribed items below:</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3E61B0">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rPr>
                <w:rStyle w:val="SpecialBold"/>
              </w:rPr>
              <w:t>Range of tools</w:t>
            </w:r>
            <w:r w:rsidRPr="003E61B0">
              <w:t>/</w:t>
            </w:r>
            <w:r w:rsidRPr="003E61B0">
              <w:rPr>
                <w:rStyle w:val="SpecialBold"/>
              </w:rPr>
              <w:t>equipment</w:t>
            </w:r>
            <w:r w:rsidRPr="003E61B0">
              <w:t>/</w:t>
            </w:r>
            <w:r w:rsidRPr="003E61B0">
              <w:rPr>
                <w:rStyle w:val="SpecialBold"/>
              </w:rPr>
              <w:t>materials</w:t>
            </w:r>
            <w:r w:rsidRPr="003E61B0">
              <w:t>/</w:t>
            </w:r>
            <w:r w:rsidRPr="003E61B0">
              <w:rPr>
                <w:rStyle w:val="SpecialBold"/>
              </w:rPr>
              <w:t>procedures</w:t>
            </w:r>
            <w:r w:rsidRPr="003E61B0">
              <w:t>/</w:t>
            </w:r>
            <w:r w:rsidRPr="003E61B0">
              <w:rPr>
                <w:rStyle w:val="SpecialBold"/>
              </w:rPr>
              <w:t>workplaces</w:t>
            </w:r>
            <w:r w:rsidRPr="003E61B0">
              <w:t>/</w:t>
            </w:r>
            <w:r w:rsidRPr="003E61B0">
              <w:rPr>
                <w:rStyle w:val="SpecialBold"/>
              </w:rPr>
              <w:t>other variables</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3E61B0">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1B0" w:rsidP="003E61B0">
            <w:pPr>
              <w:pStyle w:val="BodyText"/>
            </w:pPr>
            <w:r w:rsidRPr="003E61B0">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1B0" w:rsidP="003E61B0">
            <w:pPr>
              <w:pStyle w:val="BodyText"/>
            </w:pPr>
            <w:r w:rsidRPr="003E61B0">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rPr>
                <w:rStyle w:val="SpecialBold"/>
              </w:rPr>
              <w:t>Item List</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Participation in consultation processes, identifying hazards and implementing and monitoring control measures at the work site</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Inspection and placement of rescue equipment to facilitate a pro</w:t>
            </w:r>
            <w:r w:rsidRPr="003E61B0">
              <w:t>mpt response and rescue from an accident/incident in a live LV panel</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Identification and labelling of the isolation point</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Apply</w:t>
            </w:r>
            <w:r w:rsidRPr="003E61B0">
              <w:t>ing work procedures and instructions as they apply to risk control and personal safety measures</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Removing the victim from contact with live conductors/apparatus in accordance with workplace procedures</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F</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Perform CPR in accordance with workplace procedures.</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G</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All, to the satisfaction of t</w:t>
            </w:r>
            <w:r w:rsidRPr="003E61B0">
              <w: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1B0">
            <w:pPr>
              <w:pStyle w:val="BodyText"/>
              <w:rPr>
                <w:lang w:val="en-NZ"/>
              </w:rPr>
            </w:pPr>
            <w:r w:rsidRPr="003E61B0">
              <w:t>Demonstrating knowledge of the process to access treatment from medical professionals in accordance with workplace procedures.</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 xml:space="preserve">9.3) </w:t>
            </w:r>
          </w:p>
          <w:p w:rsidR="00000000" w:rsidRPr="003E61B0" w:rsidP="003E61B0">
            <w:pPr>
              <w:pStyle w:val="BodyText"/>
            </w:pPr>
            <w:r w:rsidRPr="003E61B0">
              <w:t>This unit should be assessed as it relates to normal work practice using procedures, information and resources typical of a workplace. This should include:</w:t>
            </w:r>
          </w:p>
          <w:p w:rsidR="00000000" w:rsidRPr="003E61B0" w:rsidP="003E61B0">
            <w:pPr>
              <w:pStyle w:val="ListBullet"/>
            </w:pPr>
            <w:r w:rsidRPr="003E61B0">
              <w:t>OHS policy and work procedures and instructions.</w:t>
            </w:r>
          </w:p>
          <w:p w:rsidR="00000000" w:rsidP="003E61B0">
            <w:pPr>
              <w:pStyle w:val="ListBullet"/>
              <w:rPr>
                <w:lang w:val="en-NZ"/>
              </w:rPr>
            </w:pPr>
            <w:r w:rsidRPr="003E61B0">
              <w:t>Suitable work environment, facilities, equipment a</w:t>
            </w:r>
            <w:r w:rsidRPr="003E61B0">
              <w:t>nd materials to safely undertake performance of LV panel rescue procedures in the workplace.</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 xml:space="preserve">In addition to the resources listed above, in Context of and specific resources for assessment, evidence should show demonstrated competency </w:t>
            </w:r>
            <w:r w:rsidRPr="003E61B0">
              <w:t>working in a realistic environment and a variety of conditions.</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 xml:space="preserve">9.4) </w:t>
            </w:r>
          </w:p>
          <w:p w:rsidR="00000000" w:rsidRPr="003E61B0" w:rsidP="003E61B0">
            <w:pPr>
              <w:pStyle w:val="BodyText"/>
            </w:pPr>
            <w:r w:rsidRPr="003E61B0">
              <w:t>This Competency Standard Unit shall be assessed by methods given in Volume 1, Part 3 "Assessment Guidelines".</w:t>
            </w:r>
          </w:p>
          <w:p w:rsidR="00000000" w:rsidRPr="003E61B0" w:rsidP="003E61B0">
            <w:pPr>
              <w:pStyle w:val="BodyText"/>
            </w:pPr>
            <w:r w:rsidRPr="003E61B0">
              <w:t>Note:</w:t>
            </w:r>
          </w:p>
          <w:p w:rsidR="00000000" w:rsidP="003E61B0">
            <w:pPr>
              <w:pStyle w:val="BodyText"/>
              <w:rPr>
                <w:lang w:val="en-NZ"/>
              </w:rPr>
            </w:pPr>
            <w:r w:rsidRPr="003E61B0">
              <w:t>Competent performance with inherent safe work</w:t>
            </w:r>
            <w:r w:rsidRPr="003E61B0">
              <w:t>ing practices is expected in the Industry to which this Competency Standard Unit applies. This requires that the specified essential knowledge and associated skills are assessed in a structured environment which is primarily intended for learning/assessmen</w:t>
            </w:r>
            <w:r w:rsidRPr="003E61B0">
              <w:t>t and incorporates all necessary equipment and facilities for learners to develop and demonstrate the essential knowledge and associated skills described in this unit.</w:t>
            </w:r>
          </w:p>
        </w:tc>
      </w:tr>
      <w:tr w:rsidTr="00362C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9</w:t>
            </w:r>
            <w:r w:rsidRPr="003E61B0">
              <w:t>.</w:t>
            </w:r>
            <w:r w:rsidRPr="003E61B0">
              <w:rPr>
                <w:rStyle w:val="SpecialBold"/>
              </w:rPr>
              <w:t>5</w:t>
            </w:r>
            <w:r w:rsidRPr="003E61B0">
              <w:t>)</w:t>
            </w:r>
          </w:p>
        </w:tc>
      </w:tr>
      <w:tr w:rsidTr="00362C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For optimisation of training and assessment effort, competence in this unit is not recommended to be assessed concurrently with any other unit.</w:t>
            </w:r>
          </w:p>
        </w:tc>
      </w:tr>
    </w:tbl>
    <w:p w:rsidR="00362C1A" w:rsidP="003E61B0">
      <w:pPr>
        <w:pStyle w:val="BodyText"/>
      </w:pPr>
    </w:p>
    <w:p w:rsidR="00362C1A" w:rsidP="003E61B0">
      <w:pPr>
        <w:pStyle w:val="BodyText"/>
      </w:pPr>
    </w:p>
    <w:p w:rsidR="00000000" w:rsidRPr="003E61B0" w:rsidP="003E61B0">
      <w:pPr>
        <w:pStyle w:val="Heading1"/>
      </w:pPr>
      <w:bookmarkStart w:id="11" w:name="O_256181"/>
      <w:bookmarkEnd w:id="11"/>
      <w:r w:rsidRPr="003E61B0">
        <w:t>Range Statement</w:t>
      </w:r>
    </w:p>
    <w:tbl>
      <w:tblPr>
        <w:tblW w:w="0" w:type="auto"/>
        <w:tblLayout w:type="fixed"/>
        <w:tblCellMar>
          <w:left w:w="62" w:type="dxa"/>
          <w:right w:w="62" w:type="dxa"/>
        </w:tblCellMar>
        <w:tblLook w:val="0000"/>
      </w:tblPr>
      <w:tblGrid>
        <w:gridCol w:w="2160"/>
        <w:gridCol w:w="6300"/>
      </w:tblGrid>
      <w:tr w:rsidTr="00362C1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RANGE STATEMENT</w:t>
            </w:r>
          </w:p>
        </w:tc>
      </w:tr>
      <w:tr w:rsidTr="00362C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rPr>
                <w:rStyle w:val="SpecialBold"/>
              </w:rPr>
              <w:t>8</w:t>
            </w:r>
            <w:r w:rsidRPr="003E61B0">
              <w:t xml:space="preserve">) This relates to the competency standard </w:t>
            </w:r>
            <w:r w:rsidRPr="003E61B0">
              <w:t xml:space="preserve"> unit as a whole providing the range of contexts and conditions to which the Performance Criteria apply. It allows for different work environments and situations that will affect performance.</w:t>
            </w:r>
          </w:p>
        </w:tc>
      </w:tr>
      <w:tr w:rsidTr="00362C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This Competency Standard Unit shall be demonstrated in relatio</w:t>
            </w:r>
            <w:r w:rsidRPr="003E61B0">
              <w:t>n to performing rescue procedures from live LV panel in the workplace and will include the following:</w:t>
            </w:r>
          </w:p>
          <w:p w:rsidR="00000000" w:rsidRPr="003E61B0" w:rsidP="003E61B0">
            <w:pPr>
              <w:pStyle w:val="BodyText"/>
            </w:pPr>
            <w:r w:rsidRPr="003E61B0">
              <w:t xml:space="preserve">Inspection and placement of rescue equipment to facilitate a prompt response and rescue of a victim from an incident in a live LV panel. </w:t>
            </w:r>
          </w:p>
          <w:p w:rsidR="00000000" w:rsidRPr="003E61B0" w:rsidP="003E61B0">
            <w:pPr>
              <w:pStyle w:val="BodyText"/>
            </w:pPr>
            <w:r w:rsidRPr="003E61B0">
              <w:t>Identification a</w:t>
            </w:r>
            <w:r w:rsidRPr="003E61B0">
              <w:t>nd labelling of the isolation point</w:t>
            </w:r>
          </w:p>
          <w:p w:rsidR="00000000" w:rsidRPr="003E61B0" w:rsidP="003E61B0">
            <w:pPr>
              <w:pStyle w:val="BodyText"/>
            </w:pPr>
            <w:r w:rsidRPr="003E61B0">
              <w:t>Applying work procedures and instructions as they apply to risk control and personal safety measures.</w:t>
            </w:r>
          </w:p>
          <w:p w:rsidR="00000000" w:rsidRPr="003E61B0" w:rsidP="003E61B0">
            <w:pPr>
              <w:pStyle w:val="BodyText"/>
            </w:pPr>
            <w:r w:rsidRPr="003E61B0">
              <w:t xml:space="preserve">Isolating the electricity supply by utilizing the appropriate apparatus </w:t>
            </w:r>
          </w:p>
          <w:p w:rsidR="00000000" w:rsidRPr="003E61B0" w:rsidP="003E61B0">
            <w:pPr>
              <w:pStyle w:val="BodyText"/>
            </w:pPr>
            <w:r w:rsidRPr="003E61B0">
              <w:t>Removing the victim from contact with live co</w:t>
            </w:r>
            <w:r w:rsidRPr="003E61B0">
              <w:t xml:space="preserve">nductors/apparatus and perform CPR </w:t>
            </w:r>
          </w:p>
          <w:p w:rsidR="00000000" w:rsidRPr="003E61B0" w:rsidP="003E61B0">
            <w:pPr>
              <w:pStyle w:val="BodyText"/>
            </w:pPr>
            <w:r w:rsidRPr="003E61B0">
              <w:t>Participation in consultation processes, identifying hazards and implementing and monitoring control measures at the work site.</w:t>
            </w:r>
          </w:p>
          <w:p w:rsidR="00000000" w:rsidP="003E61B0">
            <w:pPr>
              <w:pStyle w:val="BodyText"/>
              <w:rPr>
                <w:lang w:val="en-NZ"/>
              </w:rPr>
            </w:pPr>
            <w:r w:rsidRPr="003E61B0">
              <w:t>The following constants and variables included in the element/Performance Criteria in this u</w:t>
            </w:r>
            <w:r w:rsidRPr="003E61B0">
              <w:t>nit are fully described in the Definitions Section 1 of this volume and form an integral part of the Range Statement of this unit:</w:t>
            </w:r>
          </w:p>
        </w:tc>
      </w:tr>
      <w:tr w:rsidTr="00362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E61B0" w:rsidP="003E61B0">
            <w:pPr>
              <w:pStyle w:val="ListBullet"/>
            </w:pPr>
            <w:r w:rsidRPr="003E61B0">
              <w:t>Appropriate and relevant persons</w:t>
            </w:r>
          </w:p>
          <w:p w:rsidR="00000000" w:rsidRPr="003E61B0" w:rsidP="003E61B0">
            <w:pPr>
              <w:pStyle w:val="ListBullet"/>
            </w:pPr>
            <w:r w:rsidRPr="003E61B0">
              <w:t>Assessing risk</w:t>
            </w:r>
          </w:p>
          <w:p w:rsidR="00000000" w:rsidRPr="003E61B0" w:rsidP="003E61B0">
            <w:pPr>
              <w:pStyle w:val="ListBullet"/>
            </w:pPr>
            <w:r w:rsidRPr="003E61B0">
              <w:t>Assessment</w:t>
            </w:r>
          </w:p>
          <w:p w:rsidR="00000000" w:rsidRPr="003E61B0" w:rsidP="003E61B0">
            <w:pPr>
              <w:pStyle w:val="ListBullet"/>
            </w:pPr>
            <w:r w:rsidRPr="003E61B0">
              <w:t>Authorisation</w:t>
            </w:r>
          </w:p>
          <w:p w:rsidR="00000000" w:rsidRPr="003E61B0" w:rsidP="003E61B0">
            <w:pPr>
              <w:pStyle w:val="ListBullet"/>
            </w:pPr>
            <w:r w:rsidRPr="003E61B0">
              <w:t>Confined space</w:t>
            </w:r>
          </w:p>
          <w:p w:rsidR="00000000" w:rsidRPr="003E61B0" w:rsidP="003E61B0">
            <w:pPr>
              <w:pStyle w:val="ListBullet"/>
            </w:pPr>
            <w:r w:rsidRPr="003E61B0">
              <w:t>Emergency</w:t>
            </w:r>
          </w:p>
          <w:p w:rsidR="00000000" w:rsidRPr="003E61B0" w:rsidP="003E61B0">
            <w:pPr>
              <w:pStyle w:val="ListBullet"/>
            </w:pPr>
            <w:r w:rsidRPr="003E61B0">
              <w:t>Established procedures</w:t>
            </w:r>
          </w:p>
          <w:p w:rsidR="00000000" w:rsidRPr="003E61B0" w:rsidP="003E61B0">
            <w:pPr>
              <w:pStyle w:val="ListBullet"/>
            </w:pPr>
            <w:r w:rsidRPr="003E61B0">
              <w:t>Fall prevention</w:t>
            </w:r>
          </w:p>
          <w:p w:rsidR="00000000" w:rsidRPr="003E61B0" w:rsidP="003E61B0">
            <w:pPr>
              <w:pStyle w:val="ListBullet"/>
            </w:pPr>
            <w:r w:rsidRPr="003E61B0">
              <w:t>Hazards</w:t>
            </w:r>
          </w:p>
          <w:p w:rsidR="00000000" w:rsidRPr="003E61B0" w:rsidP="003E61B0">
            <w:pPr>
              <w:pStyle w:val="ListBullet"/>
            </w:pPr>
            <w:r w:rsidRPr="003E61B0">
              <w:t>Identifying hazards</w:t>
            </w:r>
          </w:p>
          <w:p w:rsidR="00000000" w:rsidRPr="003E61B0" w:rsidP="003E61B0">
            <w:pPr>
              <w:pStyle w:val="ListBullet"/>
            </w:pPr>
            <w:r w:rsidRPr="003E61B0">
              <w:t>Inspect</w:t>
            </w:r>
          </w:p>
          <w:p w:rsidR="00000000" w:rsidRPr="003E61B0" w:rsidP="003E61B0">
            <w:pPr>
              <w:pStyle w:val="ListBullet"/>
            </w:pPr>
            <w:r w:rsidRPr="003E61B0">
              <w:t>Legislation</w:t>
            </w:r>
          </w:p>
          <w:p w:rsidR="00000000" w:rsidRPr="003E61B0" w:rsidP="003E61B0">
            <w:pPr>
              <w:pStyle w:val="ListBullet"/>
            </w:pPr>
            <w:r w:rsidRPr="003E61B0">
              <w:t>Notification</w:t>
            </w:r>
          </w:p>
          <w:p w:rsidR="00000000" w:rsidRPr="003E61B0" w:rsidP="003E61B0">
            <w:pPr>
              <w:pStyle w:val="ListBullet"/>
            </w:pPr>
            <w:r w:rsidRPr="003E61B0">
              <w:t>OHS practices</w:t>
            </w:r>
          </w:p>
          <w:p w:rsidR="00000000" w:rsidRPr="003E61B0" w:rsidP="003E61B0">
            <w:pPr>
              <w:pStyle w:val="ListBullet"/>
            </w:pPr>
            <w:r w:rsidRPr="003E61B0">
              <w:t>OHS issues</w:t>
            </w:r>
          </w:p>
          <w:p w:rsidR="00000000" w:rsidRPr="003E61B0" w:rsidP="003E61B0">
            <w:pPr>
              <w:pStyle w:val="ListBullet"/>
            </w:pPr>
            <w:r w:rsidRPr="003E61B0">
              <w:t>Permits and/or permits to work</w:t>
            </w:r>
          </w:p>
          <w:p w:rsidR="00000000" w:rsidRPr="003E61B0" w:rsidP="003E61B0">
            <w:pPr>
              <w:pStyle w:val="ListBullet"/>
            </w:pPr>
            <w:r w:rsidRPr="003E61B0">
              <w:t>Personnel</w:t>
            </w:r>
          </w:p>
          <w:p w:rsidR="00000000" w:rsidRPr="003E61B0" w:rsidP="003E61B0">
            <w:pPr>
              <w:pStyle w:val="ListBullet"/>
            </w:pPr>
            <w:r w:rsidRPr="003E61B0">
              <w:t>Requirements</w:t>
            </w:r>
          </w:p>
          <w:p w:rsidR="00000000" w:rsidRPr="003E61B0" w:rsidP="003E61B0">
            <w:pPr>
              <w:pStyle w:val="ListBullet"/>
            </w:pPr>
            <w:r w:rsidRPr="003E61B0">
              <w:t>Testing procedures</w:t>
            </w:r>
          </w:p>
          <w:p w:rsidR="00000000" w:rsidRPr="003E61B0" w:rsidP="003E61B0">
            <w:pPr>
              <w:pStyle w:val="ListBullet"/>
            </w:pPr>
            <w:r w:rsidRPr="003E61B0">
              <w:t>Work clearance systems</w:t>
            </w:r>
          </w:p>
        </w:tc>
      </w:tr>
    </w:tbl>
    <w:p w:rsidR="00362C1A" w:rsidP="003E61B0">
      <w:pPr>
        <w:pStyle w:val="BodyText"/>
      </w:pPr>
    </w:p>
    <w:p w:rsidR="00362C1A" w:rsidP="003E61B0">
      <w:pPr>
        <w:pStyle w:val="BodyText"/>
      </w:pPr>
    </w:p>
    <w:p w:rsidR="00000000" w:rsidRPr="003E61B0" w:rsidP="003E61B0">
      <w:pPr>
        <w:pStyle w:val="Heading1"/>
      </w:pPr>
      <w:bookmarkStart w:id="12" w:name="O_297194"/>
      <w:bookmarkEnd w:id="12"/>
      <w:r w:rsidRPr="003E61B0">
        <w:t>Unit Sector(s)</w:t>
      </w:r>
    </w:p>
    <w:p w:rsidR="00000000" w:rsidRPr="003E61B0" w:rsidP="003E61B0">
      <w:pPr>
        <w:pStyle w:val="BodyText"/>
      </w:pPr>
      <w:r w:rsidRPr="003E61B0">
        <w:t>Not Applicable</w:t>
      </w:r>
    </w:p>
    <w:p w:rsidR="00000000" w:rsidRPr="003E61B0" w:rsidP="003E61B0">
      <w:pPr>
        <w:pStyle w:val="AllowPageBreak"/>
      </w:pPr>
    </w:p>
    <w:p w:rsidR="00000000" w:rsidRPr="003E61B0" w:rsidP="003E61B0">
      <w:pPr>
        <w:pStyle w:val="Heading1"/>
      </w:pPr>
      <w:bookmarkStart w:id="13" w:name="O_231651"/>
      <w:bookmarkEnd w:id="13"/>
      <w:r w:rsidRPr="003E61B0">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62C1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2.2) Literacy and numeracy skills</w:t>
            </w:r>
          </w:p>
          <w:p w:rsidR="00000000" w:rsidP="003E61B0">
            <w:pPr>
              <w:pStyle w:val="BodyText"/>
              <w:rPr>
                <w:lang w:val="en-NZ"/>
              </w:rPr>
            </w:pPr>
            <w:r w:rsidRPr="003E61B0">
              <w:t xml:space="preserve">Participants are best equipped to achieve this unit if they have reading, writing and numeracy skills indicated by the following scales. Description of each scale is given </w:t>
            </w:r>
            <w:r w:rsidRPr="003E61B0">
              <w:t>in Volume 2, Part 3 "Literacy and Numeracy"</w:t>
            </w:r>
          </w:p>
        </w:tc>
      </w:tr>
      <w:tr w:rsidTr="00362C1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Reading</w:t>
            </w:r>
          </w:p>
        </w:tc>
        <w:tc>
          <w:tcPr>
            <w:tcW w:w="1182"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3</w:t>
            </w:r>
          </w:p>
        </w:tc>
        <w:tc>
          <w:tcPr>
            <w:tcW w:w="1739"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Writing</w:t>
            </w:r>
          </w:p>
        </w:tc>
        <w:tc>
          <w:tcPr>
            <w:tcW w:w="1182"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3</w:t>
            </w:r>
          </w:p>
        </w:tc>
        <w:tc>
          <w:tcPr>
            <w:tcW w:w="1721"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Numeracy</w:t>
            </w:r>
          </w:p>
        </w:tc>
        <w:tc>
          <w:tcPr>
            <w:tcW w:w="1182"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3</w:t>
            </w:r>
          </w:p>
        </w:tc>
      </w:tr>
    </w:tbl>
    <w:p w:rsidR="00362C1A" w:rsidP="003E61B0">
      <w:pPr>
        <w:pStyle w:val="BodyText"/>
      </w:pPr>
    </w:p>
    <w:p w:rsidR="00362C1A" w:rsidP="003E61B0">
      <w:pPr>
        <w:pStyle w:val="BodyText"/>
      </w:pPr>
    </w:p>
    <w:p w:rsidR="00000000" w:rsidRPr="003E61B0" w:rsidP="003E61B0">
      <w:pPr>
        <w:pStyle w:val="Heading1"/>
      </w:pPr>
      <w:bookmarkStart w:id="14" w:name="O_231654"/>
      <w:bookmarkEnd w:id="14"/>
      <w:r w:rsidRPr="003E61B0">
        <w:t>Competency Field</w:t>
      </w:r>
    </w:p>
    <w:tbl>
      <w:tblPr>
        <w:tblW w:w="0" w:type="auto"/>
        <w:tblLayout w:type="fixed"/>
        <w:tblCellMar>
          <w:left w:w="62" w:type="dxa"/>
          <w:right w:w="62" w:type="dxa"/>
        </w:tblCellMar>
        <w:tblLook w:val="0000"/>
      </w:tblPr>
      <w:tblGrid>
        <w:gridCol w:w="2700"/>
        <w:gridCol w:w="5760"/>
      </w:tblGrid>
      <w:tr w:rsidTr="00362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Competency Field</w:t>
            </w:r>
          </w:p>
        </w:tc>
        <w:tc>
          <w:tcPr>
            <w:tcW w:w="5760" w:type="dxa"/>
            <w:tcBorders>
              <w:top w:val="nil"/>
              <w:left w:val="nil"/>
              <w:bottom w:val="nil"/>
              <w:right w:val="nil"/>
            </w:tcBorders>
            <w:tcMar>
              <w:top w:w="0" w:type="dxa"/>
              <w:left w:w="62" w:type="dxa"/>
              <w:bottom w:w="0" w:type="dxa"/>
              <w:right w:w="62" w:type="dxa"/>
            </w:tcMar>
          </w:tcPr>
          <w:p w:rsidR="00000000" w:rsidP="003E61B0">
            <w:pPr>
              <w:pStyle w:val="BodyText"/>
              <w:rPr>
                <w:lang w:val="en-NZ"/>
              </w:rPr>
            </w:pPr>
            <w:r w:rsidRPr="003E61B0">
              <w:t>5)</w:t>
            </w:r>
          </w:p>
        </w:tc>
      </w:tr>
      <w:tr w:rsidTr="00362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61B0" w:rsidP="003E61B0">
            <w:pPr>
              <w:pStyle w:val="BodyText"/>
            </w:pPr>
            <w:r w:rsidRPr="003E61B0">
              <w:t>Refresher Training Unit.</w:t>
            </w:r>
          </w:p>
        </w:tc>
      </w:tr>
    </w:tbl>
    <w:p w:rsidR="00362C1A" w:rsidP="003E61B0">
      <w:pPr>
        <w:pStyle w:val="BodyText"/>
      </w:pPr>
    </w:p>
    <w:p w:rsidR="00362C1A" w:rsidP="003E61B0">
      <w:pPr>
        <w:pStyle w:val="BodyText"/>
      </w:pPr>
    </w:p>
    <w:p w:rsidR="00000000" w:rsidRPr="003E61B0" w:rsidP="003E61B0"/>
    <w:sectPr w:rsidSect="003E61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C1A" w:rsidP="00362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1A" w:rsidP="003E6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2C1A" w:rsidP="003E61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2C1A" w:rsidP="003E61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C1A" w:rsidP="00362C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1A" w:rsidP="003E61B0">
    <w:pPr>
      <w:pStyle w:val="Header"/>
      <w:framePr w:wrap="around"/>
    </w:pPr>
    <w:r>
      <w:fldChar w:fldCharType="begin"/>
    </w:r>
    <w:r>
      <w:instrText xml:space="preserve"> TITLE   \* MERGEFORMAT </w:instrText>
    </w:r>
    <w:r>
      <w:fldChar w:fldCharType="separate"/>
    </w:r>
    <w:r>
      <w:t>UETTDRRF06A Perform rescue from a live LV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2C1A" w:rsidP="003E61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F0D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6A41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1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61B0"/>
    <w:pPr>
      <w:spacing w:before="360" w:after="60"/>
      <w:outlineLvl w:val="0"/>
    </w:pPr>
    <w:rPr>
      <w:sz w:val="32"/>
    </w:rPr>
  </w:style>
  <w:style w:type="paragraph" w:styleId="Heading2">
    <w:name w:val="heading 2"/>
    <w:basedOn w:val="HeadingBase"/>
    <w:next w:val="BodyText"/>
    <w:link w:val="Heading2Char"/>
    <w:qFormat/>
    <w:rsid w:val="003E61B0"/>
    <w:pPr>
      <w:keepLines/>
      <w:spacing w:before="240" w:after="120"/>
      <w:outlineLvl w:val="1"/>
    </w:pPr>
    <w:rPr>
      <w:sz w:val="28"/>
      <w:szCs w:val="40"/>
    </w:rPr>
  </w:style>
  <w:style w:type="paragraph" w:styleId="Heading3">
    <w:name w:val="heading 3"/>
    <w:basedOn w:val="HeadingBase"/>
    <w:next w:val="BodyText"/>
    <w:link w:val="Heading3Char"/>
    <w:qFormat/>
    <w:rsid w:val="003E61B0"/>
    <w:pPr>
      <w:spacing w:before="180" w:after="120"/>
      <w:outlineLvl w:val="2"/>
    </w:pPr>
    <w:rPr>
      <w:spacing w:val="-10"/>
      <w:kern w:val="32"/>
    </w:rPr>
  </w:style>
  <w:style w:type="paragraph" w:styleId="Heading4">
    <w:name w:val="heading 4"/>
    <w:basedOn w:val="HeadingBase"/>
    <w:next w:val="BodyText"/>
    <w:link w:val="Heading4Char"/>
    <w:qFormat/>
    <w:rsid w:val="003E61B0"/>
    <w:pPr>
      <w:spacing w:before="160" w:after="120"/>
      <w:outlineLvl w:val="3"/>
    </w:pPr>
    <w:rPr>
      <w:sz w:val="22"/>
    </w:rPr>
  </w:style>
  <w:style w:type="paragraph" w:styleId="Heading5">
    <w:name w:val="heading 5"/>
    <w:basedOn w:val="HeadingBase"/>
    <w:next w:val="Normal"/>
    <w:link w:val="Heading5Char"/>
    <w:qFormat/>
    <w:rsid w:val="003E61B0"/>
    <w:pPr>
      <w:spacing w:before="80"/>
      <w:outlineLvl w:val="4"/>
    </w:pPr>
    <w:rPr>
      <w:color w:val="918585"/>
      <w:sz w:val="20"/>
    </w:rPr>
  </w:style>
  <w:style w:type="paragraph" w:styleId="Heading6">
    <w:name w:val="heading 6"/>
    <w:basedOn w:val="HeadingBase"/>
    <w:next w:val="Normal"/>
    <w:link w:val="Heading6Char"/>
    <w:qFormat/>
    <w:rsid w:val="003E61B0"/>
    <w:pPr>
      <w:spacing w:before="60"/>
      <w:outlineLvl w:val="5"/>
    </w:pPr>
    <w:rPr>
      <w:color w:val="918585"/>
      <w:sz w:val="20"/>
    </w:rPr>
  </w:style>
  <w:style w:type="paragraph" w:styleId="Heading7">
    <w:name w:val="heading 7"/>
    <w:basedOn w:val="Normal"/>
    <w:next w:val="Normal"/>
    <w:link w:val="Heading7Char"/>
    <w:qFormat/>
    <w:rsid w:val="003E61B0"/>
    <w:pPr>
      <w:ind w:left="720"/>
      <w:outlineLvl w:val="6"/>
    </w:pPr>
    <w:rPr>
      <w:i/>
    </w:rPr>
  </w:style>
  <w:style w:type="paragraph" w:styleId="Heading8">
    <w:name w:val="heading 8"/>
    <w:basedOn w:val="Normal"/>
    <w:next w:val="Normal"/>
    <w:link w:val="Heading8Char"/>
    <w:qFormat/>
    <w:rsid w:val="003E61B0"/>
    <w:pPr>
      <w:ind w:left="720"/>
      <w:outlineLvl w:val="7"/>
    </w:pPr>
    <w:rPr>
      <w:i/>
    </w:rPr>
  </w:style>
  <w:style w:type="paragraph" w:styleId="Heading9">
    <w:name w:val="heading 9"/>
    <w:basedOn w:val="Normal"/>
    <w:next w:val="Normal"/>
    <w:link w:val="Heading9Char"/>
    <w:qFormat/>
    <w:rsid w:val="003E61B0"/>
    <w:pPr>
      <w:ind w:left="720"/>
      <w:outlineLvl w:val="8"/>
    </w:pPr>
    <w:rPr>
      <w:i/>
    </w:rPr>
  </w:style>
  <w:style w:type="character" w:default="1" w:styleId="DefaultParagraphFont">
    <w:name w:val="Default Paragraph Font"/>
    <w:uiPriority w:val="1"/>
    <w:unhideWhenUsed/>
    <w:rsid w:val="003E6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1B0"/>
  </w:style>
  <w:style w:type="character" w:customStyle="1" w:styleId="Heading1Char">
    <w:name w:val="Heading 1 Char"/>
    <w:basedOn w:val="DefaultParagraphFont"/>
    <w:link w:val="Heading1"/>
    <w:rsid w:val="003E61B0"/>
    <w:rPr>
      <w:rFonts w:ascii="Times New Roman" w:eastAsia="Times New Roman" w:hAnsi="Times New Roman" w:cs="Times New Roman"/>
      <w:b/>
      <w:sz w:val="32"/>
      <w:szCs w:val="20"/>
      <w:lang w:eastAsia="en-US"/>
    </w:rPr>
  </w:style>
  <w:style w:type="paragraph" w:styleId="BodyText">
    <w:name w:val="Body Text"/>
    <w:basedOn w:val="Normal"/>
    <w:link w:val="BodyTextChar"/>
    <w:rsid w:val="003E61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1B0"/>
    <w:rPr>
      <w:rFonts w:ascii="Times New Roman" w:eastAsia="Times New Roman" w:hAnsi="Times New Roman" w:cs="Times New Roman"/>
      <w:sz w:val="24"/>
      <w:lang w:val="en-US" w:eastAsia="en-US"/>
    </w:rPr>
  </w:style>
  <w:style w:type="paragraph" w:styleId="Footer">
    <w:name w:val="footer"/>
    <w:basedOn w:val="Normal"/>
    <w:link w:val="FooterChar"/>
    <w:rsid w:val="003E6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1B0"/>
    <w:rPr>
      <w:rFonts w:ascii="Times New Roman" w:eastAsia="Times New Roman" w:hAnsi="Times New Roman" w:cs="Times New Roman"/>
      <w:sz w:val="16"/>
      <w:lang w:val="en-US" w:eastAsia="en-US"/>
    </w:rPr>
  </w:style>
  <w:style w:type="paragraph" w:styleId="ListBullet">
    <w:name w:val="List Bullet"/>
    <w:basedOn w:val="List"/>
    <w:rsid w:val="003E61B0"/>
    <w:pPr>
      <w:numPr>
        <w:numId w:val="12"/>
      </w:numPr>
      <w:tabs>
        <w:tab w:val="clear" w:pos="340"/>
      </w:tabs>
      <w:spacing w:before="40" w:after="40"/>
    </w:pPr>
  </w:style>
  <w:style w:type="character" w:customStyle="1" w:styleId="SpecialBold">
    <w:name w:val="Special Bold"/>
    <w:basedOn w:val="DefaultParagraphFont"/>
    <w:rsid w:val="003E61B0"/>
    <w:rPr>
      <w:b/>
      <w:spacing w:val="0"/>
    </w:rPr>
  </w:style>
  <w:style w:type="paragraph" w:styleId="Header">
    <w:name w:val="header"/>
    <w:basedOn w:val="Normal"/>
    <w:link w:val="HeaderChar"/>
    <w:rsid w:val="003E6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1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61B0"/>
    <w:pPr>
      <w:spacing w:before="240" w:after="120"/>
      <w:outlineLvl w:val="0"/>
    </w:pPr>
    <w:rPr>
      <w:rFonts w:ascii="Times New Roman" w:hAnsi="Times New Roman"/>
      <w:b/>
      <w:sz w:val="28"/>
    </w:rPr>
  </w:style>
  <w:style w:type="paragraph" w:customStyle="1" w:styleId="AllowPageBreak">
    <w:name w:val="AllowPageBreak"/>
    <w:rsid w:val="003E6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6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1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61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61B0"/>
    <w:rPr>
      <w:rFonts w:ascii="Courier New" w:eastAsia="Times New Roman" w:hAnsi="Courier New" w:cs="Times New Roman"/>
      <w:i/>
      <w:szCs w:val="20"/>
      <w:lang w:val="en-US" w:eastAsia="en-US"/>
    </w:rPr>
  </w:style>
  <w:style w:type="paragraph" w:customStyle="1" w:styleId="HeadingBase">
    <w:name w:val="Heading Base"/>
    <w:rsid w:val="003E6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1B0"/>
    <w:pPr>
      <w:tabs>
        <w:tab w:val="right" w:leader="dot" w:pos="9072"/>
      </w:tabs>
      <w:ind w:left="567"/>
    </w:pPr>
    <w:rPr>
      <w:szCs w:val="22"/>
    </w:rPr>
  </w:style>
  <w:style w:type="paragraph" w:customStyle="1" w:styleId="TOCBase">
    <w:name w:val="TOC Base"/>
    <w:rsid w:val="003E6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1B0"/>
    <w:pPr>
      <w:tabs>
        <w:tab w:val="right" w:leader="dot" w:pos="9072"/>
      </w:tabs>
      <w:spacing w:before="40" w:after="40"/>
      <w:ind w:left="284"/>
    </w:pPr>
    <w:rPr>
      <w:rFonts w:ascii="Times New Roman" w:hAnsi="Times New Roman"/>
    </w:rPr>
  </w:style>
  <w:style w:type="paragraph" w:styleId="TOC1">
    <w:name w:val="toc 1"/>
    <w:basedOn w:val="TOCBase"/>
    <w:next w:val="Normal"/>
    <w:rsid w:val="003E61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1B0"/>
    <w:pPr>
      <w:spacing w:before="5040"/>
      <w:jc w:val="center"/>
    </w:pPr>
    <w:rPr>
      <w:sz w:val="48"/>
      <w:szCs w:val="72"/>
      <w:lang w:val="en-US"/>
    </w:rPr>
  </w:style>
  <w:style w:type="character" w:customStyle="1" w:styleId="TitleChar">
    <w:name w:val="Title Char"/>
    <w:basedOn w:val="DefaultParagraphFont"/>
    <w:link w:val="Title"/>
    <w:rsid w:val="003E6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1B0"/>
    <w:pPr>
      <w:tabs>
        <w:tab w:val="left" w:pos="3600"/>
        <w:tab w:val="left" w:pos="3958"/>
      </w:tabs>
    </w:pPr>
  </w:style>
  <w:style w:type="paragraph" w:styleId="List">
    <w:name w:val="List"/>
    <w:basedOn w:val="BodyText"/>
    <w:next w:val="BodyText"/>
    <w:rsid w:val="003E61B0"/>
    <w:pPr>
      <w:tabs>
        <w:tab w:val="left" w:pos="340"/>
      </w:tabs>
      <w:spacing w:before="60" w:after="60"/>
      <w:ind w:left="340" w:hanging="340"/>
    </w:pPr>
  </w:style>
  <w:style w:type="paragraph" w:customStyle="1" w:styleId="Note">
    <w:name w:val="Note"/>
    <w:basedOn w:val="BodyText"/>
    <w:rsid w:val="003E6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1B0"/>
    <w:pPr>
      <w:framePr w:wrap="auto" w:hAnchor="text" w:y="6049"/>
    </w:pPr>
    <w:rPr>
      <w:color w:val="000000"/>
      <w:sz w:val="40"/>
    </w:rPr>
  </w:style>
  <w:style w:type="paragraph" w:customStyle="1" w:styleId="TOCTitle">
    <w:name w:val="TOCTitle"/>
    <w:basedOn w:val="Heading1"/>
    <w:rsid w:val="003E61B0"/>
    <w:pPr>
      <w:spacing w:after="240"/>
      <w:jc w:val="center"/>
      <w:outlineLvl w:val="9"/>
    </w:pPr>
    <w:rPr>
      <w:caps/>
    </w:rPr>
  </w:style>
  <w:style w:type="paragraph" w:customStyle="1" w:styleId="Version">
    <w:name w:val="Version"/>
    <w:rsid w:val="003E61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1B0"/>
    <w:pPr>
      <w:numPr>
        <w:numId w:val="13"/>
      </w:numPr>
      <w:tabs>
        <w:tab w:val="clear" w:pos="680"/>
      </w:tabs>
    </w:pPr>
  </w:style>
  <w:style w:type="paragraph" w:styleId="Index1">
    <w:name w:val="index 1"/>
    <w:basedOn w:val="Normal"/>
    <w:next w:val="Normal"/>
    <w:semiHidden/>
    <w:rsid w:val="003E61B0"/>
    <w:pPr>
      <w:keepNext w:val="0"/>
      <w:tabs>
        <w:tab w:val="right" w:pos="4176"/>
      </w:tabs>
      <w:ind w:left="198" w:hanging="198"/>
    </w:pPr>
    <w:rPr>
      <w:rFonts w:ascii="Garamond" w:hAnsi="Garamond"/>
    </w:rPr>
  </w:style>
  <w:style w:type="paragraph" w:styleId="IndexHeading">
    <w:name w:val="index heading"/>
    <w:basedOn w:val="Normal"/>
    <w:next w:val="Index1"/>
    <w:semiHidden/>
    <w:rsid w:val="003E61B0"/>
    <w:pPr>
      <w:spacing w:before="120" w:after="120"/>
    </w:pPr>
    <w:rPr>
      <w:rFonts w:ascii="Arial" w:hAnsi="Arial"/>
      <w:b/>
      <w:color w:val="918585"/>
      <w:sz w:val="24"/>
    </w:rPr>
  </w:style>
  <w:style w:type="paragraph" w:customStyle="1" w:styleId="Chapter">
    <w:name w:val="Chapter"/>
    <w:basedOn w:val="Normal"/>
    <w:rsid w:val="003E61B0"/>
    <w:pPr>
      <w:spacing w:before="240"/>
    </w:pPr>
    <w:rPr>
      <w:rFonts w:ascii="Times New Roman" w:hAnsi="Times New Roman"/>
      <w:smallCaps/>
      <w:spacing w:val="80"/>
      <w:sz w:val="28"/>
    </w:rPr>
  </w:style>
  <w:style w:type="paragraph" w:customStyle="1" w:styleId="InChapter">
    <w:name w:val="InChapter"/>
    <w:basedOn w:val="Heading3"/>
    <w:rsid w:val="003E61B0"/>
    <w:pPr>
      <w:spacing w:after="240"/>
      <w:outlineLvl w:val="9"/>
    </w:pPr>
    <w:rPr>
      <w:noProof/>
    </w:rPr>
  </w:style>
  <w:style w:type="paragraph" w:styleId="Index2">
    <w:name w:val="index 2"/>
    <w:basedOn w:val="Normal"/>
    <w:next w:val="Normal"/>
    <w:semiHidden/>
    <w:rsid w:val="003E61B0"/>
    <w:pPr>
      <w:tabs>
        <w:tab w:val="right" w:pos="4176"/>
      </w:tabs>
      <w:ind w:left="568" w:hanging="284"/>
    </w:pPr>
    <w:rPr>
      <w:rFonts w:ascii="Garamond" w:hAnsi="Garamond"/>
    </w:rPr>
  </w:style>
  <w:style w:type="paragraph" w:customStyle="1" w:styleId="Byline">
    <w:name w:val="Byline"/>
    <w:rsid w:val="003E6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1B0"/>
    <w:pPr>
      <w:tabs>
        <w:tab w:val="clear" w:pos="3600"/>
        <w:tab w:val="clear" w:pos="3958"/>
      </w:tabs>
      <w:jc w:val="right"/>
    </w:pPr>
  </w:style>
  <w:style w:type="character" w:styleId="Emphasis">
    <w:name w:val="Emphasis"/>
    <w:basedOn w:val="DefaultParagraphFont"/>
    <w:qFormat/>
    <w:rsid w:val="003E61B0"/>
    <w:rPr>
      <w:i/>
    </w:rPr>
  </w:style>
  <w:style w:type="paragraph" w:styleId="Caption">
    <w:name w:val="caption"/>
    <w:basedOn w:val="BodyText"/>
    <w:next w:val="Normal"/>
    <w:qFormat/>
    <w:rsid w:val="003E61B0"/>
    <w:pPr>
      <w:framePr w:w="2268" w:hSpace="181" w:vSpace="181" w:wrap="around" w:vAnchor="text" w:hAnchor="page" w:x="1135" w:y="285" w:anchorLock="1"/>
    </w:pPr>
    <w:rPr>
      <w:i/>
    </w:rPr>
  </w:style>
  <w:style w:type="paragraph" w:customStyle="1" w:styleId="MiniTOCTitle">
    <w:name w:val="MiniTOCTitle"/>
    <w:basedOn w:val="Heading4"/>
    <w:rsid w:val="003E61B0"/>
    <w:pPr>
      <w:spacing w:before="240"/>
      <w:outlineLvl w:val="9"/>
    </w:pPr>
    <w:rPr>
      <w:noProof/>
      <w:sz w:val="24"/>
    </w:rPr>
  </w:style>
  <w:style w:type="paragraph" w:customStyle="1" w:styleId="MiniTOCItem">
    <w:name w:val="MiniTOCItem"/>
    <w:basedOn w:val="ListBullet"/>
    <w:rsid w:val="003E61B0"/>
    <w:pPr>
      <w:numPr>
        <w:numId w:val="0"/>
      </w:numPr>
      <w:tabs>
        <w:tab w:val="right" w:leader="dot" w:pos="6521"/>
      </w:tabs>
      <w:spacing w:before="0" w:after="0"/>
    </w:pPr>
  </w:style>
  <w:style w:type="paragraph" w:customStyle="1" w:styleId="TOFTitle">
    <w:name w:val="TOFTitle"/>
    <w:basedOn w:val="TOCTitle"/>
    <w:rsid w:val="003E61B0"/>
  </w:style>
  <w:style w:type="paragraph" w:styleId="TableofFigures">
    <w:name w:val="table of figures"/>
    <w:basedOn w:val="Normal"/>
    <w:next w:val="Normal"/>
    <w:semiHidden/>
    <w:rsid w:val="003E61B0"/>
    <w:pPr>
      <w:tabs>
        <w:tab w:val="right" w:leader="dot" w:pos="9072"/>
      </w:tabs>
      <w:ind w:left="970" w:hanging="403"/>
    </w:pPr>
    <w:rPr>
      <w:rFonts w:ascii="Times New Roman" w:hAnsi="Times New Roman"/>
      <w:b/>
    </w:rPr>
  </w:style>
  <w:style w:type="paragraph" w:styleId="ListNumber">
    <w:name w:val="List Number"/>
    <w:basedOn w:val="List"/>
    <w:rsid w:val="003E61B0"/>
    <w:pPr>
      <w:numPr>
        <w:numId w:val="10"/>
      </w:numPr>
    </w:pPr>
  </w:style>
  <w:style w:type="character" w:customStyle="1" w:styleId="WingdingSymbols">
    <w:name w:val="Wingding Symbols"/>
    <w:rsid w:val="003E61B0"/>
    <w:rPr>
      <w:rFonts w:ascii="Wingdings" w:hAnsi="Wingdings"/>
    </w:rPr>
  </w:style>
  <w:style w:type="paragraph" w:customStyle="1" w:styleId="TableHeading">
    <w:name w:val="Table Heading"/>
    <w:basedOn w:val="HeadingBase"/>
    <w:rsid w:val="003E61B0"/>
    <w:pPr>
      <w:keepLines/>
      <w:pBdr>
        <w:bottom w:val="single" w:sz="6" w:space="1" w:color="918585"/>
      </w:pBdr>
      <w:spacing w:before="240"/>
    </w:pPr>
  </w:style>
  <w:style w:type="character" w:customStyle="1" w:styleId="HotSpot">
    <w:name w:val="HotSpot"/>
    <w:rsid w:val="003E61B0"/>
    <w:rPr>
      <w:color w:val="0033CC"/>
      <w:u w:val="none"/>
    </w:rPr>
  </w:style>
  <w:style w:type="paragraph" w:customStyle="1" w:styleId="BodyTextRight">
    <w:name w:val="Body Text Right"/>
    <w:basedOn w:val="BodyText"/>
    <w:rsid w:val="003E61B0"/>
    <w:pPr>
      <w:spacing w:before="0" w:after="0"/>
      <w:jc w:val="right"/>
    </w:pPr>
  </w:style>
  <w:style w:type="paragraph" w:styleId="Index3">
    <w:name w:val="index 3"/>
    <w:basedOn w:val="ListNumber2"/>
    <w:next w:val="Normal"/>
    <w:semiHidden/>
    <w:rsid w:val="003E61B0"/>
    <w:pPr>
      <w:numPr>
        <w:numId w:val="0"/>
      </w:numPr>
      <w:tabs>
        <w:tab w:val="right" w:leader="dot" w:pos="4176"/>
      </w:tabs>
    </w:pPr>
  </w:style>
  <w:style w:type="paragraph" w:styleId="ListNumber2">
    <w:name w:val="List Number 2"/>
    <w:basedOn w:val="List2"/>
    <w:rsid w:val="003E61B0"/>
    <w:pPr>
      <w:numPr>
        <w:numId w:val="9"/>
      </w:numPr>
      <w:tabs>
        <w:tab w:val="clear" w:pos="1060"/>
      </w:tabs>
    </w:pPr>
  </w:style>
  <w:style w:type="paragraph" w:customStyle="1" w:styleId="MarginNote">
    <w:name w:val="Margin Note"/>
    <w:basedOn w:val="BodyText"/>
    <w:rsid w:val="003E6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1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61B0"/>
    <w:rPr>
      <w:sz w:val="32"/>
    </w:rPr>
  </w:style>
  <w:style w:type="paragraph" w:customStyle="1" w:styleId="HeadingProcedure">
    <w:name w:val="Heading Procedure"/>
    <w:basedOn w:val="HeadingBase"/>
    <w:next w:val="Normal"/>
    <w:rsid w:val="003E61B0"/>
    <w:pPr>
      <w:tabs>
        <w:tab w:val="left" w:pos="0"/>
      </w:tabs>
      <w:spacing w:before="120" w:after="60"/>
    </w:pPr>
    <w:rPr>
      <w:i/>
      <w:color w:val="918585"/>
      <w:sz w:val="22"/>
    </w:rPr>
  </w:style>
  <w:style w:type="paragraph" w:customStyle="1" w:styleId="TableBodyText">
    <w:name w:val="Table Body Text"/>
    <w:basedOn w:val="BodyText"/>
    <w:rsid w:val="003E61B0"/>
    <w:pPr>
      <w:spacing w:before="60" w:after="60"/>
    </w:pPr>
  </w:style>
  <w:style w:type="paragraph" w:styleId="ListContinue">
    <w:name w:val="List Continue"/>
    <w:basedOn w:val="List"/>
    <w:rsid w:val="003E61B0"/>
    <w:pPr>
      <w:ind w:firstLine="0"/>
    </w:pPr>
  </w:style>
  <w:style w:type="paragraph" w:customStyle="1" w:styleId="ListNote">
    <w:name w:val="List Note"/>
    <w:basedOn w:val="List"/>
    <w:rsid w:val="003E61B0"/>
    <w:pPr>
      <w:pBdr>
        <w:top w:val="single" w:sz="6" w:space="2" w:color="918585"/>
        <w:bottom w:val="single" w:sz="6" w:space="2" w:color="918585"/>
      </w:pBdr>
      <w:tabs>
        <w:tab w:val="left" w:pos="1021"/>
      </w:tabs>
      <w:ind w:firstLine="0"/>
    </w:pPr>
  </w:style>
  <w:style w:type="paragraph" w:customStyle="1" w:styleId="Warning">
    <w:name w:val="Warning"/>
    <w:basedOn w:val="BodyText"/>
    <w:rsid w:val="003E61B0"/>
    <w:pPr>
      <w:shd w:val="clear" w:color="auto" w:fill="D9D9D9"/>
      <w:tabs>
        <w:tab w:val="left" w:pos="992"/>
      </w:tabs>
      <w:ind w:left="119" w:right="119"/>
    </w:pPr>
    <w:rPr>
      <w:sz w:val="20"/>
    </w:rPr>
  </w:style>
  <w:style w:type="paragraph" w:customStyle="1" w:styleId="MarginIcons">
    <w:name w:val="Margin Icons"/>
    <w:basedOn w:val="BodyText"/>
    <w:rsid w:val="003E6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1B0"/>
    <w:rPr>
      <w:rFonts w:ascii="Courier New" w:hAnsi="Courier New"/>
    </w:rPr>
  </w:style>
  <w:style w:type="paragraph" w:customStyle="1" w:styleId="NoteBullet">
    <w:name w:val="Note Bullet"/>
    <w:basedOn w:val="Note"/>
    <w:rsid w:val="003E61B0"/>
    <w:pPr>
      <w:tabs>
        <w:tab w:val="clear" w:pos="680"/>
      </w:tabs>
      <w:spacing w:before="60" w:after="60"/>
    </w:pPr>
  </w:style>
  <w:style w:type="paragraph" w:customStyle="1" w:styleId="SubHeading2">
    <w:name w:val="SubHeading2"/>
    <w:basedOn w:val="HeadingBase"/>
    <w:rsid w:val="003E61B0"/>
    <w:pPr>
      <w:spacing w:before="240" w:after="60"/>
    </w:pPr>
    <w:rPr>
      <w:sz w:val="20"/>
    </w:rPr>
  </w:style>
  <w:style w:type="paragraph" w:customStyle="1" w:styleId="SubHeading1">
    <w:name w:val="SubHeading1"/>
    <w:basedOn w:val="HeadingBase"/>
    <w:rsid w:val="003E61B0"/>
    <w:pPr>
      <w:spacing w:before="240" w:after="60"/>
    </w:pPr>
    <w:rPr>
      <w:color w:val="918585"/>
      <w:sz w:val="22"/>
    </w:rPr>
  </w:style>
  <w:style w:type="paragraph" w:customStyle="1" w:styleId="SideHeading">
    <w:name w:val="Side Heading"/>
    <w:basedOn w:val="HeadingBase"/>
    <w:rsid w:val="003E6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1B0"/>
    <w:pPr>
      <w:tabs>
        <w:tab w:val="num" w:pos="360"/>
      </w:tabs>
    </w:pPr>
  </w:style>
  <w:style w:type="paragraph" w:styleId="PlainText">
    <w:name w:val="Plain Text"/>
    <w:basedOn w:val="Normal"/>
    <w:link w:val="PlainTextChar"/>
    <w:rsid w:val="003E61B0"/>
    <w:rPr>
      <w:sz w:val="20"/>
    </w:rPr>
  </w:style>
  <w:style w:type="character" w:customStyle="1" w:styleId="PlainTextChar">
    <w:name w:val="Plain Text Char"/>
    <w:basedOn w:val="DefaultParagraphFont"/>
    <w:link w:val="PlainText"/>
    <w:rsid w:val="003E61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61B0"/>
    <w:rPr>
      <w:b/>
      <w:smallCaps/>
    </w:rPr>
  </w:style>
  <w:style w:type="paragraph" w:customStyle="1" w:styleId="TableListNumber">
    <w:name w:val="Table List Number"/>
    <w:basedOn w:val="ListNumber"/>
    <w:rsid w:val="003E61B0"/>
    <w:pPr>
      <w:numPr>
        <w:numId w:val="0"/>
      </w:numPr>
    </w:pPr>
  </w:style>
  <w:style w:type="paragraph" w:styleId="TOC4">
    <w:name w:val="toc 4"/>
    <w:basedOn w:val="TOCBase"/>
    <w:next w:val="Normal"/>
    <w:semiHidden/>
    <w:rsid w:val="003E61B0"/>
    <w:pPr>
      <w:tabs>
        <w:tab w:val="right" w:leader="dot" w:pos="9071"/>
      </w:tabs>
      <w:ind w:left="1701"/>
    </w:pPr>
  </w:style>
  <w:style w:type="paragraph" w:customStyle="1" w:styleId="ListAlpha">
    <w:name w:val="List Alpha"/>
    <w:basedOn w:val="List"/>
    <w:rsid w:val="003E61B0"/>
    <w:pPr>
      <w:numPr>
        <w:numId w:val="8"/>
      </w:numPr>
    </w:pPr>
  </w:style>
  <w:style w:type="paragraph" w:customStyle="1" w:styleId="ListAlpha2">
    <w:name w:val="List Alpha 2"/>
    <w:basedOn w:val="List2"/>
    <w:rsid w:val="003E61B0"/>
    <w:pPr>
      <w:numPr>
        <w:numId w:val="7"/>
      </w:numPr>
    </w:pPr>
  </w:style>
  <w:style w:type="paragraph" w:styleId="List2">
    <w:name w:val="List 2"/>
    <w:basedOn w:val="BodyText"/>
    <w:rsid w:val="003E61B0"/>
    <w:pPr>
      <w:tabs>
        <w:tab w:val="left" w:pos="680"/>
      </w:tabs>
      <w:spacing w:before="60" w:after="60"/>
      <w:ind w:left="680" w:hanging="340"/>
    </w:pPr>
  </w:style>
  <w:style w:type="paragraph" w:styleId="List3">
    <w:name w:val="List 3"/>
    <w:basedOn w:val="BodyText"/>
    <w:rsid w:val="003E61B0"/>
    <w:pPr>
      <w:tabs>
        <w:tab w:val="left" w:pos="1021"/>
      </w:tabs>
      <w:spacing w:before="60" w:after="60"/>
      <w:ind w:left="1020" w:hanging="340"/>
    </w:pPr>
  </w:style>
  <w:style w:type="paragraph" w:styleId="List4">
    <w:name w:val="List 4"/>
    <w:basedOn w:val="BodyText"/>
    <w:rsid w:val="003E61B0"/>
    <w:pPr>
      <w:tabs>
        <w:tab w:val="left" w:pos="1361"/>
      </w:tabs>
      <w:spacing w:before="60" w:after="60"/>
      <w:ind w:left="1361" w:hanging="340"/>
    </w:pPr>
  </w:style>
  <w:style w:type="paragraph" w:styleId="List5">
    <w:name w:val="List 5"/>
    <w:basedOn w:val="BodyText"/>
    <w:rsid w:val="003E61B0"/>
    <w:pPr>
      <w:tabs>
        <w:tab w:val="left" w:pos="1701"/>
      </w:tabs>
      <w:spacing w:before="60" w:after="60"/>
      <w:ind w:left="1701" w:hanging="340"/>
    </w:pPr>
  </w:style>
  <w:style w:type="paragraph" w:styleId="ListBullet3">
    <w:name w:val="List Bullet 3"/>
    <w:basedOn w:val="List3"/>
    <w:rsid w:val="003E61B0"/>
    <w:pPr>
      <w:numPr>
        <w:numId w:val="14"/>
      </w:numPr>
      <w:tabs>
        <w:tab w:val="clear" w:pos="1021"/>
      </w:tabs>
      <w:ind w:left="1037" w:hanging="357"/>
    </w:pPr>
  </w:style>
  <w:style w:type="paragraph" w:styleId="ListBullet4">
    <w:name w:val="List Bullet 4"/>
    <w:basedOn w:val="List4"/>
    <w:rsid w:val="003E61B0"/>
    <w:pPr>
      <w:numPr>
        <w:numId w:val="2"/>
      </w:numPr>
    </w:pPr>
  </w:style>
  <w:style w:type="paragraph" w:styleId="ListBullet5">
    <w:name w:val="List Bullet 5"/>
    <w:basedOn w:val="List5"/>
    <w:rsid w:val="003E61B0"/>
    <w:pPr>
      <w:numPr>
        <w:numId w:val="3"/>
      </w:numPr>
    </w:pPr>
  </w:style>
  <w:style w:type="paragraph" w:styleId="ListContinue2">
    <w:name w:val="List Continue 2"/>
    <w:basedOn w:val="List2"/>
    <w:rsid w:val="003E61B0"/>
    <w:pPr>
      <w:ind w:firstLine="0"/>
    </w:pPr>
  </w:style>
  <w:style w:type="paragraph" w:styleId="ListContinue3">
    <w:name w:val="List Continue 3"/>
    <w:basedOn w:val="List3"/>
    <w:rsid w:val="003E61B0"/>
    <w:pPr>
      <w:ind w:left="1021" w:firstLine="0"/>
    </w:pPr>
  </w:style>
  <w:style w:type="paragraph" w:styleId="ListContinue4">
    <w:name w:val="List Continue 4"/>
    <w:basedOn w:val="List4"/>
    <w:rsid w:val="003E61B0"/>
    <w:pPr>
      <w:ind w:firstLine="0"/>
    </w:pPr>
  </w:style>
  <w:style w:type="paragraph" w:styleId="ListContinue5">
    <w:name w:val="List Continue 5"/>
    <w:basedOn w:val="List5"/>
    <w:rsid w:val="003E61B0"/>
    <w:pPr>
      <w:ind w:firstLine="0"/>
    </w:pPr>
  </w:style>
  <w:style w:type="paragraph" w:styleId="ListNumber3">
    <w:name w:val="List Number 3"/>
    <w:basedOn w:val="List3"/>
    <w:rsid w:val="003E61B0"/>
    <w:pPr>
      <w:numPr>
        <w:numId w:val="4"/>
      </w:numPr>
    </w:pPr>
  </w:style>
  <w:style w:type="paragraph" w:styleId="ListNumber4">
    <w:name w:val="List Number 4"/>
    <w:basedOn w:val="List4"/>
    <w:rsid w:val="003E61B0"/>
    <w:pPr>
      <w:numPr>
        <w:numId w:val="5"/>
      </w:numPr>
    </w:pPr>
  </w:style>
  <w:style w:type="paragraph" w:styleId="ListNumber5">
    <w:name w:val="List Number 5"/>
    <w:basedOn w:val="List5"/>
    <w:rsid w:val="003E61B0"/>
    <w:pPr>
      <w:numPr>
        <w:numId w:val="6"/>
      </w:numPr>
    </w:pPr>
  </w:style>
  <w:style w:type="paragraph" w:styleId="BlockText">
    <w:name w:val="Block Text"/>
    <w:basedOn w:val="Normal"/>
    <w:rsid w:val="003E61B0"/>
    <w:pPr>
      <w:spacing w:after="120"/>
      <w:ind w:left="1440" w:right="1440"/>
    </w:pPr>
  </w:style>
  <w:style w:type="character" w:customStyle="1" w:styleId="Subscript">
    <w:name w:val="Subscript"/>
    <w:basedOn w:val="DefaultParagraphFont"/>
    <w:rsid w:val="003E61B0"/>
    <w:rPr>
      <w:sz w:val="16"/>
      <w:vertAlign w:val="subscript"/>
    </w:rPr>
  </w:style>
  <w:style w:type="character" w:customStyle="1" w:styleId="Superscript">
    <w:name w:val="Superscript"/>
    <w:basedOn w:val="DefaultParagraphFont"/>
    <w:rsid w:val="003E61B0"/>
    <w:rPr>
      <w:sz w:val="16"/>
      <w:vertAlign w:val="superscript"/>
    </w:rPr>
  </w:style>
  <w:style w:type="character" w:customStyle="1" w:styleId="Symbols">
    <w:name w:val="Symbols"/>
    <w:basedOn w:val="DefaultParagraphFont"/>
    <w:rsid w:val="003E61B0"/>
    <w:rPr>
      <w:rFonts w:ascii="Symbol" w:hAnsi="Symbol"/>
    </w:rPr>
  </w:style>
  <w:style w:type="character" w:customStyle="1" w:styleId="MenuOptions">
    <w:name w:val="Menu Options"/>
    <w:basedOn w:val="DefaultParagraphFont"/>
    <w:rsid w:val="003E61B0"/>
    <w:rPr>
      <w:rFonts w:ascii="Arial Narrow" w:hAnsi="Arial Narrow"/>
      <w:smallCaps/>
    </w:rPr>
  </w:style>
  <w:style w:type="character" w:customStyle="1" w:styleId="Buttons">
    <w:name w:val="Buttons"/>
    <w:basedOn w:val="DefaultParagraphFont"/>
    <w:rsid w:val="003E61B0"/>
    <w:rPr>
      <w:b/>
    </w:rPr>
  </w:style>
  <w:style w:type="character" w:customStyle="1" w:styleId="Underlined">
    <w:name w:val="Underlined"/>
    <w:basedOn w:val="DefaultParagraphFont"/>
    <w:rsid w:val="003E61B0"/>
    <w:rPr>
      <w:u w:val="single"/>
    </w:rPr>
  </w:style>
  <w:style w:type="paragraph" w:customStyle="1" w:styleId="TableBodyTextRight">
    <w:name w:val="Table Body Text Right"/>
    <w:basedOn w:val="TableBodyText"/>
    <w:rsid w:val="003E61B0"/>
    <w:pPr>
      <w:widowControl w:val="0"/>
      <w:autoSpaceDE w:val="0"/>
      <w:autoSpaceDN w:val="0"/>
      <w:adjustRightInd w:val="0"/>
      <w:jc w:val="right"/>
    </w:pPr>
    <w:rPr>
      <w:rFonts w:cs="Arial"/>
      <w:szCs w:val="18"/>
    </w:rPr>
  </w:style>
  <w:style w:type="paragraph" w:customStyle="1" w:styleId="CopyrightText">
    <w:name w:val="Copyright Text"/>
    <w:basedOn w:val="BodyText"/>
    <w:rsid w:val="003E61B0"/>
    <w:rPr>
      <w:sz w:val="18"/>
    </w:rPr>
  </w:style>
  <w:style w:type="paragraph" w:customStyle="1" w:styleId="BodySmallRight">
    <w:name w:val="Body Small Right"/>
    <w:basedOn w:val="BodyTextRight"/>
    <w:rsid w:val="003E61B0"/>
    <w:rPr>
      <w:sz w:val="18"/>
      <w:szCs w:val="18"/>
    </w:rPr>
  </w:style>
  <w:style w:type="paragraph" w:customStyle="1" w:styleId="MarginEdition">
    <w:name w:val="Margin Edition"/>
    <w:basedOn w:val="MarginNote"/>
    <w:rsid w:val="003E61B0"/>
    <w:pPr>
      <w:spacing w:before="0" w:after="0"/>
    </w:pPr>
    <w:rPr>
      <w:rFonts w:ascii="Times New Roman" w:hAnsi="Times New Roman"/>
      <w:color w:val="999999"/>
    </w:rPr>
  </w:style>
  <w:style w:type="paragraph" w:customStyle="1" w:styleId="Spacer">
    <w:name w:val="Spacer"/>
    <w:basedOn w:val="Normal"/>
    <w:rsid w:val="003E61B0"/>
    <w:rPr>
      <w:sz w:val="2"/>
      <w:szCs w:val="2"/>
    </w:rPr>
  </w:style>
  <w:style w:type="character" w:customStyle="1" w:styleId="Small">
    <w:name w:val="Small"/>
    <w:basedOn w:val="DefaultParagraphFont"/>
    <w:rsid w:val="003E61B0"/>
    <w:rPr>
      <w:sz w:val="16"/>
    </w:rPr>
  </w:style>
  <w:style w:type="paragraph" w:customStyle="1" w:styleId="WideTable">
    <w:name w:val="Wide Table"/>
    <w:basedOn w:val="Normal"/>
    <w:rsid w:val="003E61B0"/>
    <w:pPr>
      <w:ind w:left="-1418"/>
    </w:pPr>
    <w:rPr>
      <w:sz w:val="2"/>
      <w:szCs w:val="2"/>
    </w:rPr>
  </w:style>
  <w:style w:type="character" w:styleId="PageNumber">
    <w:name w:val="page number"/>
    <w:basedOn w:val="DefaultParagraphFont"/>
    <w:rsid w:val="003E61B0"/>
  </w:style>
  <w:style w:type="paragraph" w:styleId="Quote">
    <w:name w:val="Quote"/>
    <w:basedOn w:val="Heading1"/>
    <w:link w:val="QuoteChar"/>
    <w:qFormat/>
    <w:rsid w:val="003E61B0"/>
    <w:rPr>
      <w:b w:val="0"/>
      <w:sz w:val="72"/>
      <w:szCs w:val="72"/>
      <w:lang w:val="en-NZ"/>
    </w:rPr>
  </w:style>
  <w:style w:type="character" w:customStyle="1" w:styleId="QuoteChar">
    <w:name w:val="Quote Char"/>
    <w:basedOn w:val="DefaultParagraphFont"/>
    <w:link w:val="Quote"/>
    <w:rsid w:val="003E6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1B0"/>
    <w:pPr>
      <w:pageBreakBefore/>
    </w:pPr>
  </w:style>
  <w:style w:type="paragraph" w:customStyle="1" w:styleId="Border">
    <w:name w:val="Border"/>
    <w:basedOn w:val="Normal"/>
    <w:qFormat/>
    <w:rsid w:val="003E6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1B0"/>
    <w:rPr>
      <w:b/>
      <w:bCs/>
      <w:i/>
      <w:iCs/>
      <w:color w:val="auto"/>
    </w:rPr>
  </w:style>
  <w:style w:type="paragraph" w:styleId="IntenseQuote">
    <w:name w:val="Intense Quote"/>
    <w:basedOn w:val="Normal"/>
    <w:next w:val="Normal"/>
    <w:link w:val="IntenseQuoteChar"/>
    <w:uiPriority w:val="30"/>
    <w:qFormat/>
    <w:rsid w:val="003E6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1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61B0"/>
    <w:rPr>
      <w:smallCaps/>
      <w:color w:val="auto"/>
      <w:u w:val="single"/>
    </w:rPr>
  </w:style>
  <w:style w:type="character" w:styleId="IntenseReference">
    <w:name w:val="Intense Reference"/>
    <w:basedOn w:val="DefaultParagraphFont"/>
    <w:uiPriority w:val="32"/>
    <w:qFormat/>
    <w:rsid w:val="003E61B0"/>
    <w:rPr>
      <w:b/>
      <w:bCs/>
      <w:smallCaps/>
      <w:color w:val="auto"/>
      <w:spacing w:val="5"/>
      <w:u w:val="single"/>
    </w:rPr>
  </w:style>
  <w:style w:type="paragraph" w:customStyle="1" w:styleId="2ColumnHeading">
    <w:name w:val="2Column Heading"/>
    <w:basedOn w:val="BodyText"/>
    <w:qFormat/>
    <w:rsid w:val="003E61B0"/>
    <w:pPr>
      <w:spacing w:after="60"/>
      <w:ind w:left="-2268"/>
    </w:pPr>
    <w:rPr>
      <w:b/>
    </w:rPr>
  </w:style>
  <w:style w:type="paragraph" w:customStyle="1" w:styleId="Heading1TOC">
    <w:name w:val="Heading1 TOC"/>
    <w:basedOn w:val="Normal"/>
    <w:qFormat/>
    <w:rsid w:val="003E61B0"/>
    <w:pPr>
      <w:spacing w:before="240" w:after="120"/>
    </w:pPr>
    <w:rPr>
      <w:rFonts w:ascii="Times New Roman" w:hAnsi="Times New Roman"/>
      <w:b/>
      <w:sz w:val="32"/>
    </w:rPr>
  </w:style>
  <w:style w:type="paragraph" w:customStyle="1" w:styleId="Heading2TOC">
    <w:name w:val="Heading2 TOC"/>
    <w:basedOn w:val="Normal"/>
    <w:qFormat/>
    <w:rsid w:val="003E61B0"/>
    <w:pPr>
      <w:spacing w:before="240" w:after="60"/>
    </w:pPr>
    <w:rPr>
      <w:rFonts w:ascii="Times New Roman" w:hAnsi="Times New Roman"/>
      <w:b/>
      <w:sz w:val="28"/>
    </w:rPr>
  </w:style>
  <w:style w:type="character" w:customStyle="1" w:styleId="Underline">
    <w:name w:val="Underline"/>
    <w:basedOn w:val="DefaultParagraphFont"/>
    <w:qFormat/>
    <w:rsid w:val="003E61B0"/>
    <w:rPr>
      <w:u w:val="single"/>
    </w:rPr>
  </w:style>
  <w:style w:type="character" w:customStyle="1" w:styleId="BoldandItalics">
    <w:name w:val="Bold and Italics"/>
    <w:qFormat/>
    <w:rsid w:val="003E61B0"/>
    <w:rPr>
      <w:b/>
      <w:i/>
      <w:u w:val="none"/>
    </w:rPr>
  </w:style>
  <w:style w:type="paragraph" w:styleId="BalloonText">
    <w:name w:val="Balloon Text"/>
    <w:basedOn w:val="Normal"/>
    <w:link w:val="BalloonTextChar"/>
    <w:rsid w:val="003E61B0"/>
    <w:rPr>
      <w:rFonts w:ascii="Tahoma" w:hAnsi="Tahoma" w:cs="Tahoma"/>
      <w:sz w:val="16"/>
      <w:szCs w:val="16"/>
    </w:rPr>
  </w:style>
  <w:style w:type="character" w:customStyle="1" w:styleId="BalloonTextChar">
    <w:name w:val="Balloon Text Char"/>
    <w:basedOn w:val="DefaultParagraphFont"/>
    <w:link w:val="BalloonText"/>
    <w:rsid w:val="003E61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61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1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1958</Words>
  <Characters>11710</Characters>
  <Application>Microsoft Office Word</Application>
  <DocSecurity>0</DocSecurity>
  <Lines>471</Lines>
  <Paragraphs>184</Paragraphs>
  <ScaleCrop>false</ScaleCrop>
  <Company>Author-it Software Corporation Ltd.</Company>
  <LinksUpToDate>false</LinksUpToDate>
  <CharactersWithSpaces>13529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UETTDRRF06A Perform rescue from a live LV panel</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2012-05-26T12:15:00Z</dcterms:created>
  <dcterms:modified xsi:type="dcterms:W3CDTF">2012-05-26T12:15:00Z</dcterms:modified>
</cp:coreProperties>
</file>