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8C9" w:rsidP="009518C9">
      <w:pPr>
        <w:pStyle w:val="Title"/>
      </w:pPr>
      <w:bookmarkStart w:id="0" w:name="_GoBack"/>
      <w:bookmarkEnd w:id="0"/>
      <w:r>
        <w:fldChar w:fldCharType="begin"/>
      </w:r>
      <w:r>
        <w:instrText xml:space="preserve"> TITLE   \* MERGEFORMAT </w:instrText>
      </w:r>
      <w:r>
        <w:fldChar w:fldCharType="separate"/>
      </w:r>
      <w:r>
        <w:t>UETTDRIS23B Implement and monitor environmental and sustainable energy management policies and procedures</w:t>
      </w:r>
      <w:r>
        <w:fldChar w:fldCharType="end"/>
      </w:r>
    </w:p>
    <w:p w:rsidR="009518C9" w:rsidP="009518C9">
      <w:pPr>
        <w:pStyle w:val="Version"/>
        <w:sectPr w:rsidSect="00DB7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16C" w:rsidP="00DB716C">
      <w:pPr>
        <w:pStyle w:val="SuperHeading"/>
      </w:pPr>
      <w:r w:rsidRPr="00DB716C">
        <w:t>UETTDRIS23B Implement and monitor environmental and sustainable energy management policies and procedures</w:t>
      </w:r>
    </w:p>
    <w:p w:rsidR="00000000" w:rsidRPr="00DB716C" w:rsidP="00DB716C">
      <w:pPr>
        <w:pStyle w:val="Heading1"/>
      </w:pPr>
      <w:bookmarkStart w:id="1" w:name="O_275485"/>
      <w:bookmarkEnd w:id="1"/>
      <w:r w:rsidRPr="00DB716C">
        <w:t>Modification History</w:t>
      </w:r>
    </w:p>
    <w:p w:rsidR="00000000" w:rsidRPr="00DB716C" w:rsidP="00DB716C">
      <w:pPr>
        <w:pStyle w:val="BodyText"/>
      </w:pPr>
      <w:r w:rsidRPr="00DB716C">
        <w:t>Not Applicable</w:t>
      </w:r>
    </w:p>
    <w:p w:rsidR="00000000" w:rsidRPr="00DB716C" w:rsidP="00DB716C">
      <w:pPr>
        <w:pStyle w:val="AllowPageBreak"/>
      </w:pPr>
    </w:p>
    <w:p w:rsidR="00000000" w:rsidRPr="00DB716C" w:rsidP="00DB716C">
      <w:pPr>
        <w:pStyle w:val="Heading1"/>
      </w:pPr>
      <w:bookmarkStart w:id="2" w:name="O_231543"/>
      <w:bookmarkEnd w:id="2"/>
      <w:r w:rsidRPr="00DB716C">
        <w:t>Unit Descriptor</w:t>
      </w:r>
    </w:p>
    <w:tbl>
      <w:tblPr>
        <w:tblW w:w="0" w:type="auto"/>
        <w:tblLayout w:type="fixed"/>
        <w:tblCellMar>
          <w:left w:w="62" w:type="dxa"/>
          <w:right w:w="62" w:type="dxa"/>
        </w:tblCellMar>
        <w:tblLook w:val="0000"/>
      </w:tblPr>
      <w:tblGrid>
        <w:gridCol w:w="2758"/>
        <w:gridCol w:w="5882"/>
      </w:tblGrid>
      <w:tr w:rsidTr="009518C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1</w:t>
            </w:r>
            <w:r w:rsidRPr="00DB716C">
              <w:t xml:space="preserve">) </w:t>
            </w:r>
          </w:p>
          <w:p w:rsidR="00000000" w:rsidP="00DB716C">
            <w:pPr>
              <w:pStyle w:val="BodyText"/>
              <w:rPr>
                <w:lang w:val="en-NZ"/>
              </w:rPr>
            </w:pPr>
            <w:r w:rsidRPr="00DB716C">
              <w:rPr>
                <w:rStyle w:val="SpecialBold"/>
              </w:rPr>
              <w:t>1</w:t>
            </w:r>
            <w:r w:rsidRPr="00DB716C">
              <w:t>.</w:t>
            </w:r>
            <w:r w:rsidRPr="00DB716C">
              <w:rPr>
                <w:rStyle w:val="SpecialBold"/>
              </w:rPr>
              <w:t>1</w:t>
            </w:r>
            <w:r w:rsidRPr="00DB716C">
              <w:t xml:space="preserve">) </w:t>
            </w:r>
            <w:r w:rsidRPr="00DB716C">
              <w:rPr>
                <w:rStyle w:val="SpecialBold"/>
              </w:rPr>
              <w:t>Descriptor</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This Competency Standard Unit specifies the outcomes for the collecting, interpretation and application of environmental management information, identification of environmental impacts and assessment of risks and establishment of best practice procedures f</w:t>
            </w:r>
            <w:r w:rsidRPr="00DB716C">
              <w:t>or implementation of the management plans to ensure compliance. It also consists of monitoring during the implementing of, environmental and sustainable energy policies and plans and, development of modifications as part of the review process.</w:t>
            </w:r>
          </w:p>
        </w:tc>
      </w:tr>
    </w:tbl>
    <w:p w:rsidR="009518C9" w:rsidP="00DB716C">
      <w:pPr>
        <w:pStyle w:val="BodyText"/>
      </w:pPr>
    </w:p>
    <w:p w:rsidR="009518C9" w:rsidP="00DB716C">
      <w:pPr>
        <w:pStyle w:val="BodyText"/>
      </w:pPr>
    </w:p>
    <w:p w:rsidR="00000000" w:rsidRPr="00DB716C" w:rsidP="00DB716C">
      <w:pPr>
        <w:pStyle w:val="Heading1"/>
      </w:pPr>
      <w:bookmarkStart w:id="3" w:name="O_231548"/>
      <w:bookmarkEnd w:id="3"/>
      <w:r w:rsidRPr="00DB716C">
        <w:t>Application of the Unit</w:t>
      </w:r>
    </w:p>
    <w:tbl>
      <w:tblPr>
        <w:tblW w:w="0" w:type="auto"/>
        <w:tblLayout w:type="fixed"/>
        <w:tblCellMar>
          <w:left w:w="62" w:type="dxa"/>
          <w:right w:w="62" w:type="dxa"/>
        </w:tblCellMar>
        <w:tblLook w:val="0000"/>
      </w:tblPr>
      <w:tblGrid>
        <w:gridCol w:w="2758"/>
        <w:gridCol w:w="5882"/>
      </w:tblGrid>
      <w:tr w:rsidTr="009518C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4</w:t>
            </w:r>
            <w:r w:rsidRPr="00DB716C">
              <w:t>)</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This Competency Standard Unit is intended to augment formally acquired competencies. It is suitable for employment-based programs under an approved contract of training.</w:t>
            </w:r>
          </w:p>
        </w:tc>
      </w:tr>
    </w:tbl>
    <w:p w:rsidR="009518C9" w:rsidP="00DB716C">
      <w:pPr>
        <w:pStyle w:val="BodyText"/>
      </w:pPr>
    </w:p>
    <w:p w:rsidR="009518C9" w:rsidP="00DB716C">
      <w:pPr>
        <w:pStyle w:val="BodyText"/>
      </w:pPr>
    </w:p>
    <w:p w:rsidR="00000000" w:rsidRPr="00DB716C" w:rsidP="00DB716C">
      <w:pPr>
        <w:pStyle w:val="Heading1"/>
      </w:pPr>
      <w:bookmarkStart w:id="4" w:name="O_231544"/>
      <w:bookmarkEnd w:id="4"/>
      <w:r w:rsidRPr="00DB716C">
        <w:t>Licensing/Regulatory Information</w:t>
      </w:r>
    </w:p>
    <w:tbl>
      <w:tblPr>
        <w:tblW w:w="0" w:type="auto"/>
        <w:tblLayout w:type="fixed"/>
        <w:tblCellMar>
          <w:left w:w="62" w:type="dxa"/>
          <w:right w:w="62" w:type="dxa"/>
        </w:tblCellMar>
        <w:tblLook w:val="0000"/>
      </w:tblPr>
      <w:tblGrid>
        <w:gridCol w:w="8640"/>
      </w:tblGrid>
      <w:tr w:rsidTr="009518C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1</w:t>
            </w:r>
            <w:r w:rsidRPr="00DB716C">
              <w:t>.</w:t>
            </w:r>
            <w:r w:rsidRPr="00DB716C">
              <w:rPr>
                <w:rStyle w:val="SpecialBold"/>
              </w:rPr>
              <w:t>2</w:t>
            </w:r>
            <w:r w:rsidRPr="00DB716C">
              <w:t xml:space="preserve">) </w:t>
            </w:r>
            <w:r w:rsidRPr="00DB716C">
              <w:rPr>
                <w:rStyle w:val="SpecialBold"/>
              </w:rPr>
              <w:t>License to practice</w:t>
            </w:r>
          </w:p>
        </w:tc>
      </w:tr>
      <w:tr w:rsidTr="009518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The skills and knowledge described in this unit may require a licence/registration to practice in the work place subject to regulations for undertaking of electrical work. Practice in workplace and</w:t>
            </w:r>
            <w:r w:rsidRPr="00DB716C">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DB716C">
              <w:t>ommonwealth, State/Territory or Local Government legislation and regulations may exist that limits the age of operating certain equipment.</w:t>
            </w:r>
          </w:p>
        </w:tc>
      </w:tr>
    </w:tbl>
    <w:p w:rsidR="009518C9" w:rsidP="00DB716C">
      <w:pPr>
        <w:pStyle w:val="BodyText"/>
      </w:pPr>
    </w:p>
    <w:p w:rsidR="009518C9" w:rsidP="00DB716C">
      <w:pPr>
        <w:pStyle w:val="BodyText"/>
      </w:pPr>
    </w:p>
    <w:p w:rsidR="00000000" w:rsidRPr="00DB716C" w:rsidP="00DB716C">
      <w:pPr>
        <w:pStyle w:val="Heading1"/>
      </w:pPr>
      <w:bookmarkStart w:id="5" w:name="O_231545"/>
      <w:bookmarkEnd w:id="5"/>
      <w:r w:rsidRPr="00DB716C">
        <w:t>Pre-Requisites</w:t>
      </w:r>
    </w:p>
    <w:tbl>
      <w:tblPr>
        <w:tblW w:w="0" w:type="auto"/>
        <w:tblLayout w:type="fixed"/>
        <w:tblCellMar>
          <w:left w:w="62" w:type="dxa"/>
          <w:right w:w="62" w:type="dxa"/>
        </w:tblCellMar>
        <w:tblLook w:val="0000"/>
      </w:tblPr>
      <w:tblGrid>
        <w:gridCol w:w="2758"/>
        <w:gridCol w:w="735"/>
        <w:gridCol w:w="2022"/>
        <w:gridCol w:w="3125"/>
      </w:tblGrid>
      <w:tr w:rsidTr="009518C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Prerequisite Unit</w:t>
            </w:r>
            <w:r w:rsidRPr="00DB716C">
              <w:t>(</w:t>
            </w:r>
            <w:r w:rsidRPr="00DB716C">
              <w:rPr>
                <w:rStyle w:val="SpecialBold"/>
              </w:rPr>
              <w:t>s</w:t>
            </w:r>
            <w:r w:rsidRPr="00DB716C">
              <w:t>)</w:t>
            </w:r>
          </w:p>
        </w:tc>
        <w:tc>
          <w:tcPr>
            <w:tcW w:w="5882"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2</w:t>
            </w:r>
            <w:r w:rsidRPr="00DB716C">
              <w:t xml:space="preserve">) </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DB716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2</w:t>
            </w:r>
            <w:r w:rsidRPr="00DB716C">
              <w:t>.</w:t>
            </w:r>
            <w:r w:rsidRPr="00DB716C">
              <w:rPr>
                <w:rStyle w:val="SpecialBold"/>
              </w:rPr>
              <w:t>1</w:t>
            </w:r>
            <w:r w:rsidRPr="00DB716C">
              <w:t xml:space="preserve">) </w:t>
            </w:r>
            <w:r w:rsidRPr="00DB716C">
              <w:rPr>
                <w:rStyle w:val="SpecialBold"/>
              </w:rPr>
              <w:t>Competencies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Granting of competency in this unit shall be made only after competency in the following unit(s) has/have been confirmed:.</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UETTDREL01B</w:t>
            </w:r>
          </w:p>
        </w:tc>
        <w:tc>
          <w:tcPr>
            <w:tcW w:w="3125"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Apply environment and sustainable energy procedures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For the full prerequisite chain details for this unit please refer to Table 3 in Volume 1, Part 2</w:t>
            </w:r>
          </w:p>
        </w:tc>
      </w:tr>
    </w:tbl>
    <w:p w:rsidR="009518C9" w:rsidP="00DB716C">
      <w:pPr>
        <w:pStyle w:val="BodyText"/>
      </w:pPr>
    </w:p>
    <w:p w:rsidR="009518C9" w:rsidP="00DB716C">
      <w:pPr>
        <w:pStyle w:val="BodyText"/>
      </w:pPr>
    </w:p>
    <w:p w:rsidR="00000000" w:rsidRPr="00DB716C" w:rsidP="00DB716C">
      <w:pPr>
        <w:pStyle w:val="Heading1"/>
      </w:pPr>
      <w:bookmarkStart w:id="6" w:name="O_231547"/>
      <w:bookmarkEnd w:id="6"/>
      <w:r w:rsidRPr="00DB716C">
        <w:t>Employability Skills Information</w:t>
      </w:r>
    </w:p>
    <w:tbl>
      <w:tblPr>
        <w:tblW w:w="0" w:type="auto"/>
        <w:tblLayout w:type="fixed"/>
        <w:tblCellMar>
          <w:left w:w="62" w:type="dxa"/>
          <w:right w:w="62" w:type="dxa"/>
        </w:tblCellMar>
        <w:tblLook w:val="0000"/>
      </w:tblPr>
      <w:tblGrid>
        <w:gridCol w:w="2758"/>
        <w:gridCol w:w="5882"/>
      </w:tblGrid>
      <w:tr w:rsidTr="009518C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3</w:t>
            </w:r>
            <w:r w:rsidRPr="00DB716C">
              <w:t>)</w:t>
            </w:r>
          </w:p>
          <w:p w:rsidR="00000000" w:rsidRPr="00DB716C" w:rsidP="00DB716C">
            <w:pPr>
              <w:pStyle w:val="BodyText"/>
            </w:pPr>
            <w:r w:rsidRPr="00DB716C">
              <w:t>The required outcomes described in this unit of competency contain applicable f</w:t>
            </w:r>
            <w:r w:rsidRPr="00DB716C">
              <w:t>acets of Employability Skills. The Employability Skills Summary of the qualification in which this unit of competency is packaged will assist in identifying Employability Skill requirements.</w:t>
            </w:r>
          </w:p>
        </w:tc>
      </w:tr>
    </w:tbl>
    <w:p w:rsidR="009518C9" w:rsidP="00DB716C">
      <w:pPr>
        <w:pStyle w:val="BodyText"/>
      </w:pPr>
    </w:p>
    <w:p w:rsidR="009518C9" w:rsidP="00DB716C">
      <w:pPr>
        <w:pStyle w:val="BodyText"/>
      </w:pPr>
    </w:p>
    <w:p w:rsidR="00000000" w:rsidRPr="00DB716C" w:rsidP="00DB716C">
      <w:pPr>
        <w:pStyle w:val="Heading1"/>
      </w:pPr>
      <w:bookmarkStart w:id="7" w:name="O_293531"/>
      <w:bookmarkEnd w:id="7"/>
      <w:r w:rsidRPr="00DB716C">
        <w:t>Elements and Performance Criteria Pre-Content</w:t>
      </w:r>
    </w:p>
    <w:tbl>
      <w:tblPr>
        <w:tblW w:w="0" w:type="auto"/>
        <w:tblLayout w:type="fixed"/>
        <w:tblCellMar>
          <w:left w:w="62" w:type="dxa"/>
          <w:right w:w="62" w:type="dxa"/>
        </w:tblCellMar>
        <w:tblLook w:val="0000"/>
      </w:tblPr>
      <w:tblGrid>
        <w:gridCol w:w="2758"/>
        <w:gridCol w:w="5882"/>
      </w:tblGrid>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6</w:t>
            </w:r>
            <w:r w:rsidRPr="00DB716C">
              <w:t xml:space="preserve">) </w:t>
            </w:r>
            <w:r w:rsidRPr="00DB716C">
              <w:rPr>
                <w:rStyle w:val="SpecialBold"/>
              </w:rPr>
              <w:t>Elements</w:t>
            </w:r>
            <w:r w:rsidRPr="00DB716C">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Performance Criteria describe the required performance needed to demonstrate achievement of the element. Assessment of performance is to be consistent with the evidence guide.</w:t>
            </w:r>
          </w:p>
        </w:tc>
      </w:tr>
    </w:tbl>
    <w:p w:rsidR="00000000" w:rsidRPr="00DB716C" w:rsidP="00DB716C">
      <w:pPr>
        <w:pStyle w:val="BodyText"/>
      </w:pPr>
    </w:p>
    <w:p w:rsidR="00000000" w:rsidRPr="00DB716C" w:rsidP="00DB716C">
      <w:pPr>
        <w:pStyle w:val="AllowPageBreak"/>
      </w:pPr>
    </w:p>
    <w:p w:rsidR="00000000" w:rsidRPr="00DB716C" w:rsidP="00DB716C">
      <w:pPr>
        <w:pStyle w:val="Heading1"/>
      </w:pPr>
      <w:bookmarkStart w:id="8" w:name="O_240199"/>
      <w:bookmarkEnd w:id="8"/>
      <w:r w:rsidRPr="00DB716C">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9518C9">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PERFORMANCE CRITERIA</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w:t>
            </w:r>
          </w:p>
        </w:tc>
        <w:tc>
          <w:tcPr>
            <w:tcW w:w="2344" w:type="dxa"/>
            <w:vMerge w:val="restart"/>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Prepare/plan to implement and monitor environmental and sustainable energy management policies and procedures</w:t>
            </w: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1.1</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Works schedule(s), including drawings, plans, requirements, established procedures, and material lists, are obtained, analysed, if necessary, by site inspection and the extent of the preparation of the work determined for planning and coordination.</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1.2</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Work is prioritised and sequenced for the most efficient and effective outcome following consultation with others for completion within acceptable timeframes, to a quality standard and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1.3</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Relevant requi</w:t>
            </w:r>
            <w:r w:rsidRPr="00DB716C">
              <w:t>rements and established procedures for the work are to all personnel and identified for all work sites.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1.4</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Hazards are identified, OHS risks assessed and control measures are prioritised, implemented and monitored including emergency exits kept clear, </w:t>
            </w:r>
            <w:r w:rsidRPr="00DB716C">
              <w:t>to ensure safe systems of work are followed and according to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1.5</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Relevant work permits are secured to coordinate the performance of work according to requirements and/or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1.6</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Resources including personnel, equipment, tools and personal protective equipment required for the job are identified, scheduled and coordinated and confirmed in a safe and technical working order.</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1.7</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Clients/Customers are provided with possible soluti</w:t>
            </w:r>
            <w:r w:rsidRPr="00DB716C">
              <w:t>ons and/or options within the scope, acceptable cost and requirements.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1.8</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Liaison and communication issues with other/authorised personnel, authorities, clients and land owners are resolved and activities coordinated to carry out work.</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1.9</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Personnel</w:t>
            </w:r>
            <w:r w:rsidRPr="00DB716C">
              <w:t xml:space="preserve"> participating in the work, including plant operators and contractors, are fully briefed and respective responsibilities authorised and coordinated where applicable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1.10</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Site is prepared acco</w:t>
            </w:r>
            <w:r w:rsidRPr="00DB716C">
              <w:t>rding to the work schedule and to minimise OHS risk, damage to property, commerce, and individuals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1.11</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Positioning of road signs, barriers and warning devices is planned in accordance with requirements, traffi</w:t>
            </w:r>
            <w:r w:rsidRPr="00DB716C">
              <w:t>c control management requirements and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w:t>
            </w:r>
          </w:p>
        </w:tc>
        <w:tc>
          <w:tcPr>
            <w:tcW w:w="2344" w:type="dxa"/>
            <w:vMerge w:val="restart"/>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Carry out the implementation and monitoring of environmental and sustainable energy management policies and procedures</w:t>
            </w: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2.1</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OHS and sustainable energy principles and practices to reduce the in</w:t>
            </w:r>
            <w:r w:rsidRPr="00DB716C">
              <w:t>cidents of accidents and minimise waste are implemented and monitored and actioned in accordance with requirements and/or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2.2</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First Aid, Pole Top Rescue and other related work procedures are performed according to requirements and/or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2.3</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Lifting, climbing, working in confined spaces, working at heights, and use of power tools/equipment, techniques and p</w:t>
            </w:r>
            <w:r w:rsidRPr="00DB716C">
              <w:t>ractices are safely exercised according to requirements.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2.4</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Hazard warnings and safety signs are recognised and hazards and assessed OHS risks are risk control measures are implemented, preventative action taken and monitored and/or appropriate authori</w:t>
            </w:r>
            <w:r w:rsidRPr="00DB716C">
              <w:t>ties consulted, where necessary, in accordance with requirements and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2.5</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Remedial actions are taken to overcome any shortfalls encountered in the work schedule according to requirements and/or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2.6</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Implementation and monitoring of environmental and sustainable energy management policies and procedures are carried out, in accordance with the work schedule and requirements and/or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2.7</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Essential knowledge and associated skills </w:t>
            </w:r>
            <w:r w:rsidRPr="00DB716C">
              <w:t>are applied in the safe implementation and monitoring of environmental and sustainable energy management policies and procedures to ensure completion in an agreed timeframe and, to quality standards with a minimum of waste according to requirements.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2.8</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Solutions to non-routine problems are identified and actioned using acquired essential knowledge and associated skills according to requirements.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2.9</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On going checks of quality of the work are undertaken in accordance with requirements and established </w:t>
            </w:r>
            <w:r w:rsidRPr="00DB716C">
              <w:t>procedures to ensure a quality like outcome is achieved for the client/customer and to a community/industry standard.</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w:t>
            </w:r>
          </w:p>
        </w:tc>
        <w:tc>
          <w:tcPr>
            <w:tcW w:w="2344" w:type="dxa"/>
            <w:vMerge w:val="restart"/>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Complete the implementation and monitoring of environmental and sustainable energy management policies and procedures</w:t>
            </w: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3.1</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Work undertaken is checked against works schedule for conformance with requirements, anomalies reported and solutions identified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3.2</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Accidents, incidents and/or injuries are reported and followed up in accordan</w:t>
            </w:r>
            <w:r w:rsidRPr="00DB716C">
              <w:t>ce with requirements/established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3.3</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Work site is rehabilitated, cleaned up and confirmed safe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3.4</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Tools, equipment and any surplus resources and materials are, where appropriate, cleaned, checked and returned to storage in accordance with established procedures.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3.5</w:t>
            </w:r>
          </w:p>
        </w:tc>
        <w:tc>
          <w:tcPr>
            <w:tcW w:w="496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Relevant work permit(s) are signed off and the work completed/returned to service an</w:t>
            </w:r>
            <w:r w:rsidRPr="00DB716C">
              <w:t>d advised to client/customer in accordance with requirements.</w:t>
            </w:r>
          </w:p>
        </w:tc>
      </w:tr>
      <w:tr w:rsidTr="009518C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3.6</w:t>
            </w:r>
          </w:p>
        </w:tc>
        <w:tc>
          <w:tcPr>
            <w:tcW w:w="4963"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Works completion records, reports, as installed /modified drawing(s) and/or documentation and information are confirmed, processed and appropriate personnel notified.</w:t>
            </w:r>
          </w:p>
        </w:tc>
      </w:tr>
    </w:tbl>
    <w:p w:rsidR="009518C9" w:rsidP="00DB716C">
      <w:pPr>
        <w:pStyle w:val="BodyText"/>
      </w:pPr>
    </w:p>
    <w:p w:rsidR="009518C9" w:rsidP="00DB716C">
      <w:pPr>
        <w:pStyle w:val="BodyText"/>
      </w:pPr>
    </w:p>
    <w:p w:rsidR="00000000" w:rsidRPr="00DB716C" w:rsidP="00DB716C">
      <w:pPr>
        <w:pStyle w:val="Heading1"/>
      </w:pPr>
      <w:bookmarkStart w:id="9" w:name="O_263990"/>
      <w:bookmarkEnd w:id="9"/>
      <w:r w:rsidRPr="00DB716C">
        <w:t>Required Skills and Knowledge</w:t>
      </w:r>
    </w:p>
    <w:tbl>
      <w:tblPr>
        <w:tblW w:w="0" w:type="auto"/>
        <w:tblLayout w:type="fixed"/>
        <w:tblCellMar>
          <w:left w:w="62" w:type="dxa"/>
          <w:right w:w="62" w:type="dxa"/>
        </w:tblCellMar>
        <w:tblLook w:val="0000"/>
      </w:tblPr>
      <w:tblGrid>
        <w:gridCol w:w="2758"/>
        <w:gridCol w:w="1103"/>
        <w:gridCol w:w="4779"/>
      </w:tblGrid>
      <w:tr w:rsidTr="009518C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REQUIRED SKILLS AND KNOWLEDGE</w:t>
            </w:r>
          </w:p>
        </w:tc>
      </w:tr>
      <w:tr w:rsidTr="009518C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7</w:t>
            </w:r>
            <w:r w:rsidRPr="00DB716C">
              <w:t xml:space="preserve">) </w:t>
            </w:r>
            <w:r w:rsidRPr="00DB716C">
              <w:rPr>
                <w:rStyle w:val="SpecialBold"/>
              </w:rPr>
              <w:t>Essential Knowledge and Associated Skills</w:t>
            </w:r>
            <w:r w:rsidRPr="00DB716C">
              <w:t xml:space="preserve"> (</w:t>
            </w:r>
            <w:r w:rsidRPr="00DB716C">
              <w:rPr>
                <w:rStyle w:val="SpecialBold"/>
              </w:rPr>
              <w:t>EKAS</w:t>
            </w:r>
            <w:r w:rsidRPr="00DB716C">
              <w:t>): This describes the essential skills and knowledge and their level, required for this unit.</w:t>
            </w:r>
          </w:p>
        </w:tc>
      </w:tr>
      <w:tr w:rsidTr="009518C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 xml:space="preserve">Evidence shall show that knowledge has been acquired of implementing and monitoring environmental and sustainable energy management policies and procedures. </w:t>
            </w:r>
          </w:p>
          <w:p w:rsidR="00000000" w:rsidRPr="00DB716C" w:rsidP="00DB716C">
            <w:pPr>
              <w:pStyle w:val="BodyText"/>
            </w:pPr>
            <w:r w:rsidRPr="00DB716C">
              <w:t>All knowledge and skills detailed in this unit should be contextualised to current industry practi</w:t>
            </w:r>
            <w:r w:rsidRPr="00DB716C">
              <w:t>ces and technologies.</w:t>
            </w:r>
          </w:p>
          <w:p w:rsidR="00000000" w:rsidP="00DB716C">
            <w:pPr>
              <w:pStyle w:val="BodyText"/>
              <w:rPr>
                <w:lang w:val="en-NZ"/>
              </w:rPr>
            </w:pPr>
            <w:r w:rsidRPr="00DB716C">
              <w:t>The extent of the essential knowledge and associated skills (EKAS) required is given in Volume 2 - Part 2.2 EKAS. It forms an integral part of this unit.</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T2.7.1</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Environmental fundamentals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T2.7.4</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Powerline environmental impact - </w:t>
            </w:r>
            <w:r w:rsidRPr="00DB716C">
              <w:t>implementation and monitoring</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T2.7.5</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Powerline sustainable energy management - implementation and monitoring</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T2.8.1</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Enterprise specific - policies and procedure instructions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T2.8.2</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Enterprise specific - OHS instructions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T2.8.3 </w:t>
            </w:r>
          </w:p>
        </w:tc>
        <w:tc>
          <w:tcPr>
            <w:tcW w:w="4779"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Enterprise specific - technical drawings and documents</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T2.8.5</w:t>
            </w:r>
          </w:p>
        </w:tc>
        <w:tc>
          <w:tcPr>
            <w:tcW w:w="4779"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Enterprise specific - sustainable energy principles</w:t>
            </w:r>
          </w:p>
        </w:tc>
      </w:tr>
    </w:tbl>
    <w:p w:rsidR="009518C9" w:rsidP="00DB716C">
      <w:pPr>
        <w:pStyle w:val="BodyText"/>
      </w:pPr>
    </w:p>
    <w:p w:rsidR="009518C9" w:rsidP="00DB716C">
      <w:pPr>
        <w:pStyle w:val="BodyText"/>
      </w:pPr>
    </w:p>
    <w:p w:rsidR="00000000" w:rsidRPr="00DB716C" w:rsidP="00DB716C">
      <w:pPr>
        <w:pStyle w:val="Heading1"/>
      </w:pPr>
      <w:bookmarkStart w:id="10" w:name="O_248182"/>
      <w:bookmarkEnd w:id="10"/>
      <w:r w:rsidRPr="00DB716C">
        <w:t>Evidence Guide</w:t>
      </w:r>
    </w:p>
    <w:tbl>
      <w:tblPr>
        <w:tblW w:w="0" w:type="auto"/>
        <w:tblLayout w:type="fixed"/>
        <w:tblCellMar>
          <w:left w:w="62" w:type="dxa"/>
          <w:right w:w="62" w:type="dxa"/>
        </w:tblCellMar>
        <w:tblLook w:val="0000"/>
      </w:tblPr>
      <w:tblGrid>
        <w:gridCol w:w="2207"/>
        <w:gridCol w:w="735"/>
        <w:gridCol w:w="919"/>
        <w:gridCol w:w="184"/>
        <w:gridCol w:w="1654"/>
        <w:gridCol w:w="2941"/>
      </w:tblGrid>
      <w:tr w:rsidTr="009518C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EVIDENCE GUIDE</w:t>
            </w:r>
          </w:p>
        </w:tc>
      </w:tr>
      <w:tr w:rsidTr="009518C9">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9</w:t>
            </w:r>
            <w:r w:rsidRPr="00DB716C">
              <w:t>) This provides essential advice for assessment of t</w:t>
            </w:r>
            <w:r w:rsidRPr="00DB716C">
              <w:t>he unit of competency and must be read in conjunction with the Performance Criteria and the range statement of the unit of competency and the Training Package Assessment Guidelines.</w:t>
            </w:r>
          </w:p>
          <w:p w:rsidR="00000000" w:rsidP="00DB716C">
            <w:pPr>
              <w:pStyle w:val="BodyText"/>
              <w:rPr>
                <w:lang w:val="en-NZ"/>
              </w:rPr>
            </w:pPr>
            <w:r w:rsidRPr="00DB716C">
              <w:t>The Evidence Guide forms an integral part of this Competency Standard Unit</w:t>
            </w:r>
            <w:r w:rsidRPr="00DB716C">
              <w:t xml:space="preserve"> and shall be used in conjunction with all component parts of this unit and, performed in accordance with the Assessment Guidelines of this Training Package.</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9</w:t>
            </w:r>
            <w:r w:rsidRPr="00DB716C">
              <w:t>.</w:t>
            </w:r>
            <w:r w:rsidRPr="00DB716C">
              <w:rPr>
                <w:rStyle w:val="SpecialBold"/>
              </w:rPr>
              <w:t>1</w:t>
            </w:r>
            <w:r w:rsidRPr="00DB716C">
              <w:t xml:space="preserve">) </w:t>
            </w:r>
          </w:p>
          <w:p w:rsidR="00000000" w:rsidRPr="00DB716C" w:rsidP="00DB716C">
            <w:pPr>
              <w:pStyle w:val="BodyText"/>
            </w:pPr>
            <w:r w:rsidRPr="00DB716C">
              <w:t>Longitudinal competency development approaches to assessment, such as Profiling, require data to be reliably gathered in a form that can be consistently interpreted over time. This approach is best utilised in Apprenticeship programs and reduces assessment</w:t>
            </w:r>
            <w:r w:rsidRPr="00DB716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B716C">
              <w:t>tency in a realistically simulated work environment. It is recognised that, in some circumstances, assessment in part or full can occur outside the workplace. However, it must be in accord with Industry and, Regulatory policy in this regard.</w:t>
            </w:r>
          </w:p>
          <w:p w:rsidR="00000000" w:rsidRPr="00DB716C" w:rsidP="00DB716C">
            <w:pPr>
              <w:pStyle w:val="BodyText"/>
            </w:pPr>
            <w:r w:rsidRPr="00DB716C">
              <w:t>Methods chosen</w:t>
            </w:r>
            <w:r w:rsidRPr="00DB716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B716C">
              <w:t>equired and the critical nature of the competencies being assessed.</w:t>
            </w:r>
          </w:p>
          <w:p w:rsidR="00000000" w:rsidRPr="00DB716C" w:rsidP="00DB716C">
            <w:pPr>
              <w:pStyle w:val="BodyText"/>
            </w:pPr>
            <w:r w:rsidRPr="00DB716C">
              <w:t>The critical safety nature of working with electricity, electrical equipment, gas or any other hazardous substance/material carries risk in deeming a person competent. Hence, sources of ev</w:t>
            </w:r>
            <w:r w:rsidRPr="00DB716C">
              <w:t>idence need to be 'rich' in nature so as to minimise error in judgment.</w:t>
            </w:r>
          </w:p>
          <w:p w:rsidR="00000000" w:rsidP="00DB716C">
            <w:pPr>
              <w:pStyle w:val="BodyText"/>
              <w:rPr>
                <w:lang w:val="en-NZ"/>
              </w:rPr>
            </w:pPr>
            <w:r w:rsidRPr="00DB716C">
              <w:t>Activities associated with normal every day work have a bearing on the decision as to how much and how detailed the data gathered will contribute to its 'richness'. Some skills are mor</w:t>
            </w:r>
            <w:r w:rsidRPr="00DB716C">
              <w:t>e critical to safety and operational requirements while the same skills may be more or less frequently practiced. These points are raised for the assessors to consider when choosing an assessment method and developing assessment instruments. Sample assessm</w:t>
            </w:r>
            <w:r w:rsidRPr="00DB716C">
              <w:t>ent instruments are included for Assessors in the Assessment Guidelines of this Training Package.</w:t>
            </w:r>
          </w:p>
        </w:tc>
      </w:tr>
      <w:tr w:rsidTr="009518C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9</w:t>
            </w:r>
            <w:r w:rsidRPr="00DB716C">
              <w:t>.</w:t>
            </w:r>
            <w:r w:rsidRPr="00DB716C">
              <w:rPr>
                <w:rStyle w:val="SpecialBold"/>
              </w:rPr>
              <w:t>2</w:t>
            </w:r>
            <w:r w:rsidRPr="00DB716C">
              <w:t xml:space="preserve">) </w:t>
            </w:r>
          </w:p>
          <w:p w:rsidR="00000000" w:rsidP="00DB716C">
            <w:pPr>
              <w:pStyle w:val="BodyText"/>
              <w:rPr>
                <w:lang w:val="en-NZ"/>
              </w:rPr>
            </w:pPr>
            <w:r w:rsidRPr="00DB716C">
              <w:t>Before the critical aspects of evidence are considered all prerequisit</w:t>
            </w:r>
            <w:r w:rsidRPr="00DB716C">
              <w:t>es shall be met.</w:t>
            </w:r>
          </w:p>
        </w:tc>
      </w:tr>
      <w:tr w:rsidTr="009518C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 xml:space="preserve">Evidence for competence in this unit shall be considered holistically. Each element and associated Performance Criteria shall be demonstrated </w:t>
            </w:r>
            <w:r w:rsidRPr="00DB716C">
              <w:t>on at least two occasions in accordance with the "Assessment Guidelines - UET09". Evidence shall also comprise:</w:t>
            </w:r>
          </w:p>
          <w:p w:rsidR="00000000" w:rsidP="00DB716C">
            <w:pPr>
              <w:pStyle w:val="ListBullet"/>
              <w:rPr>
                <w:lang w:val="en-NZ"/>
              </w:rPr>
            </w:pPr>
            <w:r w:rsidRPr="00DB716C">
              <w:t>A representative body of Performance Criteria demonstrated within the timeframes typically expected of the discipline, work function and industr</w:t>
            </w:r>
            <w:r w:rsidRPr="00DB716C">
              <w:t>ial environment. In particular this shall incorporate evidence that shows a candidate is able to:</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ListBullet2"/>
            </w:pPr>
            <w:r w:rsidRPr="00DB716C">
              <w:t xml:space="preserve">Implement Occupational Health and Safety workplace procedures and practices including </w:t>
            </w:r>
            <w:r w:rsidRPr="00DB716C">
              <w:t>the use of risk control measures as specified in the Performance Criteria and range; and</w:t>
            </w:r>
          </w:p>
          <w:p w:rsidR="00000000" w:rsidRPr="00DB716C" w:rsidP="00DB716C">
            <w:pPr>
              <w:pStyle w:val="ListBullet2"/>
            </w:pPr>
            <w:r w:rsidRPr="00DB716C">
              <w:t>Apply sustainable energy principles and practices as specified in the Performance Criteria and range; and</w:t>
            </w:r>
          </w:p>
          <w:p w:rsidR="00000000" w:rsidRPr="00DB716C" w:rsidP="00DB716C">
            <w:pPr>
              <w:pStyle w:val="ListBullet2"/>
            </w:pPr>
            <w:r w:rsidRPr="00DB716C">
              <w:t>Demonstrate an understanding of the essential knowledge and a</w:t>
            </w:r>
            <w:r w:rsidRPr="00DB716C">
              <w:t>ssociated skills as described in this unit to such an extent that the learner's performance outcome is reported in accordance with the preferred approach; namely a percentile graded result, where required by the regulated environment; and</w:t>
            </w:r>
          </w:p>
          <w:p w:rsidR="00000000" w:rsidRPr="00DB716C" w:rsidP="00DB716C">
            <w:pPr>
              <w:pStyle w:val="ListBullet2"/>
            </w:pPr>
            <w:r w:rsidRPr="00DB716C">
              <w:t>Demonstrate an ap</w:t>
            </w:r>
            <w:r w:rsidRPr="00DB716C">
              <w:t>propriate level of employability skills; and</w:t>
            </w:r>
          </w:p>
          <w:p w:rsidR="00000000" w:rsidP="00DB716C">
            <w:pPr>
              <w:pStyle w:val="ListBullet2"/>
              <w:rPr>
                <w:lang w:val="en-NZ"/>
              </w:rPr>
            </w:pPr>
            <w:r w:rsidRPr="00DB716C">
              <w:t>Conduct work observing the relevant Anti Discrimination legislation, regulations, policies and workplace procedures; and</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DB716C">
            <w:pPr>
              <w:pStyle w:val="ListBullet"/>
              <w:rPr>
                <w:lang w:val="en-NZ"/>
              </w:rPr>
            </w:pPr>
            <w:r w:rsidRPr="00DB716C">
              <w:t>Demonstrated performance across a representative range of contexts from the prescrib</w:t>
            </w:r>
            <w:r w:rsidRPr="00DB716C">
              <w:t>ed items below:</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B716C">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rPr>
                <w:rStyle w:val="SpecialBold"/>
              </w:rPr>
              <w:t>Range of tools</w:t>
            </w:r>
            <w:r w:rsidRPr="00DB716C">
              <w:t>/</w:t>
            </w:r>
            <w:r w:rsidRPr="00DB716C">
              <w:rPr>
                <w:rStyle w:val="SpecialBold"/>
              </w:rPr>
              <w:t>equipment</w:t>
            </w:r>
            <w:r w:rsidRPr="00DB716C">
              <w:t>/</w:t>
            </w:r>
            <w:r w:rsidRPr="00DB716C">
              <w:rPr>
                <w:rStyle w:val="SpecialBold"/>
              </w:rPr>
              <w:t>materials</w:t>
            </w:r>
            <w:r w:rsidRPr="00DB716C">
              <w:t>/</w:t>
            </w:r>
            <w:r w:rsidRPr="00DB716C">
              <w:rPr>
                <w:rStyle w:val="SpecialBold"/>
              </w:rPr>
              <w:t>procedures</w:t>
            </w:r>
            <w:r w:rsidRPr="00DB716C">
              <w:t>/</w:t>
            </w:r>
            <w:r w:rsidRPr="00DB716C">
              <w:rPr>
                <w:rStyle w:val="SpecialBold"/>
              </w:rPr>
              <w:t>workplaces</w:t>
            </w:r>
            <w:r w:rsidRPr="00DB716C">
              <w:t>/</w:t>
            </w:r>
            <w:r w:rsidRPr="00DB716C">
              <w:rPr>
                <w:rStyle w:val="SpecialBold"/>
              </w:rPr>
              <w:t>other variables</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B716C">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16C" w:rsidP="00DB716C">
            <w:pPr>
              <w:pStyle w:val="BodyText"/>
            </w:pPr>
            <w:r w:rsidRPr="00DB716C">
              <w:rPr>
                <w:rStyle w:val="SpecialBold"/>
              </w:rPr>
              <w:t>Group No</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16C" w:rsidP="00DB716C">
            <w:pPr>
              <w:pStyle w:val="BodyText"/>
            </w:pPr>
            <w:r w:rsidRPr="00DB716C">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rPr>
                <w:rStyle w:val="SpecialBold"/>
              </w:rPr>
              <w:t>Item List</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t>A</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t>All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16C" w:rsidP="00DB716C">
            <w:pPr>
              <w:pStyle w:val="BodyText"/>
            </w:pPr>
            <w:r w:rsidRPr="00DB716C">
              <w:t xml:space="preserve">Gather environmental management information. </w:t>
            </w:r>
          </w:p>
          <w:p w:rsidR="00000000" w:rsidRPr="00DB716C" w:rsidP="00DB716C">
            <w:pPr>
              <w:pStyle w:val="BodyText"/>
            </w:pPr>
            <w:r w:rsidRPr="00DB716C">
              <w:t>Implement and monitor environmental and sustainable energy policies and plans.</w:t>
            </w:r>
          </w:p>
          <w:p w:rsidR="00000000" w:rsidRPr="00DB716C" w:rsidP="00DB716C">
            <w:pPr>
              <w:pStyle w:val="BodyText"/>
            </w:pPr>
            <w:r w:rsidRPr="00DB716C">
              <w:t>Identify environmental impacts and assess risks.</w:t>
            </w:r>
          </w:p>
          <w:p w:rsidR="00000000" w:rsidRPr="00DB716C" w:rsidP="00DB716C">
            <w:pPr>
              <w:pStyle w:val="BodyText"/>
            </w:pPr>
            <w:r w:rsidRPr="00DB716C">
              <w:t>Implement and monitor the procedures for quantifying environmental impacts and con</w:t>
            </w:r>
            <w:r w:rsidRPr="00DB716C">
              <w:t>trolling risks.</w:t>
            </w:r>
          </w:p>
          <w:p w:rsidR="00000000" w:rsidRPr="00DB716C" w:rsidP="00DB716C">
            <w:pPr>
              <w:pStyle w:val="BodyText"/>
            </w:pPr>
            <w:r w:rsidRPr="00DB716C">
              <w:t>Implement and monitor procedures for dealing with environmental incidents.</w:t>
            </w:r>
          </w:p>
          <w:p w:rsidR="00000000" w:rsidP="00DB716C">
            <w:pPr>
              <w:pStyle w:val="BodyText"/>
              <w:rPr>
                <w:lang w:val="en-NZ"/>
              </w:rPr>
            </w:pPr>
            <w:r w:rsidRPr="00DB716C">
              <w:t>Maintain environmental records, reports and plans.</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t>B</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16C">
            <w:pPr>
              <w:pStyle w:val="BodyText"/>
              <w:rPr>
                <w:lang w:val="en-NZ"/>
              </w:rPr>
            </w:pPr>
            <w:r w:rsidRPr="00DB716C">
              <w:t>Dealing with an unplanned event by drawing on essential knowledge and associated skill</w:t>
            </w:r>
            <w:r w:rsidRPr="00DB716C">
              <w:t>s to provide appropriate solutions incorporated in the holistic assessment with the above listed items.</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9</w:t>
            </w:r>
            <w:r w:rsidRPr="00DB716C">
              <w:t>.</w:t>
            </w:r>
            <w:r w:rsidRPr="00DB716C">
              <w:rPr>
                <w:rStyle w:val="SpecialBold"/>
              </w:rPr>
              <w:t>3</w:t>
            </w:r>
            <w:r w:rsidRPr="00DB716C">
              <w:t xml:space="preserve">) </w:t>
            </w:r>
          </w:p>
          <w:p w:rsidR="00000000" w:rsidRPr="00DB716C" w:rsidP="00DB716C">
            <w:pPr>
              <w:pStyle w:val="BodyText"/>
            </w:pPr>
            <w:r w:rsidRPr="00DB716C">
              <w:t>This unit should be assessed as it relates to normal work practice using procedures, information and resources typical of a workplace. This should include:</w:t>
            </w:r>
          </w:p>
          <w:p w:rsidR="00000000" w:rsidRPr="00DB716C" w:rsidP="00DB716C">
            <w:pPr>
              <w:pStyle w:val="ListBullet"/>
            </w:pPr>
            <w:r w:rsidRPr="00DB716C">
              <w:t>OHS policy and work procedures and instructions.</w:t>
            </w:r>
          </w:p>
          <w:p w:rsidR="00000000" w:rsidP="00DB716C">
            <w:pPr>
              <w:pStyle w:val="ListBullet"/>
              <w:rPr>
                <w:lang w:val="en-NZ"/>
              </w:rPr>
            </w:pPr>
            <w:r w:rsidRPr="00DB716C">
              <w:t>Suitable work environment, facilities, equipment an</w:t>
            </w:r>
            <w:r w:rsidRPr="00DB716C">
              <w:t>d materials to undertake actual implementation and monitoring of environmental and sustainable energy management policies and procedures.</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In addition to the resources listed above, in Context of and specific resources for assessment, evidence should show demonstrated competency working below ground, in limited spaces, with different structural/construction types and method and in a variety o</w:t>
            </w:r>
            <w:r w:rsidRPr="00DB716C">
              <w:t xml:space="preserve">f environments. </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9</w:t>
            </w:r>
            <w:r w:rsidRPr="00DB716C">
              <w:t>.</w:t>
            </w:r>
            <w:r w:rsidRPr="00DB716C">
              <w:rPr>
                <w:rStyle w:val="SpecialBold"/>
              </w:rPr>
              <w:t>4</w:t>
            </w:r>
            <w:r w:rsidRPr="00DB716C">
              <w:t xml:space="preserve">) </w:t>
            </w:r>
          </w:p>
          <w:p w:rsidR="00000000" w:rsidRPr="00DB716C" w:rsidP="00DB716C">
            <w:pPr>
              <w:pStyle w:val="BodyText"/>
            </w:pPr>
            <w:r w:rsidRPr="00DB716C">
              <w:t>This Competency Standard Unit shall be assessed by methods given in Volume 1, Part 3 "Assessment Guidelines".</w:t>
            </w:r>
          </w:p>
          <w:p w:rsidR="00000000" w:rsidP="00DB716C">
            <w:pPr>
              <w:pStyle w:val="BodyText"/>
              <w:rPr>
                <w:lang w:val="en-NZ"/>
              </w:rPr>
            </w:pPr>
            <w:r w:rsidRPr="00DB716C">
              <w:t>Note:</w:t>
            </w:r>
            <w:r w:rsidRPr="00DB716C">
              <w:br/>
              <w:t>Competent performance with inherent safe working practices is expected in the Industry to w</w:t>
            </w:r>
            <w:r w:rsidRPr="00DB716C">
              <w:t>hich this Competency Standard Unit applies. This requires that the specified essential knowledge and associated skills are assessed in a structured environment which is primarily intended for learning/assessment and incorporates all necessary equipment and</w:t>
            </w:r>
            <w:r w:rsidRPr="00DB716C">
              <w:t xml:space="preserve"> facilities for learners to develop and demonstrate the essential knowledge and associated skills described in this unit.</w:t>
            </w:r>
          </w:p>
        </w:tc>
      </w:tr>
      <w:tr w:rsidTr="009518C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9</w:t>
            </w:r>
            <w:r w:rsidRPr="00DB716C">
              <w:t>.</w:t>
            </w:r>
            <w:r w:rsidRPr="00DB716C">
              <w:rPr>
                <w:rStyle w:val="SpecialBold"/>
              </w:rPr>
              <w:t>5</w:t>
            </w:r>
            <w:r w:rsidRPr="00DB716C">
              <w:t>)</w:t>
            </w:r>
          </w:p>
        </w:tc>
      </w:tr>
      <w:tr w:rsidTr="009518C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 xml:space="preserve">For optimisation of training and assessment effort, competence in this unit may be assessed concurrently with the following units: </w:t>
            </w:r>
          </w:p>
        </w:tc>
      </w:tr>
      <w:tr w:rsidTr="009518C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UETTDRIS22B</w:t>
            </w:r>
          </w:p>
        </w:tc>
        <w:tc>
          <w:tcPr>
            <w:tcW w:w="4595" w:type="dxa"/>
            <w:gridSpan w:val="2"/>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Implement and monitor environmental and sustainable energy management policies and procedures</w:t>
            </w:r>
          </w:p>
        </w:tc>
      </w:tr>
    </w:tbl>
    <w:p w:rsidR="009518C9" w:rsidP="00DB716C">
      <w:pPr>
        <w:pStyle w:val="BodyText"/>
      </w:pPr>
    </w:p>
    <w:p w:rsidR="009518C9" w:rsidP="00DB716C">
      <w:pPr>
        <w:pStyle w:val="BodyText"/>
      </w:pPr>
    </w:p>
    <w:p w:rsidR="00000000" w:rsidRPr="00DB716C" w:rsidP="00DB716C">
      <w:pPr>
        <w:pStyle w:val="Heading1"/>
      </w:pPr>
      <w:bookmarkStart w:id="11" w:name="O_256166"/>
      <w:bookmarkEnd w:id="11"/>
      <w:r w:rsidRPr="00DB716C">
        <w:t>Range Statement</w:t>
      </w:r>
    </w:p>
    <w:tbl>
      <w:tblPr>
        <w:tblW w:w="0" w:type="auto"/>
        <w:tblLayout w:type="fixed"/>
        <w:tblCellMar>
          <w:left w:w="62" w:type="dxa"/>
          <w:right w:w="62" w:type="dxa"/>
        </w:tblCellMar>
        <w:tblLook w:val="0000"/>
      </w:tblPr>
      <w:tblGrid>
        <w:gridCol w:w="2207"/>
        <w:gridCol w:w="6433"/>
      </w:tblGrid>
      <w:tr w:rsidTr="009518C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RANGE STATEMENT</w:t>
            </w:r>
          </w:p>
        </w:tc>
      </w:tr>
      <w:tr w:rsidTr="009518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8</w:t>
            </w:r>
            <w:r w:rsidRPr="00DB716C">
              <w:t>) This relates to the unit of competency as a whole providing the range of contexts and conditions to which the Performance Criteria apply. It allows for different work environments and situations that wil</w:t>
            </w:r>
            <w:r w:rsidRPr="00DB716C">
              <w:t>l affect performance.</w:t>
            </w:r>
          </w:p>
        </w:tc>
      </w:tr>
      <w:tr w:rsidTr="009518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This Competency Standard Unit shall/may be demonstrated in relation to implementing and monitoring environmental and sustainable energy management policies and procedures and may include the following equipment:</w:t>
            </w:r>
          </w:p>
          <w:p w:rsidR="00000000" w:rsidRPr="00DB716C" w:rsidP="00DB716C">
            <w:pPr>
              <w:pStyle w:val="BodyText"/>
            </w:pPr>
            <w:r w:rsidRPr="00DB716C">
              <w:t>Environmental legislation may include relevant federal legislation; relevant state/territory legislation; relevant local government by-laws; relevant government or quasi government policies and regulations; relevant community planning and development agree</w:t>
            </w:r>
            <w:r w:rsidRPr="00DB716C">
              <w:t>ments (eg. land care agreements)</w:t>
            </w:r>
          </w:p>
          <w:p w:rsidR="00000000" w:rsidRPr="00DB716C" w:rsidP="00DB716C">
            <w:pPr>
              <w:pStyle w:val="BodyText"/>
            </w:pPr>
            <w:r w:rsidRPr="00DB716C">
              <w:t>Incidents of environmental impact may include emissions to air; releases to/of water; releases to land; disposal of waste; contamination of land; impact on communities; destruction of habitat; use of energy sources; waste g</w:t>
            </w:r>
            <w:r w:rsidRPr="00DB716C">
              <w:t>eneration processes and technologies; extraction of water; changes to water temperature; changes to water salinity; regulation of water flow; land use; and may involve the implementation of emergency responses</w:t>
            </w:r>
          </w:p>
          <w:p w:rsidR="00000000" w:rsidRPr="00DB716C" w:rsidP="00DB716C">
            <w:pPr>
              <w:pStyle w:val="BodyText"/>
            </w:pPr>
            <w:r w:rsidRPr="00DB716C">
              <w:t>Environmental management documentation may inc</w:t>
            </w:r>
            <w:r w:rsidRPr="00DB716C">
              <w:t>lude information on applicable environmental laws or other requirements; complaint records; training records; process information; process operational log books; inspection, maintenance and calibration records; relevant contractor and supplier information;</w:t>
            </w:r>
            <w:r w:rsidRPr="00DB716C">
              <w:t xml:space="preserve"> incident reports; information on emergency preparedness and response. </w:t>
            </w:r>
          </w:p>
          <w:p w:rsidR="00000000" w:rsidP="00DB716C">
            <w:pPr>
              <w:pStyle w:val="BodyText"/>
              <w:rPr>
                <w:lang w:val="en-NZ"/>
              </w:rPr>
            </w:pPr>
            <w:r w:rsidRPr="00DB716C">
              <w:t>The following constants and variables included in the element/Performance Criteria in this unit are fully described in the Definitions Section 1 of this volume and form an integral par</w:t>
            </w:r>
            <w:r w:rsidRPr="00DB716C">
              <w:t>t of the Range Statement of this unit:</w:t>
            </w:r>
          </w:p>
        </w:tc>
      </w:tr>
      <w:tr w:rsidTr="009518C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DB716C" w:rsidP="00DB716C">
            <w:pPr>
              <w:pStyle w:val="ListBullet"/>
            </w:pPr>
            <w:r w:rsidRPr="00DB716C">
              <w:t>Appropriate and relevant persons (see Personnel)</w:t>
            </w:r>
          </w:p>
          <w:p w:rsidR="00000000" w:rsidRPr="00DB716C" w:rsidP="00DB716C">
            <w:pPr>
              <w:pStyle w:val="ListBullet"/>
            </w:pPr>
            <w:r w:rsidRPr="00DB716C">
              <w:t>Appropriate authorities</w:t>
            </w:r>
          </w:p>
          <w:p w:rsidR="00000000" w:rsidRPr="00DB716C" w:rsidP="00DB716C">
            <w:pPr>
              <w:pStyle w:val="ListBullet"/>
            </w:pPr>
            <w:r w:rsidRPr="00DB716C">
              <w:t>Appropriate work platform</w:t>
            </w:r>
          </w:p>
          <w:p w:rsidR="00000000" w:rsidRPr="00DB716C" w:rsidP="00DB716C">
            <w:pPr>
              <w:pStyle w:val="ListBullet"/>
            </w:pPr>
            <w:r w:rsidRPr="00DB716C">
              <w:t>Assessing risk</w:t>
            </w:r>
          </w:p>
          <w:p w:rsidR="00000000" w:rsidRPr="00DB716C" w:rsidP="00DB716C">
            <w:pPr>
              <w:pStyle w:val="ListBullet"/>
            </w:pPr>
            <w:r w:rsidRPr="00DB716C">
              <w:t>Assessment</w:t>
            </w:r>
          </w:p>
          <w:p w:rsidR="00000000" w:rsidRPr="00DB716C" w:rsidP="00DB716C">
            <w:pPr>
              <w:pStyle w:val="ListBullet"/>
            </w:pPr>
            <w:r w:rsidRPr="00DB716C">
              <w:t>Authorisation</w:t>
            </w:r>
          </w:p>
          <w:p w:rsidR="00000000" w:rsidRPr="00DB716C" w:rsidP="00DB716C">
            <w:pPr>
              <w:pStyle w:val="ListBullet"/>
            </w:pPr>
            <w:r w:rsidRPr="00DB716C">
              <w:t>Documenting detail work events, record keeping and or storage of informatio</w:t>
            </w:r>
            <w:r w:rsidRPr="00DB716C">
              <w:t>n</w:t>
            </w:r>
          </w:p>
          <w:p w:rsidR="00000000" w:rsidRPr="00DB716C" w:rsidP="00DB716C">
            <w:pPr>
              <w:pStyle w:val="ListBullet"/>
            </w:pPr>
            <w:r w:rsidRPr="00DB716C">
              <w:t>Drawings and specifications</w:t>
            </w:r>
          </w:p>
          <w:p w:rsidR="00000000" w:rsidRPr="00DB716C" w:rsidP="00DB716C">
            <w:pPr>
              <w:pStyle w:val="ListBullet"/>
            </w:pPr>
            <w:r w:rsidRPr="00DB716C">
              <w:t>Emergency</w:t>
            </w:r>
          </w:p>
          <w:p w:rsidR="00000000" w:rsidRPr="00DB716C" w:rsidP="00DB716C">
            <w:pPr>
              <w:pStyle w:val="ListBullet"/>
            </w:pPr>
            <w:r w:rsidRPr="00DB716C">
              <w:t>Environmental and sustainable energy procedures</w:t>
            </w:r>
          </w:p>
          <w:p w:rsidR="00000000" w:rsidRPr="00DB716C" w:rsidP="00DB716C">
            <w:pPr>
              <w:pStyle w:val="ListBullet"/>
            </w:pPr>
            <w:r w:rsidRPr="00DB716C">
              <w:t>Environmental legislation</w:t>
            </w:r>
          </w:p>
          <w:p w:rsidR="00000000" w:rsidRPr="00DB716C" w:rsidP="00DB716C">
            <w:pPr>
              <w:pStyle w:val="ListBullet"/>
            </w:pPr>
            <w:r w:rsidRPr="00DB716C">
              <w:t>Environmental management documentation</w:t>
            </w:r>
          </w:p>
          <w:p w:rsidR="00000000" w:rsidRPr="00DB716C" w:rsidP="00DB716C">
            <w:pPr>
              <w:pStyle w:val="ListBullet"/>
            </w:pPr>
            <w:r w:rsidRPr="00DB716C">
              <w:t>Established procedures</w:t>
            </w:r>
          </w:p>
          <w:p w:rsidR="00000000" w:rsidRPr="00DB716C" w:rsidP="00DB716C">
            <w:pPr>
              <w:pStyle w:val="ListBullet"/>
            </w:pPr>
            <w:r w:rsidRPr="00DB716C">
              <w:t>Fall prevention</w:t>
            </w:r>
          </w:p>
          <w:p w:rsidR="00000000" w:rsidRPr="00DB716C" w:rsidP="00DB716C">
            <w:pPr>
              <w:pStyle w:val="ListBullet"/>
            </w:pPr>
            <w:r w:rsidRPr="00DB716C">
              <w:t>Hazards</w:t>
            </w:r>
          </w:p>
          <w:p w:rsidR="00000000" w:rsidRPr="00DB716C" w:rsidP="00DB716C">
            <w:pPr>
              <w:pStyle w:val="ListBullet"/>
            </w:pPr>
            <w:r w:rsidRPr="00DB716C">
              <w:t>Identifying hazards</w:t>
            </w:r>
          </w:p>
          <w:p w:rsidR="00000000" w:rsidRPr="00DB716C" w:rsidP="00DB716C">
            <w:pPr>
              <w:pStyle w:val="ListBullet"/>
            </w:pPr>
            <w:r w:rsidRPr="00DB716C">
              <w:t>Inspect</w:t>
            </w:r>
          </w:p>
          <w:p w:rsidR="00000000" w:rsidRPr="00DB716C" w:rsidP="00DB716C">
            <w:pPr>
              <w:pStyle w:val="ListBullet"/>
            </w:pPr>
            <w:r w:rsidRPr="00DB716C">
              <w:t>Legislation</w:t>
            </w:r>
          </w:p>
          <w:p w:rsidR="00000000" w:rsidRPr="00DB716C" w:rsidP="00DB716C">
            <w:pPr>
              <w:pStyle w:val="ListBullet"/>
            </w:pPr>
            <w:r w:rsidRPr="00DB716C">
              <w:t>Notification</w:t>
            </w:r>
          </w:p>
          <w:p w:rsidR="00000000" w:rsidRPr="00DB716C" w:rsidP="00DB716C">
            <w:pPr>
              <w:pStyle w:val="ListBullet"/>
            </w:pPr>
            <w:r w:rsidRPr="00DB716C">
              <w:t>OHS practices</w:t>
            </w:r>
          </w:p>
          <w:p w:rsidR="00000000" w:rsidRPr="00DB716C" w:rsidP="00DB716C">
            <w:pPr>
              <w:pStyle w:val="ListBullet"/>
            </w:pPr>
            <w:r w:rsidRPr="00DB716C">
              <w:t>OHS issues</w:t>
            </w:r>
          </w:p>
          <w:p w:rsidR="00000000" w:rsidRPr="00DB716C" w:rsidP="00DB716C">
            <w:pPr>
              <w:pStyle w:val="ListBullet"/>
            </w:pPr>
            <w:r w:rsidRPr="00DB716C">
              <w:t>Permits and/or permits to work</w:t>
            </w:r>
          </w:p>
          <w:p w:rsidR="00000000" w:rsidRPr="00DB716C" w:rsidP="00DB716C">
            <w:pPr>
              <w:pStyle w:val="ListBullet"/>
            </w:pPr>
            <w:r w:rsidRPr="00DB716C">
              <w:t>Personnel</w:t>
            </w:r>
          </w:p>
          <w:p w:rsidR="00000000" w:rsidRPr="00DB716C" w:rsidP="00DB716C">
            <w:pPr>
              <w:pStyle w:val="ListBullet"/>
            </w:pPr>
            <w:r w:rsidRPr="00DB716C">
              <w:t>Quality assurance systems</w:t>
            </w:r>
          </w:p>
          <w:p w:rsidR="00000000" w:rsidRPr="00DB716C" w:rsidP="00DB716C">
            <w:pPr>
              <w:pStyle w:val="ListBullet"/>
            </w:pPr>
            <w:r w:rsidRPr="00DB716C">
              <w:t>Requirements</w:t>
            </w:r>
          </w:p>
          <w:p w:rsidR="00000000" w:rsidRPr="00DB716C" w:rsidP="00DB716C">
            <w:pPr>
              <w:pStyle w:val="ListBullet"/>
            </w:pPr>
            <w:r w:rsidRPr="00DB716C">
              <w:t>Testing procedures</w:t>
            </w:r>
          </w:p>
          <w:p w:rsidR="00000000" w:rsidRPr="00DB716C" w:rsidP="00DB716C">
            <w:pPr>
              <w:pStyle w:val="ListBullet"/>
            </w:pPr>
            <w:r w:rsidRPr="00DB716C">
              <w:t>Work clearance systems</w:t>
            </w:r>
          </w:p>
        </w:tc>
      </w:tr>
    </w:tbl>
    <w:p w:rsidR="009518C9" w:rsidP="00DB716C">
      <w:pPr>
        <w:pStyle w:val="BodyText"/>
      </w:pPr>
    </w:p>
    <w:p w:rsidR="009518C9" w:rsidP="00DB716C">
      <w:pPr>
        <w:pStyle w:val="BodyText"/>
      </w:pPr>
    </w:p>
    <w:p w:rsidR="00000000" w:rsidRPr="00DB716C" w:rsidP="00DB716C">
      <w:pPr>
        <w:pStyle w:val="Heading1"/>
      </w:pPr>
      <w:bookmarkStart w:id="12" w:name="O_297179"/>
      <w:bookmarkEnd w:id="12"/>
      <w:r w:rsidRPr="00DB716C">
        <w:t>Unit Sector(s)</w:t>
      </w:r>
    </w:p>
    <w:p w:rsidR="00000000" w:rsidRPr="00DB716C" w:rsidP="00DB716C">
      <w:pPr>
        <w:pStyle w:val="BodyText"/>
      </w:pPr>
      <w:r w:rsidRPr="00DB716C">
        <w:t>Not Applicable</w:t>
      </w:r>
    </w:p>
    <w:p w:rsidR="00000000" w:rsidRPr="00DB716C" w:rsidP="00DB716C">
      <w:pPr>
        <w:pStyle w:val="AllowPageBreak"/>
      </w:pPr>
    </w:p>
    <w:p w:rsidR="00000000" w:rsidRPr="00DB716C" w:rsidP="00DB716C">
      <w:pPr>
        <w:pStyle w:val="Heading1"/>
      </w:pPr>
      <w:bookmarkStart w:id="13" w:name="O_231546"/>
      <w:bookmarkEnd w:id="13"/>
      <w:r w:rsidRPr="00DB716C">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9518C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2</w:t>
            </w:r>
            <w:r w:rsidRPr="00DB716C">
              <w:t>.</w:t>
            </w:r>
            <w:r w:rsidRPr="00DB716C">
              <w:rPr>
                <w:rStyle w:val="SpecialBold"/>
              </w:rPr>
              <w:t>2</w:t>
            </w:r>
            <w:r w:rsidRPr="00DB716C">
              <w:t xml:space="preserve">) </w:t>
            </w:r>
            <w:r w:rsidRPr="00DB716C">
              <w:rPr>
                <w:rStyle w:val="SpecialBold"/>
              </w:rPr>
              <w:t>Literacy and numeracy skills</w:t>
            </w:r>
          </w:p>
          <w:p w:rsidR="00000000" w:rsidP="00DB716C">
            <w:pPr>
              <w:pStyle w:val="BodyText"/>
              <w:rPr>
                <w:lang w:val="en-NZ"/>
              </w:rPr>
            </w:pPr>
            <w:r w:rsidRPr="00DB716C">
              <w:t>Participants are best equipped to achieve this unit if they have reading, writing and numeracy skills indicated by the following scales. Description of each scale is given in Volume 2, Part 3 "Literacy and Numeracy"</w:t>
            </w:r>
          </w:p>
        </w:tc>
      </w:tr>
      <w:tr w:rsidTr="009518C9">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Readi</w:t>
            </w:r>
            <w:r w:rsidRPr="00DB716C">
              <w:t>ng</w:t>
            </w:r>
          </w:p>
        </w:tc>
        <w:tc>
          <w:tcPr>
            <w:tcW w:w="1207"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4</w:t>
            </w:r>
          </w:p>
        </w:tc>
        <w:tc>
          <w:tcPr>
            <w:tcW w:w="1776"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Writing</w:t>
            </w:r>
          </w:p>
        </w:tc>
        <w:tc>
          <w:tcPr>
            <w:tcW w:w="1207"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4</w:t>
            </w:r>
          </w:p>
        </w:tc>
        <w:tc>
          <w:tcPr>
            <w:tcW w:w="1758"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t>Numeracy</w:t>
            </w:r>
          </w:p>
        </w:tc>
        <w:tc>
          <w:tcPr>
            <w:tcW w:w="1207"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4</w:t>
            </w:r>
          </w:p>
        </w:tc>
      </w:tr>
    </w:tbl>
    <w:p w:rsidR="009518C9" w:rsidP="00DB716C">
      <w:pPr>
        <w:pStyle w:val="BodyText"/>
      </w:pPr>
    </w:p>
    <w:p w:rsidR="009518C9" w:rsidP="00DB716C">
      <w:pPr>
        <w:pStyle w:val="BodyText"/>
      </w:pPr>
    </w:p>
    <w:p w:rsidR="00000000" w:rsidRPr="00DB716C" w:rsidP="00DB716C">
      <w:pPr>
        <w:pStyle w:val="Heading1"/>
      </w:pPr>
      <w:bookmarkStart w:id="14" w:name="O_231549"/>
      <w:bookmarkEnd w:id="14"/>
      <w:r w:rsidRPr="00DB716C">
        <w:t>Competency Field</w:t>
      </w:r>
    </w:p>
    <w:tbl>
      <w:tblPr>
        <w:tblW w:w="0" w:type="auto"/>
        <w:tblLayout w:type="fixed"/>
        <w:tblCellMar>
          <w:left w:w="62" w:type="dxa"/>
          <w:right w:w="62" w:type="dxa"/>
        </w:tblCellMar>
        <w:tblLook w:val="0000"/>
      </w:tblPr>
      <w:tblGrid>
        <w:gridCol w:w="2758"/>
        <w:gridCol w:w="5882"/>
      </w:tblGrid>
      <w:tr w:rsidTr="009518C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DB716C">
            <w:pPr>
              <w:pStyle w:val="BodyText"/>
              <w:rPr>
                <w:lang w:val="en-NZ"/>
              </w:rPr>
            </w:pPr>
            <w:r w:rsidRPr="00DB716C">
              <w:rPr>
                <w:rStyle w:val="SpecialBold"/>
              </w:rPr>
              <w:t>5</w:t>
            </w:r>
            <w:r w:rsidRPr="00DB716C">
              <w:t>)</w:t>
            </w:r>
          </w:p>
        </w:tc>
      </w:tr>
      <w:tr w:rsidTr="009518C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B716C" w:rsidP="00DB716C">
            <w:pPr>
              <w:pStyle w:val="BodyText"/>
            </w:pPr>
            <w:r w:rsidRPr="00DB716C">
              <w:t>Industry Specific Cross-Discipline Units</w:t>
            </w:r>
          </w:p>
        </w:tc>
      </w:tr>
    </w:tbl>
    <w:p w:rsidR="009518C9" w:rsidP="00DB716C">
      <w:pPr>
        <w:pStyle w:val="BodyText"/>
      </w:pPr>
    </w:p>
    <w:p w:rsidR="009518C9" w:rsidP="00DB716C">
      <w:pPr>
        <w:pStyle w:val="BodyText"/>
      </w:pPr>
    </w:p>
    <w:p w:rsidR="00000000" w:rsidRPr="00DB716C" w:rsidP="00DB716C"/>
    <w:sectPr w:rsidSect="00DB7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8C9" w:rsidP="009518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C9" w:rsidP="00DB71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18C9" w:rsidP="00DB71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18C9" w:rsidP="00DB71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6C" w:rsidRPr="009518C9" w:rsidP="009518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C9" w:rsidRPr="002D2AF8" w:rsidP="00DB716C">
    <w:pPr>
      <w:pStyle w:val="Header"/>
      <w:framePr w:wrap="around"/>
    </w:pPr>
    <w:r>
      <w:fldChar w:fldCharType="begin"/>
    </w:r>
    <w:r>
      <w:instrText xml:space="preserve"> TITLE   \* MERGEFORMAT </w:instrText>
    </w:r>
    <w:r>
      <w:fldChar w:fldCharType="separate"/>
    </w:r>
    <w:r>
      <w:t>UETTDRIS23B Implement and monitor environmental and sustainable energy management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518C9" w:rsidP="00DB7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EA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A3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ED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16C"/>
    <w:pPr>
      <w:spacing w:before="360" w:after="60"/>
      <w:outlineLvl w:val="0"/>
    </w:pPr>
    <w:rPr>
      <w:sz w:val="32"/>
    </w:rPr>
  </w:style>
  <w:style w:type="paragraph" w:styleId="Heading2">
    <w:name w:val="heading 2"/>
    <w:basedOn w:val="HeadingBase"/>
    <w:next w:val="BodyText"/>
    <w:link w:val="Heading2Char"/>
    <w:qFormat/>
    <w:rsid w:val="00DB716C"/>
    <w:pPr>
      <w:keepLines/>
      <w:spacing w:before="240" w:after="120"/>
      <w:outlineLvl w:val="1"/>
    </w:pPr>
    <w:rPr>
      <w:sz w:val="28"/>
      <w:szCs w:val="40"/>
    </w:rPr>
  </w:style>
  <w:style w:type="paragraph" w:styleId="Heading3">
    <w:name w:val="heading 3"/>
    <w:basedOn w:val="HeadingBase"/>
    <w:next w:val="BodyText"/>
    <w:link w:val="Heading3Char"/>
    <w:qFormat/>
    <w:rsid w:val="00DB716C"/>
    <w:pPr>
      <w:spacing w:before="180" w:after="120"/>
      <w:outlineLvl w:val="2"/>
    </w:pPr>
    <w:rPr>
      <w:spacing w:val="-10"/>
      <w:kern w:val="32"/>
    </w:rPr>
  </w:style>
  <w:style w:type="paragraph" w:styleId="Heading4">
    <w:name w:val="heading 4"/>
    <w:basedOn w:val="HeadingBase"/>
    <w:next w:val="BodyText"/>
    <w:link w:val="Heading4Char"/>
    <w:qFormat/>
    <w:rsid w:val="00DB716C"/>
    <w:pPr>
      <w:spacing w:before="160" w:after="120"/>
      <w:outlineLvl w:val="3"/>
    </w:pPr>
    <w:rPr>
      <w:sz w:val="22"/>
    </w:rPr>
  </w:style>
  <w:style w:type="paragraph" w:styleId="Heading5">
    <w:name w:val="heading 5"/>
    <w:basedOn w:val="HeadingBase"/>
    <w:next w:val="Normal"/>
    <w:link w:val="Heading5Char"/>
    <w:qFormat/>
    <w:rsid w:val="00DB716C"/>
    <w:pPr>
      <w:spacing w:before="80"/>
      <w:outlineLvl w:val="4"/>
    </w:pPr>
    <w:rPr>
      <w:color w:val="918585"/>
      <w:sz w:val="20"/>
    </w:rPr>
  </w:style>
  <w:style w:type="paragraph" w:styleId="Heading6">
    <w:name w:val="heading 6"/>
    <w:basedOn w:val="HeadingBase"/>
    <w:next w:val="Normal"/>
    <w:link w:val="Heading6Char"/>
    <w:qFormat/>
    <w:rsid w:val="00DB716C"/>
    <w:pPr>
      <w:spacing w:before="60"/>
      <w:outlineLvl w:val="5"/>
    </w:pPr>
    <w:rPr>
      <w:color w:val="918585"/>
      <w:sz w:val="20"/>
    </w:rPr>
  </w:style>
  <w:style w:type="paragraph" w:styleId="Heading7">
    <w:name w:val="heading 7"/>
    <w:basedOn w:val="Normal"/>
    <w:next w:val="Normal"/>
    <w:link w:val="Heading7Char"/>
    <w:qFormat/>
    <w:rsid w:val="00DB716C"/>
    <w:pPr>
      <w:ind w:left="720"/>
      <w:outlineLvl w:val="6"/>
    </w:pPr>
    <w:rPr>
      <w:i/>
    </w:rPr>
  </w:style>
  <w:style w:type="paragraph" w:styleId="Heading8">
    <w:name w:val="heading 8"/>
    <w:basedOn w:val="Normal"/>
    <w:next w:val="Normal"/>
    <w:link w:val="Heading8Char"/>
    <w:qFormat/>
    <w:rsid w:val="00DB716C"/>
    <w:pPr>
      <w:ind w:left="720"/>
      <w:outlineLvl w:val="7"/>
    </w:pPr>
    <w:rPr>
      <w:i/>
    </w:rPr>
  </w:style>
  <w:style w:type="paragraph" w:styleId="Heading9">
    <w:name w:val="heading 9"/>
    <w:basedOn w:val="Normal"/>
    <w:next w:val="Normal"/>
    <w:link w:val="Heading9Char"/>
    <w:qFormat/>
    <w:rsid w:val="00DB716C"/>
    <w:pPr>
      <w:ind w:left="720"/>
      <w:outlineLvl w:val="8"/>
    </w:pPr>
    <w:rPr>
      <w:i/>
    </w:rPr>
  </w:style>
  <w:style w:type="character" w:default="1" w:styleId="DefaultParagraphFont">
    <w:name w:val="Default Paragraph Font"/>
    <w:uiPriority w:val="1"/>
    <w:unhideWhenUsed/>
    <w:rsid w:val="00DB7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16C"/>
  </w:style>
  <w:style w:type="character" w:customStyle="1" w:styleId="Heading1Char">
    <w:name w:val="Heading 1 Char"/>
    <w:basedOn w:val="DefaultParagraphFont"/>
    <w:link w:val="Heading1"/>
    <w:rsid w:val="00DB716C"/>
    <w:rPr>
      <w:rFonts w:ascii="Times New Roman" w:eastAsia="Times New Roman" w:hAnsi="Times New Roman" w:cs="Times New Roman"/>
      <w:b/>
      <w:sz w:val="32"/>
      <w:szCs w:val="20"/>
      <w:lang w:eastAsia="en-US"/>
    </w:rPr>
  </w:style>
  <w:style w:type="paragraph" w:styleId="BodyText">
    <w:name w:val="Body Text"/>
    <w:basedOn w:val="Normal"/>
    <w:link w:val="BodyTextChar"/>
    <w:rsid w:val="00DB71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16C"/>
    <w:rPr>
      <w:rFonts w:ascii="Times New Roman" w:eastAsia="Times New Roman" w:hAnsi="Times New Roman" w:cs="Times New Roman"/>
      <w:sz w:val="24"/>
      <w:lang w:eastAsia="en-US"/>
    </w:rPr>
  </w:style>
  <w:style w:type="paragraph" w:styleId="Footer">
    <w:name w:val="footer"/>
    <w:basedOn w:val="Normal"/>
    <w:link w:val="FooterChar"/>
    <w:rsid w:val="00DB7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16C"/>
    <w:rPr>
      <w:rFonts w:ascii="Times New Roman" w:eastAsia="Times New Roman" w:hAnsi="Times New Roman" w:cs="Times New Roman"/>
      <w:sz w:val="16"/>
      <w:lang w:eastAsia="en-US"/>
    </w:rPr>
  </w:style>
  <w:style w:type="paragraph" w:styleId="ListBullet">
    <w:name w:val="List Bullet"/>
    <w:basedOn w:val="List"/>
    <w:rsid w:val="00DB716C"/>
    <w:pPr>
      <w:numPr>
        <w:numId w:val="13"/>
      </w:numPr>
      <w:tabs>
        <w:tab w:val="clear" w:pos="340"/>
      </w:tabs>
      <w:spacing w:before="40" w:after="40"/>
    </w:pPr>
  </w:style>
  <w:style w:type="character" w:customStyle="1" w:styleId="SpecialBold">
    <w:name w:val="Special Bold"/>
    <w:basedOn w:val="DefaultParagraphFont"/>
    <w:rsid w:val="00DB716C"/>
    <w:rPr>
      <w:b/>
      <w:spacing w:val="0"/>
    </w:rPr>
  </w:style>
  <w:style w:type="paragraph" w:styleId="ListBullet2">
    <w:name w:val="List Bullet 2"/>
    <w:basedOn w:val="List2"/>
    <w:rsid w:val="00DB716C"/>
    <w:pPr>
      <w:numPr>
        <w:numId w:val="14"/>
      </w:numPr>
      <w:tabs>
        <w:tab w:val="clear" w:pos="680"/>
      </w:tabs>
    </w:pPr>
  </w:style>
  <w:style w:type="paragraph" w:customStyle="1" w:styleId="SuperHeading">
    <w:name w:val="SuperHeading"/>
    <w:basedOn w:val="Normal"/>
    <w:rsid w:val="00DB716C"/>
    <w:pPr>
      <w:spacing w:before="240" w:after="120"/>
      <w:outlineLvl w:val="0"/>
    </w:pPr>
    <w:rPr>
      <w:rFonts w:ascii="Times New Roman" w:hAnsi="Times New Roman"/>
      <w:b/>
      <w:sz w:val="28"/>
    </w:rPr>
  </w:style>
  <w:style w:type="paragraph" w:customStyle="1" w:styleId="AllowPageBreak">
    <w:name w:val="AllowPageBreak"/>
    <w:rsid w:val="00DB7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16C"/>
    <w:rPr>
      <w:rFonts w:ascii="Courier New" w:eastAsia="Times New Roman" w:hAnsi="Courier New" w:cs="Times New Roman"/>
      <w:i/>
      <w:szCs w:val="20"/>
      <w:lang w:eastAsia="en-US"/>
    </w:rPr>
  </w:style>
  <w:style w:type="paragraph" w:customStyle="1" w:styleId="HeadingBase">
    <w:name w:val="Heading Base"/>
    <w:rsid w:val="00DB7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16C"/>
    <w:pPr>
      <w:tabs>
        <w:tab w:val="right" w:leader="dot" w:pos="9072"/>
      </w:tabs>
      <w:ind w:left="567"/>
    </w:pPr>
    <w:rPr>
      <w:szCs w:val="22"/>
    </w:rPr>
  </w:style>
  <w:style w:type="paragraph" w:customStyle="1" w:styleId="TOCBase">
    <w:name w:val="TOC Base"/>
    <w:rsid w:val="00DB7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16C"/>
    <w:pPr>
      <w:tabs>
        <w:tab w:val="right" w:leader="dot" w:pos="9072"/>
      </w:tabs>
      <w:spacing w:before="40" w:after="40"/>
      <w:ind w:left="284"/>
    </w:pPr>
    <w:rPr>
      <w:rFonts w:ascii="Times New Roman" w:hAnsi="Times New Roman"/>
    </w:rPr>
  </w:style>
  <w:style w:type="paragraph" w:styleId="TOC1">
    <w:name w:val="toc 1"/>
    <w:basedOn w:val="TOCBase"/>
    <w:next w:val="Normal"/>
    <w:rsid w:val="00DB71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16C"/>
    <w:pPr>
      <w:spacing w:before="5040"/>
      <w:jc w:val="center"/>
    </w:pPr>
    <w:rPr>
      <w:sz w:val="48"/>
      <w:szCs w:val="72"/>
      <w:lang w:val="en-US"/>
    </w:rPr>
  </w:style>
  <w:style w:type="character" w:customStyle="1" w:styleId="TitleChar">
    <w:name w:val="Title Char"/>
    <w:basedOn w:val="DefaultParagraphFont"/>
    <w:link w:val="Title"/>
    <w:rsid w:val="00DB7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16C"/>
    <w:pPr>
      <w:tabs>
        <w:tab w:val="left" w:pos="3600"/>
        <w:tab w:val="left" w:pos="3958"/>
      </w:tabs>
    </w:pPr>
  </w:style>
  <w:style w:type="paragraph" w:styleId="List">
    <w:name w:val="List"/>
    <w:basedOn w:val="BodyText"/>
    <w:next w:val="BodyText"/>
    <w:rsid w:val="00DB716C"/>
    <w:pPr>
      <w:tabs>
        <w:tab w:val="left" w:pos="340"/>
      </w:tabs>
      <w:spacing w:before="60" w:after="60"/>
      <w:ind w:left="340" w:hanging="340"/>
    </w:pPr>
  </w:style>
  <w:style w:type="paragraph" w:customStyle="1" w:styleId="Note">
    <w:name w:val="Note"/>
    <w:basedOn w:val="BodyText"/>
    <w:rsid w:val="00DB7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16C"/>
    <w:pPr>
      <w:framePr w:wrap="auto" w:hAnchor="text" w:y="6049"/>
    </w:pPr>
    <w:rPr>
      <w:color w:val="000000"/>
      <w:sz w:val="40"/>
    </w:rPr>
  </w:style>
  <w:style w:type="paragraph" w:customStyle="1" w:styleId="TOCTitle">
    <w:name w:val="TOCTitle"/>
    <w:basedOn w:val="Heading1"/>
    <w:rsid w:val="00DB716C"/>
    <w:pPr>
      <w:spacing w:after="240"/>
      <w:jc w:val="center"/>
      <w:outlineLvl w:val="9"/>
    </w:pPr>
    <w:rPr>
      <w:caps/>
    </w:rPr>
  </w:style>
  <w:style w:type="paragraph" w:customStyle="1" w:styleId="Version">
    <w:name w:val="Version"/>
    <w:rsid w:val="00DB7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16C"/>
    <w:pPr>
      <w:keepNext w:val="0"/>
      <w:tabs>
        <w:tab w:val="right" w:pos="4176"/>
      </w:tabs>
      <w:ind w:left="198" w:hanging="198"/>
    </w:pPr>
    <w:rPr>
      <w:rFonts w:ascii="Garamond" w:hAnsi="Garamond"/>
    </w:rPr>
  </w:style>
  <w:style w:type="paragraph" w:styleId="IndexHeading">
    <w:name w:val="index heading"/>
    <w:basedOn w:val="Normal"/>
    <w:next w:val="Index1"/>
    <w:semiHidden/>
    <w:rsid w:val="00DB716C"/>
    <w:pPr>
      <w:spacing w:before="120" w:after="120"/>
    </w:pPr>
    <w:rPr>
      <w:rFonts w:ascii="Arial" w:hAnsi="Arial"/>
      <w:b/>
      <w:color w:val="918585"/>
      <w:sz w:val="24"/>
    </w:rPr>
  </w:style>
  <w:style w:type="paragraph" w:styleId="Header">
    <w:name w:val="header"/>
    <w:basedOn w:val="Normal"/>
    <w:link w:val="HeaderChar"/>
    <w:rsid w:val="00DB7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16C"/>
    <w:rPr>
      <w:rFonts w:ascii="Times New Roman" w:eastAsia="Times New Roman" w:hAnsi="Times New Roman" w:cs="Times New Roman"/>
      <w:sz w:val="16"/>
      <w:szCs w:val="20"/>
      <w:lang w:val="en-GB" w:eastAsia="en-US"/>
    </w:rPr>
  </w:style>
  <w:style w:type="paragraph" w:customStyle="1" w:styleId="Chapter">
    <w:name w:val="Chapter"/>
    <w:basedOn w:val="Normal"/>
    <w:rsid w:val="00DB716C"/>
    <w:pPr>
      <w:spacing w:before="240"/>
    </w:pPr>
    <w:rPr>
      <w:rFonts w:ascii="Times New Roman" w:hAnsi="Times New Roman"/>
      <w:smallCaps/>
      <w:spacing w:val="80"/>
      <w:sz w:val="28"/>
    </w:rPr>
  </w:style>
  <w:style w:type="paragraph" w:customStyle="1" w:styleId="InChapter">
    <w:name w:val="InChapter"/>
    <w:basedOn w:val="Heading3"/>
    <w:rsid w:val="00DB716C"/>
    <w:pPr>
      <w:spacing w:after="240"/>
      <w:outlineLvl w:val="9"/>
    </w:pPr>
    <w:rPr>
      <w:noProof/>
    </w:rPr>
  </w:style>
  <w:style w:type="paragraph" w:styleId="Index2">
    <w:name w:val="index 2"/>
    <w:basedOn w:val="Normal"/>
    <w:next w:val="Normal"/>
    <w:semiHidden/>
    <w:rsid w:val="00DB716C"/>
    <w:pPr>
      <w:tabs>
        <w:tab w:val="right" w:pos="4176"/>
      </w:tabs>
      <w:ind w:left="568" w:hanging="284"/>
    </w:pPr>
    <w:rPr>
      <w:rFonts w:ascii="Garamond" w:hAnsi="Garamond"/>
    </w:rPr>
  </w:style>
  <w:style w:type="paragraph" w:customStyle="1" w:styleId="Byline">
    <w:name w:val="Byline"/>
    <w:rsid w:val="00DB7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16C"/>
    <w:pPr>
      <w:tabs>
        <w:tab w:val="clear" w:pos="3600"/>
        <w:tab w:val="clear" w:pos="3958"/>
      </w:tabs>
      <w:jc w:val="right"/>
    </w:pPr>
  </w:style>
  <w:style w:type="character" w:styleId="Emphasis">
    <w:name w:val="Emphasis"/>
    <w:basedOn w:val="DefaultParagraphFont"/>
    <w:qFormat/>
    <w:rsid w:val="00DB716C"/>
    <w:rPr>
      <w:i/>
    </w:rPr>
  </w:style>
  <w:style w:type="paragraph" w:styleId="Caption">
    <w:name w:val="caption"/>
    <w:basedOn w:val="BodyText"/>
    <w:next w:val="Normal"/>
    <w:qFormat/>
    <w:rsid w:val="00DB716C"/>
    <w:pPr>
      <w:framePr w:w="2268" w:hSpace="181" w:vSpace="181" w:wrap="around" w:vAnchor="text" w:hAnchor="page" w:x="1135" w:y="285" w:anchorLock="1"/>
    </w:pPr>
    <w:rPr>
      <w:i/>
    </w:rPr>
  </w:style>
  <w:style w:type="paragraph" w:customStyle="1" w:styleId="MiniTOCTitle">
    <w:name w:val="MiniTOCTitle"/>
    <w:basedOn w:val="Heading4"/>
    <w:rsid w:val="00DB716C"/>
    <w:pPr>
      <w:spacing w:before="240"/>
      <w:outlineLvl w:val="9"/>
    </w:pPr>
    <w:rPr>
      <w:noProof/>
      <w:sz w:val="24"/>
    </w:rPr>
  </w:style>
  <w:style w:type="paragraph" w:customStyle="1" w:styleId="MiniTOCItem">
    <w:name w:val="MiniTOCItem"/>
    <w:basedOn w:val="ListBullet"/>
    <w:rsid w:val="00DB716C"/>
    <w:pPr>
      <w:numPr>
        <w:numId w:val="0"/>
      </w:numPr>
      <w:tabs>
        <w:tab w:val="right" w:leader="dot" w:pos="6521"/>
      </w:tabs>
      <w:spacing w:before="0" w:after="0"/>
    </w:pPr>
  </w:style>
  <w:style w:type="paragraph" w:customStyle="1" w:styleId="TOFTitle">
    <w:name w:val="TOFTitle"/>
    <w:basedOn w:val="TOCTitle"/>
    <w:rsid w:val="00DB716C"/>
  </w:style>
  <w:style w:type="paragraph" w:styleId="TableofFigures">
    <w:name w:val="table of figures"/>
    <w:basedOn w:val="Normal"/>
    <w:next w:val="Normal"/>
    <w:semiHidden/>
    <w:rsid w:val="00DB716C"/>
    <w:pPr>
      <w:tabs>
        <w:tab w:val="right" w:leader="dot" w:pos="9072"/>
      </w:tabs>
      <w:ind w:left="970" w:hanging="403"/>
    </w:pPr>
    <w:rPr>
      <w:rFonts w:ascii="Times New Roman" w:hAnsi="Times New Roman"/>
      <w:b/>
    </w:rPr>
  </w:style>
  <w:style w:type="paragraph" w:styleId="ListNumber">
    <w:name w:val="List Number"/>
    <w:basedOn w:val="List"/>
    <w:rsid w:val="00DB716C"/>
    <w:pPr>
      <w:numPr>
        <w:numId w:val="11"/>
      </w:numPr>
    </w:pPr>
  </w:style>
  <w:style w:type="character" w:customStyle="1" w:styleId="WingdingSymbols">
    <w:name w:val="Wingding Symbols"/>
    <w:rsid w:val="00DB716C"/>
    <w:rPr>
      <w:rFonts w:ascii="Wingdings" w:hAnsi="Wingdings"/>
    </w:rPr>
  </w:style>
  <w:style w:type="paragraph" w:customStyle="1" w:styleId="TableHeading">
    <w:name w:val="Table Heading"/>
    <w:basedOn w:val="HeadingBase"/>
    <w:rsid w:val="00DB716C"/>
    <w:pPr>
      <w:keepLines/>
      <w:pBdr>
        <w:bottom w:val="single" w:sz="6" w:space="1" w:color="918585"/>
      </w:pBdr>
      <w:spacing w:before="240"/>
    </w:pPr>
  </w:style>
  <w:style w:type="character" w:customStyle="1" w:styleId="HotSpot">
    <w:name w:val="HotSpot"/>
    <w:rsid w:val="00DB716C"/>
    <w:rPr>
      <w:color w:val="0033CC"/>
      <w:u w:val="none"/>
    </w:rPr>
  </w:style>
  <w:style w:type="paragraph" w:customStyle="1" w:styleId="BodyTextRight">
    <w:name w:val="Body Text Right"/>
    <w:basedOn w:val="BodyText"/>
    <w:rsid w:val="00DB716C"/>
    <w:pPr>
      <w:spacing w:before="0" w:after="0"/>
      <w:jc w:val="right"/>
    </w:pPr>
  </w:style>
  <w:style w:type="paragraph" w:styleId="Index3">
    <w:name w:val="index 3"/>
    <w:basedOn w:val="ListNumber2"/>
    <w:next w:val="Normal"/>
    <w:semiHidden/>
    <w:rsid w:val="00DB716C"/>
    <w:pPr>
      <w:numPr>
        <w:numId w:val="0"/>
      </w:numPr>
      <w:tabs>
        <w:tab w:val="right" w:leader="dot" w:pos="4176"/>
      </w:tabs>
    </w:pPr>
  </w:style>
  <w:style w:type="paragraph" w:styleId="ListNumber2">
    <w:name w:val="List Number 2"/>
    <w:basedOn w:val="List2"/>
    <w:rsid w:val="00DB716C"/>
    <w:pPr>
      <w:numPr>
        <w:numId w:val="10"/>
      </w:numPr>
      <w:tabs>
        <w:tab w:val="clear" w:pos="1060"/>
      </w:tabs>
    </w:pPr>
  </w:style>
  <w:style w:type="paragraph" w:customStyle="1" w:styleId="MarginNote">
    <w:name w:val="Margin Note"/>
    <w:basedOn w:val="BodyText"/>
    <w:rsid w:val="00DB7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16C"/>
    <w:rPr>
      <w:sz w:val="32"/>
    </w:rPr>
  </w:style>
  <w:style w:type="paragraph" w:customStyle="1" w:styleId="HeadingProcedure">
    <w:name w:val="Heading Procedure"/>
    <w:basedOn w:val="HeadingBase"/>
    <w:next w:val="Normal"/>
    <w:rsid w:val="00DB716C"/>
    <w:pPr>
      <w:tabs>
        <w:tab w:val="left" w:pos="0"/>
      </w:tabs>
      <w:spacing w:before="120" w:after="60"/>
    </w:pPr>
    <w:rPr>
      <w:i/>
      <w:color w:val="918585"/>
      <w:sz w:val="22"/>
    </w:rPr>
  </w:style>
  <w:style w:type="paragraph" w:customStyle="1" w:styleId="TableBodyText">
    <w:name w:val="Table Body Text"/>
    <w:basedOn w:val="BodyText"/>
    <w:rsid w:val="00DB716C"/>
    <w:pPr>
      <w:spacing w:before="60" w:after="60"/>
    </w:pPr>
  </w:style>
  <w:style w:type="paragraph" w:styleId="ListContinue">
    <w:name w:val="List Continue"/>
    <w:basedOn w:val="List"/>
    <w:rsid w:val="00DB716C"/>
    <w:pPr>
      <w:ind w:firstLine="0"/>
    </w:pPr>
  </w:style>
  <w:style w:type="paragraph" w:customStyle="1" w:styleId="ListNote">
    <w:name w:val="List Note"/>
    <w:basedOn w:val="List"/>
    <w:rsid w:val="00DB716C"/>
    <w:pPr>
      <w:pBdr>
        <w:top w:val="single" w:sz="6" w:space="2" w:color="918585"/>
        <w:bottom w:val="single" w:sz="6" w:space="2" w:color="918585"/>
      </w:pBdr>
      <w:tabs>
        <w:tab w:val="left" w:pos="1021"/>
      </w:tabs>
      <w:ind w:firstLine="0"/>
    </w:pPr>
  </w:style>
  <w:style w:type="paragraph" w:customStyle="1" w:styleId="Warning">
    <w:name w:val="Warning"/>
    <w:basedOn w:val="BodyText"/>
    <w:rsid w:val="00DB716C"/>
    <w:pPr>
      <w:shd w:val="clear" w:color="auto" w:fill="D9D9D9"/>
      <w:tabs>
        <w:tab w:val="left" w:pos="992"/>
      </w:tabs>
      <w:ind w:left="119" w:right="119"/>
    </w:pPr>
    <w:rPr>
      <w:sz w:val="20"/>
    </w:rPr>
  </w:style>
  <w:style w:type="paragraph" w:customStyle="1" w:styleId="MarginIcons">
    <w:name w:val="Margin Icons"/>
    <w:basedOn w:val="BodyText"/>
    <w:rsid w:val="00DB7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16C"/>
    <w:rPr>
      <w:rFonts w:ascii="Courier New" w:hAnsi="Courier New"/>
    </w:rPr>
  </w:style>
  <w:style w:type="paragraph" w:customStyle="1" w:styleId="NoteBullet">
    <w:name w:val="Note Bullet"/>
    <w:basedOn w:val="Note"/>
    <w:rsid w:val="00DB716C"/>
    <w:pPr>
      <w:tabs>
        <w:tab w:val="clear" w:pos="680"/>
      </w:tabs>
      <w:spacing w:before="60" w:after="60"/>
    </w:pPr>
  </w:style>
  <w:style w:type="paragraph" w:customStyle="1" w:styleId="SubHeading2">
    <w:name w:val="SubHeading2"/>
    <w:basedOn w:val="HeadingBase"/>
    <w:rsid w:val="00DB716C"/>
    <w:pPr>
      <w:spacing w:before="240" w:after="60"/>
    </w:pPr>
    <w:rPr>
      <w:sz w:val="20"/>
    </w:rPr>
  </w:style>
  <w:style w:type="paragraph" w:customStyle="1" w:styleId="SubHeading1">
    <w:name w:val="SubHeading1"/>
    <w:basedOn w:val="HeadingBase"/>
    <w:rsid w:val="00DB716C"/>
    <w:pPr>
      <w:spacing w:before="240" w:after="60"/>
    </w:pPr>
    <w:rPr>
      <w:color w:val="918585"/>
      <w:sz w:val="22"/>
    </w:rPr>
  </w:style>
  <w:style w:type="paragraph" w:customStyle="1" w:styleId="SideHeading">
    <w:name w:val="Side Heading"/>
    <w:basedOn w:val="HeadingBase"/>
    <w:rsid w:val="00DB7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16C"/>
    <w:pPr>
      <w:numPr>
        <w:numId w:val="12"/>
      </w:numPr>
    </w:pPr>
  </w:style>
  <w:style w:type="paragraph" w:styleId="PlainText">
    <w:name w:val="Plain Text"/>
    <w:basedOn w:val="Normal"/>
    <w:link w:val="PlainTextChar"/>
    <w:rsid w:val="00DB716C"/>
    <w:rPr>
      <w:sz w:val="20"/>
    </w:rPr>
  </w:style>
  <w:style w:type="character" w:customStyle="1" w:styleId="PlainTextChar">
    <w:name w:val="Plain Text Char"/>
    <w:basedOn w:val="DefaultParagraphFont"/>
    <w:link w:val="PlainText"/>
    <w:rsid w:val="00DB716C"/>
    <w:rPr>
      <w:rFonts w:ascii="Courier New" w:eastAsia="Times New Roman" w:hAnsi="Courier New" w:cs="Times New Roman"/>
      <w:sz w:val="20"/>
      <w:szCs w:val="20"/>
      <w:lang w:eastAsia="en-US"/>
    </w:rPr>
  </w:style>
  <w:style w:type="character" w:customStyle="1" w:styleId="MenuOption">
    <w:name w:val="Menu Option"/>
    <w:basedOn w:val="DefaultParagraphFont"/>
    <w:rsid w:val="00DB716C"/>
    <w:rPr>
      <w:b/>
      <w:smallCaps/>
    </w:rPr>
  </w:style>
  <w:style w:type="paragraph" w:customStyle="1" w:styleId="TableListNumber">
    <w:name w:val="Table List Number"/>
    <w:basedOn w:val="ListNumber"/>
    <w:rsid w:val="00DB716C"/>
    <w:pPr>
      <w:numPr>
        <w:numId w:val="0"/>
      </w:numPr>
    </w:pPr>
  </w:style>
  <w:style w:type="paragraph" w:styleId="TOC4">
    <w:name w:val="toc 4"/>
    <w:basedOn w:val="TOCBase"/>
    <w:next w:val="Normal"/>
    <w:semiHidden/>
    <w:rsid w:val="00DB716C"/>
    <w:pPr>
      <w:tabs>
        <w:tab w:val="right" w:leader="dot" w:pos="9071"/>
      </w:tabs>
      <w:ind w:left="1701"/>
    </w:pPr>
  </w:style>
  <w:style w:type="paragraph" w:customStyle="1" w:styleId="ListAlpha">
    <w:name w:val="List Alpha"/>
    <w:basedOn w:val="List"/>
    <w:rsid w:val="00DB716C"/>
    <w:pPr>
      <w:numPr>
        <w:numId w:val="9"/>
      </w:numPr>
    </w:pPr>
  </w:style>
  <w:style w:type="paragraph" w:customStyle="1" w:styleId="ListAlpha2">
    <w:name w:val="List Alpha 2"/>
    <w:basedOn w:val="List2"/>
    <w:rsid w:val="00DB716C"/>
    <w:pPr>
      <w:numPr>
        <w:numId w:val="8"/>
      </w:numPr>
    </w:pPr>
  </w:style>
  <w:style w:type="paragraph" w:styleId="List2">
    <w:name w:val="List 2"/>
    <w:basedOn w:val="BodyText"/>
    <w:rsid w:val="00DB716C"/>
    <w:pPr>
      <w:tabs>
        <w:tab w:val="left" w:pos="680"/>
      </w:tabs>
      <w:spacing w:before="60" w:after="60"/>
      <w:ind w:left="680" w:hanging="340"/>
    </w:pPr>
  </w:style>
  <w:style w:type="paragraph" w:styleId="List3">
    <w:name w:val="List 3"/>
    <w:basedOn w:val="BodyText"/>
    <w:rsid w:val="00DB716C"/>
    <w:pPr>
      <w:tabs>
        <w:tab w:val="left" w:pos="1021"/>
      </w:tabs>
      <w:spacing w:before="60" w:after="60"/>
      <w:ind w:left="1020" w:hanging="340"/>
    </w:pPr>
  </w:style>
  <w:style w:type="paragraph" w:styleId="List4">
    <w:name w:val="List 4"/>
    <w:basedOn w:val="BodyText"/>
    <w:rsid w:val="00DB716C"/>
    <w:pPr>
      <w:tabs>
        <w:tab w:val="left" w:pos="1361"/>
      </w:tabs>
      <w:spacing w:before="60" w:after="60"/>
      <w:ind w:left="1361" w:hanging="340"/>
    </w:pPr>
  </w:style>
  <w:style w:type="paragraph" w:styleId="List5">
    <w:name w:val="List 5"/>
    <w:basedOn w:val="BodyText"/>
    <w:rsid w:val="00DB716C"/>
    <w:pPr>
      <w:tabs>
        <w:tab w:val="left" w:pos="1701"/>
      </w:tabs>
      <w:spacing w:before="60" w:after="60"/>
      <w:ind w:left="1701" w:hanging="340"/>
    </w:pPr>
  </w:style>
  <w:style w:type="paragraph" w:styleId="ListBullet3">
    <w:name w:val="List Bullet 3"/>
    <w:basedOn w:val="List3"/>
    <w:rsid w:val="00DB716C"/>
    <w:pPr>
      <w:numPr>
        <w:numId w:val="15"/>
      </w:numPr>
      <w:tabs>
        <w:tab w:val="clear" w:pos="1021"/>
      </w:tabs>
      <w:ind w:left="1037" w:hanging="357"/>
    </w:pPr>
  </w:style>
  <w:style w:type="paragraph" w:styleId="ListBullet4">
    <w:name w:val="List Bullet 4"/>
    <w:basedOn w:val="List4"/>
    <w:rsid w:val="00DB716C"/>
    <w:pPr>
      <w:numPr>
        <w:numId w:val="3"/>
      </w:numPr>
    </w:pPr>
  </w:style>
  <w:style w:type="paragraph" w:styleId="ListBullet5">
    <w:name w:val="List Bullet 5"/>
    <w:basedOn w:val="List5"/>
    <w:rsid w:val="00DB716C"/>
    <w:pPr>
      <w:numPr>
        <w:numId w:val="4"/>
      </w:numPr>
    </w:pPr>
  </w:style>
  <w:style w:type="paragraph" w:styleId="ListContinue2">
    <w:name w:val="List Continue 2"/>
    <w:basedOn w:val="List2"/>
    <w:rsid w:val="00DB716C"/>
    <w:pPr>
      <w:ind w:firstLine="0"/>
    </w:pPr>
  </w:style>
  <w:style w:type="paragraph" w:styleId="ListContinue3">
    <w:name w:val="List Continue 3"/>
    <w:basedOn w:val="List3"/>
    <w:rsid w:val="00DB716C"/>
    <w:pPr>
      <w:ind w:left="1021" w:firstLine="0"/>
    </w:pPr>
  </w:style>
  <w:style w:type="paragraph" w:styleId="ListContinue4">
    <w:name w:val="List Continue 4"/>
    <w:basedOn w:val="List4"/>
    <w:rsid w:val="00DB716C"/>
    <w:pPr>
      <w:ind w:firstLine="0"/>
    </w:pPr>
  </w:style>
  <w:style w:type="paragraph" w:styleId="ListContinue5">
    <w:name w:val="List Continue 5"/>
    <w:basedOn w:val="List5"/>
    <w:rsid w:val="00DB716C"/>
    <w:pPr>
      <w:ind w:firstLine="0"/>
    </w:pPr>
  </w:style>
  <w:style w:type="paragraph" w:styleId="ListNumber3">
    <w:name w:val="List Number 3"/>
    <w:basedOn w:val="List3"/>
    <w:rsid w:val="00DB716C"/>
    <w:pPr>
      <w:numPr>
        <w:numId w:val="5"/>
      </w:numPr>
    </w:pPr>
  </w:style>
  <w:style w:type="paragraph" w:styleId="ListNumber4">
    <w:name w:val="List Number 4"/>
    <w:basedOn w:val="List4"/>
    <w:rsid w:val="00DB716C"/>
    <w:pPr>
      <w:numPr>
        <w:numId w:val="6"/>
      </w:numPr>
    </w:pPr>
  </w:style>
  <w:style w:type="paragraph" w:styleId="ListNumber5">
    <w:name w:val="List Number 5"/>
    <w:basedOn w:val="List5"/>
    <w:rsid w:val="00DB716C"/>
    <w:pPr>
      <w:numPr>
        <w:numId w:val="7"/>
      </w:numPr>
    </w:pPr>
  </w:style>
  <w:style w:type="paragraph" w:styleId="BlockText">
    <w:name w:val="Block Text"/>
    <w:basedOn w:val="Normal"/>
    <w:rsid w:val="00DB716C"/>
    <w:pPr>
      <w:spacing w:after="120"/>
      <w:ind w:left="1440" w:right="1440"/>
    </w:pPr>
  </w:style>
  <w:style w:type="character" w:customStyle="1" w:styleId="Subscript">
    <w:name w:val="Subscript"/>
    <w:basedOn w:val="DefaultParagraphFont"/>
    <w:rsid w:val="00DB716C"/>
    <w:rPr>
      <w:sz w:val="16"/>
      <w:vertAlign w:val="subscript"/>
    </w:rPr>
  </w:style>
  <w:style w:type="character" w:customStyle="1" w:styleId="Superscript">
    <w:name w:val="Superscript"/>
    <w:basedOn w:val="DefaultParagraphFont"/>
    <w:rsid w:val="00DB716C"/>
    <w:rPr>
      <w:sz w:val="16"/>
      <w:vertAlign w:val="superscript"/>
    </w:rPr>
  </w:style>
  <w:style w:type="character" w:customStyle="1" w:styleId="Symbols">
    <w:name w:val="Symbols"/>
    <w:basedOn w:val="DefaultParagraphFont"/>
    <w:rsid w:val="00DB716C"/>
    <w:rPr>
      <w:rFonts w:ascii="Symbol" w:hAnsi="Symbol"/>
    </w:rPr>
  </w:style>
  <w:style w:type="character" w:customStyle="1" w:styleId="MenuOptions">
    <w:name w:val="Menu Options"/>
    <w:basedOn w:val="DefaultParagraphFont"/>
    <w:rsid w:val="00DB716C"/>
    <w:rPr>
      <w:rFonts w:ascii="Arial Narrow" w:hAnsi="Arial Narrow"/>
      <w:smallCaps/>
    </w:rPr>
  </w:style>
  <w:style w:type="character" w:customStyle="1" w:styleId="Buttons">
    <w:name w:val="Buttons"/>
    <w:basedOn w:val="DefaultParagraphFont"/>
    <w:rsid w:val="00DB716C"/>
    <w:rPr>
      <w:b/>
    </w:rPr>
  </w:style>
  <w:style w:type="character" w:customStyle="1" w:styleId="Underlined">
    <w:name w:val="Underlined"/>
    <w:basedOn w:val="DefaultParagraphFont"/>
    <w:rsid w:val="00DB716C"/>
    <w:rPr>
      <w:u w:val="single"/>
    </w:rPr>
  </w:style>
  <w:style w:type="paragraph" w:customStyle="1" w:styleId="TableBodyTextRight">
    <w:name w:val="Table Body Text Right"/>
    <w:basedOn w:val="TableBodyText"/>
    <w:rsid w:val="00DB716C"/>
    <w:pPr>
      <w:widowControl w:val="0"/>
      <w:autoSpaceDE w:val="0"/>
      <w:autoSpaceDN w:val="0"/>
      <w:adjustRightInd w:val="0"/>
      <w:jc w:val="right"/>
    </w:pPr>
    <w:rPr>
      <w:rFonts w:cs="Arial"/>
      <w:szCs w:val="18"/>
    </w:rPr>
  </w:style>
  <w:style w:type="paragraph" w:customStyle="1" w:styleId="CopyrightText">
    <w:name w:val="Copyright Text"/>
    <w:basedOn w:val="BodyText"/>
    <w:rsid w:val="00DB716C"/>
    <w:rPr>
      <w:sz w:val="18"/>
    </w:rPr>
  </w:style>
  <w:style w:type="paragraph" w:customStyle="1" w:styleId="BodySmallRight">
    <w:name w:val="Body Small Right"/>
    <w:basedOn w:val="BodyTextRight"/>
    <w:rsid w:val="00DB716C"/>
    <w:rPr>
      <w:sz w:val="18"/>
      <w:szCs w:val="18"/>
    </w:rPr>
  </w:style>
  <w:style w:type="paragraph" w:customStyle="1" w:styleId="MarginEdition">
    <w:name w:val="Margin Edition"/>
    <w:basedOn w:val="MarginNote"/>
    <w:rsid w:val="00DB716C"/>
    <w:pPr>
      <w:spacing w:before="0" w:after="0"/>
    </w:pPr>
    <w:rPr>
      <w:rFonts w:ascii="Times New Roman" w:hAnsi="Times New Roman"/>
      <w:color w:val="999999"/>
    </w:rPr>
  </w:style>
  <w:style w:type="paragraph" w:customStyle="1" w:styleId="Spacer">
    <w:name w:val="Spacer"/>
    <w:basedOn w:val="Normal"/>
    <w:rsid w:val="00DB716C"/>
    <w:rPr>
      <w:sz w:val="2"/>
      <w:szCs w:val="2"/>
    </w:rPr>
  </w:style>
  <w:style w:type="character" w:customStyle="1" w:styleId="Small">
    <w:name w:val="Small"/>
    <w:basedOn w:val="DefaultParagraphFont"/>
    <w:rsid w:val="00DB716C"/>
    <w:rPr>
      <w:sz w:val="16"/>
    </w:rPr>
  </w:style>
  <w:style w:type="paragraph" w:customStyle="1" w:styleId="WideTable">
    <w:name w:val="Wide Table"/>
    <w:basedOn w:val="Normal"/>
    <w:rsid w:val="00DB716C"/>
    <w:pPr>
      <w:ind w:left="-1418"/>
    </w:pPr>
    <w:rPr>
      <w:sz w:val="2"/>
      <w:szCs w:val="2"/>
    </w:rPr>
  </w:style>
  <w:style w:type="character" w:styleId="PageNumber">
    <w:name w:val="page number"/>
    <w:basedOn w:val="DefaultParagraphFont"/>
    <w:rsid w:val="00DB716C"/>
  </w:style>
  <w:style w:type="paragraph" w:styleId="Quote">
    <w:name w:val="Quote"/>
    <w:basedOn w:val="Heading1"/>
    <w:link w:val="QuoteChar"/>
    <w:qFormat/>
    <w:rsid w:val="00DB716C"/>
    <w:rPr>
      <w:b w:val="0"/>
      <w:sz w:val="72"/>
      <w:szCs w:val="72"/>
      <w:lang w:val="en-NZ"/>
    </w:rPr>
  </w:style>
  <w:style w:type="character" w:customStyle="1" w:styleId="QuoteChar">
    <w:name w:val="Quote Char"/>
    <w:basedOn w:val="DefaultParagraphFont"/>
    <w:link w:val="Quote"/>
    <w:rsid w:val="00DB7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16C"/>
    <w:pPr>
      <w:pageBreakBefore/>
    </w:pPr>
  </w:style>
  <w:style w:type="paragraph" w:customStyle="1" w:styleId="Border">
    <w:name w:val="Border"/>
    <w:basedOn w:val="Normal"/>
    <w:qFormat/>
    <w:rsid w:val="00DB7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16C"/>
    <w:rPr>
      <w:b/>
      <w:bCs/>
      <w:i/>
      <w:iCs/>
      <w:color w:val="auto"/>
    </w:rPr>
  </w:style>
  <w:style w:type="paragraph" w:styleId="IntenseQuote">
    <w:name w:val="Intense Quote"/>
    <w:basedOn w:val="Normal"/>
    <w:next w:val="Normal"/>
    <w:link w:val="IntenseQuoteChar"/>
    <w:uiPriority w:val="30"/>
    <w:qFormat/>
    <w:rsid w:val="00DB7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16C"/>
    <w:rPr>
      <w:smallCaps/>
      <w:color w:val="auto"/>
      <w:u w:val="single"/>
    </w:rPr>
  </w:style>
  <w:style w:type="character" w:styleId="IntenseReference">
    <w:name w:val="Intense Reference"/>
    <w:basedOn w:val="DefaultParagraphFont"/>
    <w:uiPriority w:val="32"/>
    <w:qFormat/>
    <w:rsid w:val="00DB716C"/>
    <w:rPr>
      <w:b/>
      <w:bCs/>
      <w:smallCaps/>
      <w:color w:val="auto"/>
      <w:spacing w:val="5"/>
      <w:u w:val="single"/>
    </w:rPr>
  </w:style>
  <w:style w:type="paragraph" w:customStyle="1" w:styleId="2ColumnHeading">
    <w:name w:val="2Column Heading"/>
    <w:basedOn w:val="BodyText"/>
    <w:qFormat/>
    <w:rsid w:val="00DB716C"/>
    <w:pPr>
      <w:spacing w:after="60"/>
      <w:ind w:left="-2268"/>
    </w:pPr>
    <w:rPr>
      <w:b/>
    </w:rPr>
  </w:style>
  <w:style w:type="paragraph" w:customStyle="1" w:styleId="Heading1TOC">
    <w:name w:val="Heading1 TOC"/>
    <w:basedOn w:val="Normal"/>
    <w:qFormat/>
    <w:rsid w:val="00DB716C"/>
    <w:pPr>
      <w:spacing w:before="240" w:after="120"/>
    </w:pPr>
    <w:rPr>
      <w:rFonts w:ascii="Times New Roman" w:hAnsi="Times New Roman"/>
      <w:b/>
      <w:sz w:val="32"/>
    </w:rPr>
  </w:style>
  <w:style w:type="paragraph" w:customStyle="1" w:styleId="Heading2TOC">
    <w:name w:val="Heading2 TOC"/>
    <w:basedOn w:val="Normal"/>
    <w:qFormat/>
    <w:rsid w:val="00DB716C"/>
    <w:pPr>
      <w:spacing w:before="240" w:after="60"/>
    </w:pPr>
    <w:rPr>
      <w:rFonts w:ascii="Times New Roman" w:hAnsi="Times New Roman"/>
      <w:b/>
      <w:sz w:val="28"/>
    </w:rPr>
  </w:style>
  <w:style w:type="character" w:customStyle="1" w:styleId="Underline">
    <w:name w:val="Underline"/>
    <w:basedOn w:val="DefaultParagraphFont"/>
    <w:qFormat/>
    <w:rsid w:val="00DB716C"/>
    <w:rPr>
      <w:u w:val="single"/>
    </w:rPr>
  </w:style>
  <w:style w:type="character" w:customStyle="1" w:styleId="BoldandItalics">
    <w:name w:val="Bold and Italics"/>
    <w:qFormat/>
    <w:rsid w:val="00DB716C"/>
    <w:rPr>
      <w:b/>
      <w:i/>
      <w:u w:val="none"/>
    </w:rPr>
  </w:style>
  <w:style w:type="paragraph" w:styleId="BalloonText">
    <w:name w:val="Balloon Text"/>
    <w:basedOn w:val="Normal"/>
    <w:link w:val="BalloonTextChar"/>
    <w:rsid w:val="00DB716C"/>
    <w:rPr>
      <w:rFonts w:ascii="Tahoma" w:hAnsi="Tahoma" w:cs="Tahoma"/>
      <w:sz w:val="16"/>
      <w:szCs w:val="16"/>
    </w:rPr>
  </w:style>
  <w:style w:type="character" w:customStyle="1" w:styleId="BalloonTextChar">
    <w:name w:val="Balloon Text Char"/>
    <w:basedOn w:val="DefaultParagraphFont"/>
    <w:link w:val="BalloonText"/>
    <w:rsid w:val="00DB7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1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16C"/>
    <w:rPr>
      <w:b/>
      <w:color w:val="660033"/>
      <w:spacing w:val="0"/>
    </w:rPr>
  </w:style>
  <w:style w:type="paragraph" w:customStyle="1" w:styleId="Nameditemlist">
    <w:name w:val="Named item list"/>
    <w:basedOn w:val="BodyText"/>
    <w:qFormat/>
    <w:rsid w:val="00DB71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2467</Words>
  <Characters>15643</Characters>
  <Application>Microsoft Office Word</Application>
  <DocSecurity>0</DocSecurity>
  <Lines>597</Lines>
  <Paragraphs>214</Paragraphs>
  <ScaleCrop>false</ScaleCrop>
  <Company>Author-it Software Corporation Ltd.</Company>
  <LinksUpToDate>false</LinksUpToDate>
  <CharactersWithSpaces>17943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UETTDRIS23B Implement and monitor environmental and sustainable energy management policies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2012-10-11T18:24:00Z</dcterms:created>
  <dcterms:modified xsi:type="dcterms:W3CDTF">2012-10-11T18:24:00Z</dcterms:modified>
</cp:coreProperties>
</file>