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0783" w:rsidP="00200783">
      <w:pPr>
        <w:pStyle w:val="Title"/>
      </w:pPr>
      <w:r>
        <w:fldChar w:fldCharType="begin"/>
      </w:r>
      <w:r>
        <w:instrText xml:space="preserve"> TITLE   \* MERGEFORMAT </w:instrText>
      </w:r>
      <w:r>
        <w:fldChar w:fldCharType="separate"/>
      </w:r>
      <w:r>
        <w:t>UETTDRIS21B Install mobile generation set for synchronised Genset LV</w:t>
      </w:r>
      <w:r>
        <w:fldChar w:fldCharType="end"/>
      </w:r>
    </w:p>
    <w:p w:rsidR="00200783" w:rsidP="00200783">
      <w:pPr>
        <w:pStyle w:val="Version"/>
        <w:sectPr w:rsidSect="000037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37F7" w:rsidP="000037F7">
      <w:pPr>
        <w:pStyle w:val="SuperHeading"/>
      </w:pPr>
      <w:r w:rsidRPr="000037F7">
        <w:t>UETTDRIS21B Install mobile generation set for synchronised Genset LV</w:t>
      </w:r>
    </w:p>
    <w:p w:rsidR="00000000" w:rsidRPr="000037F7" w:rsidP="000037F7">
      <w:pPr>
        <w:pStyle w:val="Heading1"/>
      </w:pPr>
      <w:bookmarkStart w:id="1" w:name="O_275483"/>
      <w:bookmarkEnd w:id="1"/>
      <w:r w:rsidRPr="000037F7">
        <w:t>Modification History</w:t>
      </w:r>
    </w:p>
    <w:p w:rsidR="00000000" w:rsidRPr="000037F7" w:rsidP="000037F7">
      <w:pPr>
        <w:pStyle w:val="BodyText"/>
      </w:pPr>
      <w:r w:rsidRPr="000037F7">
        <w:t>Not Applicable</w:t>
      </w:r>
    </w:p>
    <w:p w:rsidR="00000000" w:rsidRPr="000037F7" w:rsidP="000037F7">
      <w:pPr>
        <w:pStyle w:val="AllowPageBreak"/>
      </w:pPr>
    </w:p>
    <w:p w:rsidR="00000000" w:rsidRPr="000037F7" w:rsidP="000037F7">
      <w:pPr>
        <w:pStyle w:val="Heading1"/>
      </w:pPr>
      <w:bookmarkStart w:id="2" w:name="O_231529"/>
      <w:bookmarkEnd w:id="2"/>
      <w:r w:rsidRPr="000037F7">
        <w:t>Unit Descriptor</w:t>
      </w:r>
    </w:p>
    <w:tbl>
      <w:tblPr>
        <w:tblW w:w="0" w:type="auto"/>
        <w:tblLayout w:type="fixed"/>
        <w:tblCellMar>
          <w:left w:w="62" w:type="dxa"/>
          <w:right w:w="62" w:type="dxa"/>
        </w:tblCellMar>
        <w:tblLook w:val="0000"/>
      </w:tblPr>
      <w:tblGrid>
        <w:gridCol w:w="2758"/>
        <w:gridCol w:w="5882"/>
      </w:tblGrid>
      <w:tr w:rsidTr="00200783">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rPr>
                <w:rStyle w:val="SpecialBold"/>
              </w:rPr>
              <w:t>1</w:t>
            </w:r>
            <w:r w:rsidRPr="000037F7">
              <w:t xml:space="preserve">) </w:t>
            </w:r>
          </w:p>
          <w:p w:rsidR="00000000" w:rsidP="000037F7">
            <w:pPr>
              <w:pStyle w:val="BodyText"/>
              <w:rPr>
                <w:lang w:val="en-NZ"/>
              </w:rPr>
            </w:pPr>
            <w:r w:rsidRPr="000037F7">
              <w:rPr>
                <w:rStyle w:val="SpecialBold"/>
              </w:rPr>
              <w:t>1</w:t>
            </w:r>
            <w:r w:rsidRPr="000037F7">
              <w:t>.</w:t>
            </w:r>
            <w:r w:rsidRPr="000037F7">
              <w:rPr>
                <w:rStyle w:val="SpecialBold"/>
              </w:rPr>
              <w:t>1</w:t>
            </w:r>
            <w:r w:rsidRPr="000037F7">
              <w:t xml:space="preserve">) </w:t>
            </w:r>
            <w:r w:rsidRPr="000037F7">
              <w:rPr>
                <w:rStyle w:val="SpecialBold"/>
              </w:rPr>
              <w:t>Descriptor</w:t>
            </w:r>
          </w:p>
        </w:tc>
      </w:tr>
      <w:tr w:rsidTr="0020078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t>This Competency Standard Unit covers installation of temporary portable generation sets to LV distribution assets thereby maintaining supply in accordance with requirements, industry regulations, and established procedures. It encompasses the operation, co</w:t>
            </w:r>
            <w:r w:rsidRPr="000037F7">
              <w:t>nnection and disconnection of a temporary portable generator and includes the estimation of LV load and assessing the appropriateness of the generator for the required outcome.</w:t>
            </w:r>
          </w:p>
        </w:tc>
      </w:tr>
    </w:tbl>
    <w:p w:rsidR="00200783" w:rsidP="000037F7">
      <w:pPr>
        <w:pStyle w:val="BodyText"/>
      </w:pPr>
    </w:p>
    <w:p w:rsidR="00200783" w:rsidP="000037F7">
      <w:pPr>
        <w:pStyle w:val="BodyText"/>
      </w:pPr>
    </w:p>
    <w:p w:rsidR="00000000" w:rsidRPr="000037F7" w:rsidP="000037F7">
      <w:pPr>
        <w:pStyle w:val="Heading1"/>
      </w:pPr>
      <w:bookmarkStart w:id="3" w:name="O_231534"/>
      <w:bookmarkEnd w:id="3"/>
      <w:r w:rsidRPr="000037F7">
        <w:t>Application of the Unit</w:t>
      </w:r>
    </w:p>
    <w:tbl>
      <w:tblPr>
        <w:tblW w:w="0" w:type="auto"/>
        <w:tblLayout w:type="fixed"/>
        <w:tblCellMar>
          <w:left w:w="62" w:type="dxa"/>
          <w:right w:w="62" w:type="dxa"/>
        </w:tblCellMar>
        <w:tblLook w:val="0000"/>
      </w:tblPr>
      <w:tblGrid>
        <w:gridCol w:w="2758"/>
        <w:gridCol w:w="5882"/>
      </w:tblGrid>
      <w:tr w:rsidTr="00200783">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rPr>
                <w:rStyle w:val="SpecialBold"/>
              </w:rPr>
              <w:t>4</w:t>
            </w:r>
            <w:r w:rsidRPr="000037F7">
              <w:t>)</w:t>
            </w:r>
          </w:p>
        </w:tc>
      </w:tr>
      <w:tr w:rsidTr="0020078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t>This Competency Standard Unit is intended to augment formally acquired competencies. It is suitable for employment-based programs under an approved contract of training.</w:t>
            </w:r>
          </w:p>
        </w:tc>
      </w:tr>
    </w:tbl>
    <w:p w:rsidR="00200783" w:rsidP="000037F7">
      <w:pPr>
        <w:pStyle w:val="BodyText"/>
      </w:pPr>
    </w:p>
    <w:p w:rsidR="00200783" w:rsidP="000037F7">
      <w:pPr>
        <w:pStyle w:val="BodyText"/>
      </w:pPr>
    </w:p>
    <w:p w:rsidR="00000000" w:rsidRPr="000037F7" w:rsidP="000037F7">
      <w:pPr>
        <w:pStyle w:val="Heading1"/>
      </w:pPr>
      <w:bookmarkStart w:id="4" w:name="O_231530"/>
      <w:bookmarkEnd w:id="4"/>
      <w:r w:rsidRPr="000037F7">
        <w:t>Licensing/Regulatory Information</w:t>
      </w:r>
    </w:p>
    <w:tbl>
      <w:tblPr>
        <w:tblW w:w="0" w:type="auto"/>
        <w:tblLayout w:type="fixed"/>
        <w:tblCellMar>
          <w:left w:w="62" w:type="dxa"/>
          <w:right w:w="62" w:type="dxa"/>
        </w:tblCellMar>
        <w:tblLook w:val="0000"/>
      </w:tblPr>
      <w:tblGrid>
        <w:gridCol w:w="8640"/>
      </w:tblGrid>
      <w:tr w:rsidTr="00200783">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rPr>
                <w:rStyle w:val="SpecialBold"/>
              </w:rPr>
              <w:t>1</w:t>
            </w:r>
            <w:r w:rsidRPr="000037F7">
              <w:t>.</w:t>
            </w:r>
            <w:r w:rsidRPr="000037F7">
              <w:rPr>
                <w:rStyle w:val="SpecialBold"/>
              </w:rPr>
              <w:t>2</w:t>
            </w:r>
            <w:r w:rsidRPr="000037F7">
              <w:t xml:space="preserve">) </w:t>
            </w:r>
            <w:r w:rsidRPr="000037F7">
              <w:rPr>
                <w:rStyle w:val="SpecialBold"/>
              </w:rPr>
              <w:t>License to practice</w:t>
            </w:r>
          </w:p>
        </w:tc>
      </w:tr>
      <w:tr w:rsidTr="0020078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t>The skills and knowledge described in this unit may require a licence/registration to practice in the work place subject to regulations for undertaking of electrical work. Practice in workplace and during training is also subject to regulations directly re</w:t>
            </w:r>
            <w:r w:rsidRPr="000037F7">
              <w:t>lated to Occupational Health and Safety, electricity/telecommunications/gas/water industry safety and compliance, industrial relations, environmental protection, anti discrimination and training. Commonwealth, State/Territory or Local Government legislatio</w:t>
            </w:r>
            <w:r w:rsidRPr="000037F7">
              <w:t>n and regulations may exist that limits the age of operating certain equipment.</w:t>
            </w:r>
          </w:p>
        </w:tc>
      </w:tr>
    </w:tbl>
    <w:p w:rsidR="00200783" w:rsidP="000037F7">
      <w:pPr>
        <w:pStyle w:val="BodyText"/>
      </w:pPr>
    </w:p>
    <w:p w:rsidR="00200783" w:rsidP="000037F7">
      <w:pPr>
        <w:pStyle w:val="BodyText"/>
      </w:pPr>
    </w:p>
    <w:p w:rsidR="00000000" w:rsidRPr="000037F7" w:rsidP="000037F7">
      <w:pPr>
        <w:pStyle w:val="Heading1"/>
      </w:pPr>
      <w:bookmarkStart w:id="5" w:name="O_231531"/>
      <w:bookmarkEnd w:id="5"/>
      <w:r w:rsidRPr="000037F7">
        <w:t>Pre-Requisites</w:t>
      </w:r>
    </w:p>
    <w:tbl>
      <w:tblPr>
        <w:tblW w:w="0" w:type="auto"/>
        <w:tblLayout w:type="fixed"/>
        <w:tblCellMar>
          <w:left w:w="62" w:type="dxa"/>
          <w:right w:w="62" w:type="dxa"/>
        </w:tblCellMar>
        <w:tblLook w:val="0000"/>
      </w:tblPr>
      <w:tblGrid>
        <w:gridCol w:w="2758"/>
        <w:gridCol w:w="735"/>
        <w:gridCol w:w="2022"/>
        <w:gridCol w:w="3125"/>
      </w:tblGrid>
      <w:tr w:rsidTr="00200783">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rPr>
                <w:rStyle w:val="SpecialBold"/>
              </w:rPr>
              <w:t>Prerequisite Unit</w:t>
            </w:r>
            <w:r w:rsidRPr="000037F7">
              <w:t>(</w:t>
            </w:r>
            <w:r w:rsidRPr="000037F7">
              <w:rPr>
                <w:rStyle w:val="SpecialBold"/>
              </w:rPr>
              <w:t>s</w:t>
            </w:r>
            <w:r w:rsidRPr="000037F7">
              <w:t>)</w:t>
            </w:r>
          </w:p>
        </w:tc>
        <w:tc>
          <w:tcPr>
            <w:tcW w:w="5882" w:type="dxa"/>
            <w:gridSpan w:val="3"/>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rPr>
                <w:rStyle w:val="SpecialBold"/>
              </w:rPr>
              <w:t>2</w:t>
            </w:r>
            <w:r w:rsidRPr="000037F7">
              <w:t xml:space="preserve">) </w:t>
            </w:r>
          </w:p>
        </w:tc>
      </w:tr>
      <w:tr w:rsidTr="0020078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0037F7">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rPr>
                <w:rStyle w:val="SpecialBold"/>
              </w:rPr>
              <w:t>2</w:t>
            </w:r>
            <w:r w:rsidRPr="000037F7">
              <w:t>.</w:t>
            </w:r>
            <w:r w:rsidRPr="000037F7">
              <w:rPr>
                <w:rStyle w:val="SpecialBold"/>
              </w:rPr>
              <w:t>1</w:t>
            </w:r>
            <w:r w:rsidRPr="000037F7">
              <w:t xml:space="preserve">) </w:t>
            </w:r>
            <w:r w:rsidRPr="000037F7">
              <w:rPr>
                <w:rStyle w:val="SpecialBold"/>
              </w:rPr>
              <w:t>Competencies</w:t>
            </w:r>
          </w:p>
        </w:tc>
      </w:tr>
      <w:tr w:rsidTr="0020078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Granting of competency in this unit shall be made only af</w:t>
            </w:r>
            <w:r w:rsidRPr="000037F7">
              <w:t>ter competency in the following unit(s) has/have been confirmed:.</w:t>
            </w:r>
          </w:p>
        </w:tc>
      </w:tr>
      <w:tr w:rsidTr="0020078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UETTDRCJ03B</w:t>
            </w:r>
          </w:p>
        </w:tc>
        <w:tc>
          <w:tcPr>
            <w:tcW w:w="3125"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Install and maintain de-energised HV underground paper insulated cables</w:t>
            </w:r>
          </w:p>
        </w:tc>
      </w:tr>
      <w:tr w:rsidTr="0020078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or</w:t>
            </w:r>
          </w:p>
        </w:tc>
        <w:tc>
          <w:tcPr>
            <w:tcW w:w="2022"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UETTDRCJ07B</w:t>
            </w:r>
          </w:p>
        </w:tc>
        <w:tc>
          <w:tcPr>
            <w:tcW w:w="3125"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Install and maintain de-energised HV underground polymeric insulated cables</w:t>
            </w:r>
          </w:p>
        </w:tc>
      </w:tr>
      <w:tr w:rsidTr="0020078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or</w:t>
            </w:r>
          </w:p>
        </w:tc>
        <w:tc>
          <w:tcPr>
            <w:tcW w:w="2022"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UETTDRIS02B</w:t>
            </w:r>
          </w:p>
        </w:tc>
        <w:tc>
          <w:tcPr>
            <w:tcW w:w="3125"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Maintain electrical equipment (network infrastructure)</w:t>
            </w:r>
          </w:p>
        </w:tc>
      </w:tr>
      <w:tr w:rsidTr="0020078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or</w:t>
            </w:r>
          </w:p>
        </w:tc>
        <w:tc>
          <w:tcPr>
            <w:tcW w:w="2022"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UETTDRIS14B</w:t>
            </w:r>
          </w:p>
        </w:tc>
        <w:tc>
          <w:tcPr>
            <w:tcW w:w="3125"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Install and maintain overhead conductors and cables (poles and structures)</w:t>
            </w:r>
          </w:p>
        </w:tc>
      </w:tr>
      <w:tr w:rsidTr="0020078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or</w:t>
            </w:r>
          </w:p>
        </w:tc>
        <w:tc>
          <w:tcPr>
            <w:tcW w:w="2022"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UETTDRTP09B</w:t>
            </w:r>
          </w:p>
        </w:tc>
        <w:tc>
          <w:tcPr>
            <w:tcW w:w="3125"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Install and maintain overhead conductors and cables (towers)</w:t>
            </w:r>
          </w:p>
        </w:tc>
      </w:tr>
      <w:tr w:rsidTr="0020078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t>For the full prer</w:t>
            </w:r>
            <w:r w:rsidRPr="000037F7">
              <w:t>equisite chain details for this unit please refer to Table 3 in Volume 1, Part 2</w:t>
            </w:r>
          </w:p>
        </w:tc>
      </w:tr>
    </w:tbl>
    <w:p w:rsidR="00200783" w:rsidP="000037F7">
      <w:pPr>
        <w:pStyle w:val="BodyText"/>
      </w:pPr>
    </w:p>
    <w:p w:rsidR="00200783" w:rsidP="000037F7">
      <w:pPr>
        <w:pStyle w:val="BodyText"/>
      </w:pPr>
    </w:p>
    <w:p w:rsidR="00000000" w:rsidRPr="000037F7" w:rsidP="000037F7">
      <w:pPr>
        <w:pStyle w:val="Heading1"/>
      </w:pPr>
      <w:bookmarkStart w:id="6" w:name="O_231533"/>
      <w:bookmarkEnd w:id="6"/>
      <w:r w:rsidRPr="000037F7">
        <w:t>Employability Skills Information</w:t>
      </w:r>
    </w:p>
    <w:tbl>
      <w:tblPr>
        <w:tblW w:w="0" w:type="auto"/>
        <w:tblLayout w:type="fixed"/>
        <w:tblCellMar>
          <w:left w:w="62" w:type="dxa"/>
          <w:right w:w="62" w:type="dxa"/>
        </w:tblCellMar>
        <w:tblLook w:val="0000"/>
      </w:tblPr>
      <w:tblGrid>
        <w:gridCol w:w="2758"/>
        <w:gridCol w:w="5882"/>
      </w:tblGrid>
      <w:tr w:rsidTr="00200783">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rPr>
                <w:rStyle w:val="SpecialBold"/>
              </w:rPr>
              <w:t>3</w:t>
            </w:r>
            <w:r w:rsidRPr="000037F7">
              <w:t>)</w:t>
            </w:r>
          </w:p>
          <w:p w:rsidR="00000000" w:rsidRPr="000037F7" w:rsidP="000037F7">
            <w:pPr>
              <w:pStyle w:val="BodyText"/>
            </w:pPr>
            <w:r w:rsidRPr="000037F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037F7">
              <w:t>requirements.</w:t>
            </w:r>
          </w:p>
        </w:tc>
      </w:tr>
    </w:tbl>
    <w:p w:rsidR="00200783" w:rsidP="000037F7">
      <w:pPr>
        <w:pStyle w:val="BodyText"/>
      </w:pPr>
    </w:p>
    <w:p w:rsidR="00200783" w:rsidP="000037F7">
      <w:pPr>
        <w:pStyle w:val="BodyText"/>
      </w:pPr>
    </w:p>
    <w:p w:rsidR="00000000" w:rsidRPr="000037F7" w:rsidP="000037F7">
      <w:pPr>
        <w:pStyle w:val="Heading1"/>
      </w:pPr>
      <w:bookmarkStart w:id="7" w:name="O_293529"/>
      <w:bookmarkEnd w:id="7"/>
      <w:r w:rsidRPr="000037F7">
        <w:t>Elements and Performance Criteria Pre-Content</w:t>
      </w:r>
    </w:p>
    <w:tbl>
      <w:tblPr>
        <w:tblW w:w="0" w:type="auto"/>
        <w:tblLayout w:type="fixed"/>
        <w:tblCellMar>
          <w:left w:w="62" w:type="dxa"/>
          <w:right w:w="62" w:type="dxa"/>
        </w:tblCellMar>
        <w:tblLook w:val="0000"/>
      </w:tblPr>
      <w:tblGrid>
        <w:gridCol w:w="2758"/>
        <w:gridCol w:w="5882"/>
      </w:tblGrid>
      <w:tr w:rsidTr="0020078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rPr>
                <w:rStyle w:val="SpecialBold"/>
              </w:rPr>
              <w:t>6</w:t>
            </w:r>
            <w:r w:rsidRPr="000037F7">
              <w:t xml:space="preserve">) </w:t>
            </w:r>
            <w:r w:rsidRPr="000037F7">
              <w:rPr>
                <w:rStyle w:val="SpecialBold"/>
              </w:rPr>
              <w:t>Elements</w:t>
            </w:r>
            <w:r w:rsidRPr="000037F7">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t>Performance Criteria describe the required performance needed to demonstrate achievement of the element. Assessment of performance is to be consistent with the evidence guide.</w:t>
            </w:r>
          </w:p>
        </w:tc>
      </w:tr>
    </w:tbl>
    <w:p w:rsidR="00000000" w:rsidRPr="000037F7" w:rsidP="000037F7">
      <w:pPr>
        <w:pStyle w:val="BodyText"/>
      </w:pPr>
    </w:p>
    <w:p w:rsidR="00000000" w:rsidRPr="000037F7" w:rsidP="000037F7">
      <w:pPr>
        <w:pStyle w:val="AllowPageBreak"/>
      </w:pPr>
    </w:p>
    <w:p w:rsidR="00000000" w:rsidRPr="000037F7" w:rsidP="000037F7">
      <w:pPr>
        <w:pStyle w:val="Heading1"/>
      </w:pPr>
      <w:bookmarkStart w:id="8" w:name="O_240197"/>
      <w:bookmarkEnd w:id="8"/>
      <w:r w:rsidRPr="000037F7">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200783">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rPr>
                <w:rStyle w:val="SpecialBold"/>
              </w:rPr>
              <w:t>PERFORMANCE CRITER</w:t>
            </w:r>
            <w:r w:rsidRPr="000037F7">
              <w:rPr>
                <w:rStyle w:val="SpecialBold"/>
              </w:rPr>
              <w:t>IA</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1</w:t>
            </w:r>
          </w:p>
        </w:tc>
        <w:tc>
          <w:tcPr>
            <w:tcW w:w="2344"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Prepare/plan to install mobile generation set for synchronised genset LV</w:t>
            </w: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1.1</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 xml:space="preserve">Works schedule(s), including drawings, plans, requirements, established procedures, and material lists, are received, analysed, if necessary, </w:t>
            </w:r>
            <w:r w:rsidRPr="000037F7">
              <w:t>by site inspection and the extent of the preparation of the work determined for planning and coordination.</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1.2</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Relevant requirements and established procedures for the work are communicated to all personnel and identified for all work sites.</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1.3</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 xml:space="preserve">OHS </w:t>
            </w:r>
            <w:r w:rsidRPr="000037F7">
              <w:t>policies and procedures related to the work are used and actioned to ensure safe systems of work are followed.</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1.4</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Work is prioritised and sequenced for the most efficient and effective outcome following consultation with others for completion within ac</w:t>
            </w:r>
            <w:r w:rsidRPr="000037F7">
              <w:t>ceptable timeframes, to a quality standard and in accordance with established procedures.</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1.5</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Hazards are identified, OHS risks assessed and control measures are prioritised, implemented and monitored including emergency exits kept clear according to es</w:t>
            </w:r>
            <w:r w:rsidRPr="000037F7">
              <w:t>tablished procedures.</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1.6</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Relevant work permits are secured to coordinate the performance of work according to requirements and/or established procedures.</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1.7</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Resources including personnel, equipment, tools and personnel protective equipment required for the job are identified, scheduled and coordinated and confirmed in a safe and technical working order.</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1.8</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Clients/customers are provided with alternative me</w:t>
            </w:r>
            <w:r w:rsidRPr="000037F7">
              <w:t>thods within the scope, acceptable cost and requirements.</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1.9</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Liaison and communication issues with other/authorised personnel, authorities, clients and land owners are resolved and activities coordinated to carry out work.</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1.10</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Site is prepared according to the work schedule and to minimise risk and damage to property, commerce, and individuals in accordance with established procedures.</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1.11</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Personnel participating in the work, including plant operators and contractors, are fu</w:t>
            </w:r>
            <w:r w:rsidRPr="000037F7">
              <w:t>lly briefed and respective responsibilities coordinated and authorised where applicable in accordance with established procedures.</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1.12</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Positioning of road signs, barriers and warning devices is planned in accordance with requirements.</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2</w:t>
            </w:r>
          </w:p>
        </w:tc>
        <w:tc>
          <w:tcPr>
            <w:tcW w:w="2344"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 xml:space="preserve">Carry out the </w:t>
            </w:r>
            <w:r w:rsidRPr="000037F7">
              <w:t>installation of mobile generation set for synchronised genset LV</w:t>
            </w: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2.1</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OHS and sustainable energy principles and practices to reduce the incidents of accidents and minimise waste are monitored and actioned in accordance with requirements and/or established p</w:t>
            </w:r>
            <w:r w:rsidRPr="000037F7">
              <w:t>rocedures.</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2.2</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First Aid and other related work procedures are performed according to requirements and/or established procedures.</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2.3</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Lifting, climbing, working in confi</w:t>
            </w:r>
            <w:r w:rsidRPr="000037F7">
              <w:t>ned spaces and aloft, rescue procedures and use of power tools/equipment, techniques and practices are safely exercised according to requirements.</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2.4</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Hazard warnings and safety signs are recognised and hazards and assessed OHS risks are reported to the</w:t>
            </w:r>
            <w:r w:rsidRPr="000037F7">
              <w:t xml:space="preserve"> immediate authorised persons for directions according to established procedures.</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2.5</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Remedial actions are taken to overcome any shortfalls encountered in the work schedule according to requirements and/or established procedures.</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2.6</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The installation</w:t>
            </w:r>
            <w:r w:rsidRPr="000037F7">
              <w:t xml:space="preserve"> of mobile generation set for synchronised genset LV is carried out, in accordance with the work schedule and requirements and/or established procedures.</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2.7</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Essential knowledge and associated skills are applied in the safe installation of mobile generation set for synchronised genset LV to ensure completion in an agreed timeframe and, to quality standards with a minimum of waste according to requirements.</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2</w:t>
            </w:r>
            <w:r w:rsidRPr="000037F7">
              <w:t>.8</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Solutions to non-routine problems are identified and actioned using acquired essential knowledge and associated skills according to requirements.</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2.9</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On going checks of quality of the work are undertaken in accordance with requirements and establishe</w:t>
            </w:r>
            <w:r w:rsidRPr="000037F7">
              <w:t>d procedures to ensure a quality like outcome is achieved for the client/customer and to a community/industry standard.</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3</w:t>
            </w:r>
          </w:p>
        </w:tc>
        <w:tc>
          <w:tcPr>
            <w:tcW w:w="2344" w:type="dxa"/>
            <w:vMerge w:val="restart"/>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Complete the installation of mobile generation set for synchronised genset LV</w:t>
            </w: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3.1</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Work undertaken is checked against works schedule f</w:t>
            </w:r>
            <w:r w:rsidRPr="000037F7">
              <w:t>or conformance with requirements, anomalies reported and solutions identified in accordance with established procedures.</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3.2</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Accidents and/or injuries are reported in accordance with requirements/established procedures.</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3.3</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Work site is rehabilitated, cleaned up and confirmed safe in accordance with established procedures.</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3.4</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Tools, equipment and any surplus resources and materials are, where appropriate, cleaned, checked and returned to storage in accordance with esta</w:t>
            </w:r>
            <w:r w:rsidRPr="000037F7">
              <w:t>blished procedures.</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3.5</w:t>
            </w:r>
          </w:p>
        </w:tc>
        <w:tc>
          <w:tcPr>
            <w:tcW w:w="496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Relevant work permit(s) are signed off and, synchronised genset LV apparatus is returned to service and advised to client/customer in accordance with requirements.</w:t>
            </w:r>
          </w:p>
        </w:tc>
      </w:tr>
      <w:tr w:rsidTr="00200783">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3.6</w:t>
            </w:r>
          </w:p>
        </w:tc>
        <w:tc>
          <w:tcPr>
            <w:tcW w:w="4963" w:type="dxa"/>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t xml:space="preserve">Works completion records, reports, as installed /modified </w:t>
            </w:r>
            <w:r w:rsidRPr="000037F7">
              <w:t>drawing(s) and/or documentation and information are confirmed, processed and appropriate personnel notified.</w:t>
            </w:r>
          </w:p>
        </w:tc>
      </w:tr>
    </w:tbl>
    <w:p w:rsidR="00200783" w:rsidP="000037F7">
      <w:pPr>
        <w:pStyle w:val="BodyText"/>
      </w:pPr>
    </w:p>
    <w:p w:rsidR="00200783" w:rsidP="000037F7">
      <w:pPr>
        <w:pStyle w:val="BodyText"/>
      </w:pPr>
    </w:p>
    <w:p w:rsidR="00000000" w:rsidRPr="000037F7" w:rsidP="000037F7">
      <w:pPr>
        <w:pStyle w:val="Heading1"/>
      </w:pPr>
      <w:bookmarkStart w:id="9" w:name="O_263988"/>
      <w:bookmarkEnd w:id="9"/>
      <w:r w:rsidRPr="000037F7">
        <w:t>Required Skills and Knowledge</w:t>
      </w:r>
    </w:p>
    <w:tbl>
      <w:tblPr>
        <w:tblW w:w="0" w:type="auto"/>
        <w:tblLayout w:type="fixed"/>
        <w:tblCellMar>
          <w:left w:w="62" w:type="dxa"/>
          <w:right w:w="62" w:type="dxa"/>
        </w:tblCellMar>
        <w:tblLook w:val="0000"/>
      </w:tblPr>
      <w:tblGrid>
        <w:gridCol w:w="2758"/>
        <w:gridCol w:w="1103"/>
        <w:gridCol w:w="4779"/>
      </w:tblGrid>
      <w:tr w:rsidTr="00200783">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rPr>
                <w:rStyle w:val="SpecialBold"/>
              </w:rPr>
              <w:t>REQUIRED SKILLS AND KNOWLEDGE</w:t>
            </w:r>
          </w:p>
        </w:tc>
      </w:tr>
      <w:tr w:rsidTr="00200783">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rPr>
                <w:rStyle w:val="SpecialBold"/>
              </w:rPr>
              <w:t>7</w:t>
            </w:r>
            <w:r w:rsidRPr="000037F7">
              <w:t xml:space="preserve">) </w:t>
            </w:r>
            <w:r w:rsidRPr="000037F7">
              <w:rPr>
                <w:rStyle w:val="SpecialBold"/>
              </w:rPr>
              <w:t>Essential Knowledge and Associated Skills</w:t>
            </w:r>
            <w:r w:rsidRPr="000037F7">
              <w:t xml:space="preserve"> (</w:t>
            </w:r>
            <w:r w:rsidRPr="000037F7">
              <w:rPr>
                <w:rStyle w:val="SpecialBold"/>
              </w:rPr>
              <w:t>EKAS</w:t>
            </w:r>
            <w:r w:rsidRPr="000037F7">
              <w:t>): This describes the essential skills and knowledge and their level, required for this unit.</w:t>
            </w:r>
          </w:p>
        </w:tc>
      </w:tr>
      <w:tr w:rsidTr="00200783">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t>Evidence shall show that knowledge has been acquired of installing mobile generation set for synchronised genset LV.</w:t>
            </w:r>
          </w:p>
          <w:p w:rsidR="00000000" w:rsidRPr="000037F7" w:rsidP="000037F7">
            <w:pPr>
              <w:pStyle w:val="BodyText"/>
            </w:pPr>
            <w:r w:rsidRPr="000037F7">
              <w:t xml:space="preserve">All knowledge and skills detailed in this </w:t>
            </w:r>
            <w:r w:rsidRPr="000037F7">
              <w:t>unit should be contextualised to current industry practices and technologies.</w:t>
            </w:r>
          </w:p>
          <w:p w:rsidR="00000000" w:rsidP="000037F7">
            <w:pPr>
              <w:pStyle w:val="BodyText"/>
              <w:rPr>
                <w:lang w:val="en-NZ"/>
              </w:rPr>
            </w:pPr>
            <w:r w:rsidRPr="000037F7">
              <w:t>The extent of the essential knowledge and associated skills (EKAS) required is given in Volume 2 - Part 2.2 EKAS. It forms an integral part of this unit.</w:t>
            </w:r>
          </w:p>
        </w:tc>
      </w:tr>
      <w:tr w:rsidTr="0020078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 xml:space="preserve">T2.2.25 </w:t>
            </w:r>
          </w:p>
        </w:tc>
        <w:tc>
          <w:tcPr>
            <w:tcW w:w="477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Operation p</w:t>
            </w:r>
            <w:r w:rsidRPr="000037F7">
              <w:t>rinciples of a portable generator</w:t>
            </w:r>
          </w:p>
        </w:tc>
      </w:tr>
      <w:tr w:rsidTr="0020078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 xml:space="preserve">T2.2.26 </w:t>
            </w:r>
          </w:p>
        </w:tc>
        <w:tc>
          <w:tcPr>
            <w:tcW w:w="477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Installation of a mobile generator - LV</w:t>
            </w:r>
          </w:p>
        </w:tc>
      </w:tr>
      <w:tr w:rsidTr="0020078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 xml:space="preserve">T2.2.27 </w:t>
            </w:r>
          </w:p>
        </w:tc>
        <w:tc>
          <w:tcPr>
            <w:tcW w:w="477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Generator control systems -LV</w:t>
            </w:r>
          </w:p>
        </w:tc>
      </w:tr>
      <w:tr w:rsidTr="0020078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 xml:space="preserve">T2.3.1 </w:t>
            </w:r>
          </w:p>
        </w:tc>
        <w:tc>
          <w:tcPr>
            <w:tcW w:w="4779"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Powerline safety practices</w:t>
            </w:r>
          </w:p>
        </w:tc>
      </w:tr>
      <w:tr w:rsidTr="0020078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 xml:space="preserve">T2.4.2 </w:t>
            </w:r>
          </w:p>
        </w:tc>
        <w:tc>
          <w:tcPr>
            <w:tcW w:w="4779" w:type="dxa"/>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t>Low voltage switching principles</w:t>
            </w:r>
          </w:p>
        </w:tc>
      </w:tr>
    </w:tbl>
    <w:p w:rsidR="00200783" w:rsidP="000037F7">
      <w:pPr>
        <w:pStyle w:val="BodyText"/>
      </w:pPr>
    </w:p>
    <w:p w:rsidR="00200783" w:rsidP="000037F7">
      <w:pPr>
        <w:pStyle w:val="BodyText"/>
      </w:pPr>
    </w:p>
    <w:p w:rsidR="00000000" w:rsidRPr="000037F7" w:rsidP="000037F7">
      <w:pPr>
        <w:pStyle w:val="Heading1"/>
      </w:pPr>
      <w:bookmarkStart w:id="10" w:name="O_248180"/>
      <w:bookmarkEnd w:id="10"/>
      <w:r w:rsidRPr="000037F7">
        <w:t>Evidence Guide</w:t>
      </w:r>
    </w:p>
    <w:tbl>
      <w:tblPr>
        <w:tblW w:w="0" w:type="auto"/>
        <w:tblLayout w:type="fixed"/>
        <w:tblCellMar>
          <w:left w:w="62" w:type="dxa"/>
          <w:right w:w="62" w:type="dxa"/>
        </w:tblCellMar>
        <w:tblLook w:val="0000"/>
      </w:tblPr>
      <w:tblGrid>
        <w:gridCol w:w="2207"/>
        <w:gridCol w:w="735"/>
        <w:gridCol w:w="919"/>
        <w:gridCol w:w="1654"/>
        <w:gridCol w:w="3125"/>
      </w:tblGrid>
      <w:tr w:rsidTr="00200783">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rPr>
                <w:rStyle w:val="SpecialBold"/>
              </w:rPr>
              <w:t>EVIDENCE GUIDE</w:t>
            </w:r>
          </w:p>
        </w:tc>
      </w:tr>
      <w:tr w:rsidTr="00200783">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rPr>
                <w:rStyle w:val="SpecialBold"/>
              </w:rPr>
              <w:t>9</w:t>
            </w:r>
            <w:r w:rsidRPr="000037F7">
              <w:t>) This provides essential advice for assessment of the unit of competency and must be read in conjunction with the Performance Criteria and the range statement of the unit of competency and the Training Package Assessment Guidelines.</w:t>
            </w:r>
          </w:p>
          <w:p w:rsidR="00000000" w:rsidP="000037F7">
            <w:pPr>
              <w:pStyle w:val="BodyText"/>
              <w:rPr>
                <w:lang w:val="en-NZ"/>
              </w:rPr>
            </w:pPr>
            <w:r w:rsidRPr="000037F7">
              <w:t>The Evidence Guide forms an integral part of this Competency Standard Unit and shall be used in conjunction with all component parts of this unit and, performed in accordance with the Assessment Guidelines of this Training Package.</w:t>
            </w:r>
          </w:p>
        </w:tc>
      </w:tr>
      <w:tr w:rsidTr="0020078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rPr>
                <w:rStyle w:val="SpecialBold"/>
              </w:rPr>
              <w:t>Overview of Assessm</w:t>
            </w:r>
            <w:r w:rsidRPr="000037F7">
              <w:rPr>
                <w:rStyle w:val="SpecialBold"/>
              </w:rPr>
              <w:t>ent</w:t>
            </w:r>
          </w:p>
        </w:tc>
        <w:tc>
          <w:tcPr>
            <w:tcW w:w="6433" w:type="dxa"/>
            <w:gridSpan w:val="4"/>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rPr>
                <w:rStyle w:val="SpecialBold"/>
              </w:rPr>
              <w:t>9</w:t>
            </w:r>
            <w:r w:rsidRPr="000037F7">
              <w:t>.</w:t>
            </w:r>
            <w:r w:rsidRPr="000037F7">
              <w:rPr>
                <w:rStyle w:val="SpecialBold"/>
              </w:rPr>
              <w:t>1</w:t>
            </w:r>
            <w:r w:rsidRPr="000037F7">
              <w:t xml:space="preserve">) </w:t>
            </w:r>
          </w:p>
          <w:p w:rsidR="00000000" w:rsidRPr="000037F7" w:rsidP="000037F7">
            <w:pPr>
              <w:pStyle w:val="BodyText"/>
            </w:pPr>
            <w:r w:rsidRPr="000037F7">
              <w:t xml:space="preserve">Longitudinal competency development approaches to assessment, such as Profiling, require data to be reliably gathered in a form that can be consistently interpreted over time. This approach is best utilised in Apprenticeship programs and reduces </w:t>
            </w:r>
            <w:r w:rsidRPr="000037F7">
              <w:t>assessment intervention. It is the Industry's preferred model for apprenticeships. However, where summative (or final) assessment is used it is to include the application of the competency in the normal work environment or, at a minimum, the application of</w:t>
            </w:r>
            <w:r w:rsidRPr="000037F7">
              <w:t xml:space="preserve"> 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0037F7" w:rsidP="000037F7">
            <w:pPr>
              <w:pStyle w:val="BodyText"/>
            </w:pPr>
            <w:r w:rsidRPr="000037F7">
              <w:t>Methods chosen for a particular assessment will be influenced by various factors. These include the extent of the assessment, the most effective locations for the assessment activities to take place, access to physical resources, additional safety measures</w:t>
            </w:r>
            <w:r w:rsidRPr="000037F7">
              <w:t xml:space="preserve"> that may be required and the critical nature of the competencies being assessed.</w:t>
            </w:r>
          </w:p>
          <w:p w:rsidR="00000000" w:rsidRPr="000037F7" w:rsidP="000037F7">
            <w:pPr>
              <w:pStyle w:val="BodyText"/>
            </w:pPr>
            <w:r w:rsidRPr="000037F7">
              <w:t>The critical safety nature of working with electricity, electrical equipment, gas or any other hazardous substance/material carries risk in deeming a person competent. Hence,</w:t>
            </w:r>
            <w:r w:rsidRPr="000037F7">
              <w:t xml:space="preserve"> sources of evidence need to be 'rich' in nature so as to minimise error in judgment.</w:t>
            </w:r>
          </w:p>
          <w:p w:rsidR="00000000" w:rsidP="000037F7">
            <w:pPr>
              <w:pStyle w:val="BodyText"/>
              <w:rPr>
                <w:lang w:val="en-NZ"/>
              </w:rPr>
            </w:pPr>
            <w:r w:rsidRPr="000037F7">
              <w:t xml:space="preserve">Activities associated with normal every day work have a bearing on the decision as to how much and how detailed the data gathered will contribute to its 'richness'. Some </w:t>
            </w:r>
            <w:r w:rsidRPr="000037F7">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0037F7">
              <w:t>Sample assessment instruments are included for Assessors in the Assessment Guidelines of this Training Package.</w:t>
            </w:r>
          </w:p>
        </w:tc>
      </w:tr>
      <w:tr w:rsidTr="00200783">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rPr>
                <w:rStyle w:val="SpecialBold"/>
              </w:rPr>
              <w:t>9</w:t>
            </w:r>
            <w:r w:rsidRPr="000037F7">
              <w:t>.</w:t>
            </w:r>
            <w:r w:rsidRPr="000037F7">
              <w:rPr>
                <w:rStyle w:val="SpecialBold"/>
              </w:rPr>
              <w:t>2</w:t>
            </w:r>
            <w:r w:rsidRPr="000037F7">
              <w:t xml:space="preserve">) </w:t>
            </w:r>
          </w:p>
          <w:p w:rsidR="00000000" w:rsidP="000037F7">
            <w:pPr>
              <w:pStyle w:val="BodyText"/>
              <w:rPr>
                <w:lang w:val="en-NZ"/>
              </w:rPr>
            </w:pPr>
            <w:r w:rsidRPr="000037F7">
              <w:t>Before the critical aspects of evidence are considered al</w:t>
            </w:r>
            <w:r w:rsidRPr="000037F7">
              <w:t>l prerequisites shall be met.</w:t>
            </w:r>
          </w:p>
        </w:tc>
      </w:tr>
      <w:tr w:rsidTr="00200783">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t>Evidence for competence in this unit shall be considered holistically. Each element and associated Performance Criteria shall be demonstrated on at least tw</w:t>
            </w:r>
            <w:r w:rsidRPr="000037F7">
              <w:t>o occasions in accordance with the "Assessment Guidelines - UET09". Evidence shall also comprise:</w:t>
            </w:r>
          </w:p>
          <w:p w:rsidR="00000000" w:rsidP="000037F7">
            <w:pPr>
              <w:pStyle w:val="ListBullet"/>
              <w:rPr>
                <w:lang w:val="en-NZ"/>
              </w:rPr>
            </w:pPr>
            <w:r w:rsidRPr="000037F7">
              <w:t>A representative body of Performance Criteria demonstrated within the timeframes typically expected of the discipline, work function and industrial environme</w:t>
            </w:r>
            <w:r w:rsidRPr="000037F7">
              <w:t>nt. In particular this shall incorporate evidence that shows a candidate is able to:</w:t>
            </w:r>
          </w:p>
        </w:tc>
      </w:tr>
      <w:tr w:rsidTr="0020078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0037F7" w:rsidP="000037F7">
            <w:pPr>
              <w:pStyle w:val="ListBullet2"/>
            </w:pPr>
            <w:r w:rsidRPr="000037F7">
              <w:t>Implement Occupational Health and Safety workplace procedures and practices including the use of risk control measures as specified in the Performance Criteria and r</w:t>
            </w:r>
            <w:r w:rsidRPr="000037F7">
              <w:t>ange; and</w:t>
            </w:r>
          </w:p>
          <w:p w:rsidR="00000000" w:rsidRPr="000037F7" w:rsidP="000037F7">
            <w:pPr>
              <w:pStyle w:val="ListBullet2"/>
            </w:pPr>
            <w:r w:rsidRPr="000037F7">
              <w:t>Apply sustainable energy principles and practices as specified in the Performance Criteria and range; and</w:t>
            </w:r>
          </w:p>
          <w:p w:rsidR="00000000" w:rsidRPr="000037F7" w:rsidP="000037F7">
            <w:pPr>
              <w:pStyle w:val="ListBullet2"/>
            </w:pPr>
            <w:r w:rsidRPr="000037F7">
              <w:t xml:space="preserve">Demonstrate an understanding of the essential knowledge and </w:t>
            </w:r>
            <w:r w:rsidRPr="000037F7">
              <w:t>associated skills as described in this unit to such an extent that the learner's performance outcome is reported in accordance with the preferred approach; namely a percentile graded result, where required by the regulated environment; and</w:t>
            </w:r>
          </w:p>
          <w:p w:rsidR="00000000" w:rsidRPr="000037F7" w:rsidP="000037F7">
            <w:pPr>
              <w:pStyle w:val="ListBullet2"/>
            </w:pPr>
            <w:r w:rsidRPr="000037F7">
              <w:t>Demonstrate an a</w:t>
            </w:r>
            <w:r w:rsidRPr="000037F7">
              <w:t>ppropriate level of employability skills; and</w:t>
            </w:r>
          </w:p>
          <w:p w:rsidR="00000000" w:rsidP="000037F7">
            <w:pPr>
              <w:pStyle w:val="ListBullet2"/>
              <w:rPr>
                <w:lang w:val="en-NZ"/>
              </w:rPr>
            </w:pPr>
            <w:r w:rsidRPr="000037F7">
              <w:t>Conduct work observing the relevant Anti Discrimination legislation, regulations, policies and workplace procedures; and</w:t>
            </w:r>
          </w:p>
        </w:tc>
      </w:tr>
      <w:tr w:rsidTr="0020078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0037F7">
            <w:pPr>
              <w:pStyle w:val="ListBullet"/>
              <w:rPr>
                <w:lang w:val="en-NZ"/>
              </w:rPr>
            </w:pPr>
            <w:r w:rsidRPr="000037F7">
              <w:t>Demonstrated performance across a representative range of contexts from the prescri</w:t>
            </w:r>
            <w:r w:rsidRPr="000037F7">
              <w:t>bed items below:</w:t>
            </w:r>
          </w:p>
        </w:tc>
      </w:tr>
      <w:tr w:rsidTr="0020078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0037F7">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7F7">
            <w:pPr>
              <w:pStyle w:val="BodyText"/>
              <w:rPr>
                <w:lang w:val="en-NZ"/>
              </w:rPr>
            </w:pPr>
            <w:r w:rsidRPr="000037F7">
              <w:rPr>
                <w:rStyle w:val="SpecialBold"/>
              </w:rPr>
              <w:t>Range of tools</w:t>
            </w:r>
            <w:r w:rsidRPr="000037F7">
              <w:t>/</w:t>
            </w:r>
            <w:r w:rsidRPr="000037F7">
              <w:rPr>
                <w:rStyle w:val="SpecialBold"/>
              </w:rPr>
              <w:t>equipment</w:t>
            </w:r>
            <w:r w:rsidRPr="000037F7">
              <w:t>/</w:t>
            </w:r>
            <w:r w:rsidRPr="000037F7">
              <w:rPr>
                <w:rStyle w:val="SpecialBold"/>
              </w:rPr>
              <w:t>materials</w:t>
            </w:r>
            <w:r w:rsidRPr="000037F7">
              <w:t>/</w:t>
            </w:r>
            <w:r w:rsidRPr="000037F7">
              <w:rPr>
                <w:rStyle w:val="SpecialBold"/>
              </w:rPr>
              <w:t>procedures</w:t>
            </w:r>
            <w:r w:rsidRPr="000037F7">
              <w:t>/</w:t>
            </w:r>
            <w:r w:rsidRPr="000037F7">
              <w:rPr>
                <w:rStyle w:val="SpecialBold"/>
              </w:rPr>
              <w:t>workplaces</w:t>
            </w:r>
            <w:r w:rsidRPr="000037F7">
              <w:t>/</w:t>
            </w:r>
            <w:r w:rsidRPr="000037F7">
              <w:rPr>
                <w:rStyle w:val="SpecialBold"/>
              </w:rPr>
              <w:t>other variables</w:t>
            </w:r>
          </w:p>
        </w:tc>
      </w:tr>
      <w:tr w:rsidTr="0020078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0037F7">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7F7" w:rsidP="000037F7">
            <w:pPr>
              <w:pStyle w:val="BodyText"/>
            </w:pPr>
            <w:r w:rsidRPr="000037F7">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7F7" w:rsidP="000037F7">
            <w:pPr>
              <w:pStyle w:val="BodyText"/>
            </w:pPr>
            <w:r w:rsidRPr="000037F7">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7F7">
            <w:pPr>
              <w:pStyle w:val="BodyText"/>
              <w:rPr>
                <w:lang w:val="en-NZ"/>
              </w:rPr>
            </w:pPr>
            <w:r w:rsidRPr="000037F7">
              <w:rPr>
                <w:rStyle w:val="SpecialBold"/>
              </w:rPr>
              <w:t>Item List</w:t>
            </w:r>
          </w:p>
        </w:tc>
      </w:tr>
      <w:tr w:rsidTr="0020078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7F7">
            <w:pPr>
              <w:pStyle w:val="BodyText"/>
              <w:rPr>
                <w:lang w:val="en-NZ"/>
              </w:rPr>
            </w:pPr>
            <w:r w:rsidRPr="000037F7">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7F7">
            <w:pPr>
              <w:pStyle w:val="BodyText"/>
              <w:rPr>
                <w:lang w:val="en-NZ"/>
              </w:rPr>
            </w:pPr>
            <w:r w:rsidRPr="000037F7">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7F7" w:rsidP="000037F7">
            <w:pPr>
              <w:pStyle w:val="BodyText"/>
            </w:pPr>
            <w:r w:rsidRPr="000037F7">
              <w:t xml:space="preserve">Operation of the generator </w:t>
            </w:r>
          </w:p>
          <w:p w:rsidR="00000000" w:rsidRPr="000037F7" w:rsidP="000037F7">
            <w:pPr>
              <w:pStyle w:val="BodyText"/>
            </w:pPr>
            <w:r w:rsidRPr="000037F7">
              <w:t>Connection of the generator</w:t>
            </w:r>
          </w:p>
          <w:p w:rsidR="00000000" w:rsidP="000037F7">
            <w:pPr>
              <w:pStyle w:val="BodyText"/>
              <w:rPr>
                <w:lang w:val="en-NZ"/>
              </w:rPr>
            </w:pPr>
            <w:r w:rsidRPr="000037F7">
              <w:t>Disconnection of the generator</w:t>
            </w:r>
          </w:p>
        </w:tc>
      </w:tr>
      <w:tr w:rsidTr="0020078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7F7">
            <w:pPr>
              <w:pStyle w:val="BodyText"/>
              <w:rPr>
                <w:lang w:val="en-NZ"/>
              </w:rPr>
            </w:pPr>
            <w:r w:rsidRPr="000037F7">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7F7">
            <w:pPr>
              <w:pStyle w:val="BodyText"/>
              <w:rPr>
                <w:lang w:val="en-NZ"/>
              </w:rPr>
            </w:pPr>
            <w:r w:rsidRPr="000037F7">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7F7" w:rsidP="000037F7">
            <w:pPr>
              <w:pStyle w:val="BodyText"/>
            </w:pPr>
            <w:r w:rsidRPr="000037F7">
              <w:t>The synchronising of generator control systems onto the network without interruption to supply</w:t>
            </w:r>
          </w:p>
          <w:p w:rsidR="00000000" w:rsidP="000037F7">
            <w:pPr>
              <w:pStyle w:val="BodyText"/>
              <w:rPr>
                <w:lang w:val="en-NZ"/>
              </w:rPr>
            </w:pPr>
            <w:r w:rsidRPr="000037F7">
              <w:t>The synchronising of generator control systems off the network without inte</w:t>
            </w:r>
            <w:r w:rsidRPr="000037F7">
              <w:t>rruption to supply</w:t>
            </w:r>
          </w:p>
        </w:tc>
      </w:tr>
      <w:tr w:rsidTr="0020078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7F7">
            <w:pPr>
              <w:pStyle w:val="BodyText"/>
              <w:rPr>
                <w:lang w:val="en-NZ"/>
              </w:rPr>
            </w:pPr>
            <w:r w:rsidRPr="000037F7">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7F7">
            <w:pPr>
              <w:pStyle w:val="BodyText"/>
              <w:rPr>
                <w:lang w:val="en-NZ"/>
              </w:rPr>
            </w:pPr>
            <w:r w:rsidRPr="000037F7">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7F7" w:rsidP="000037F7">
            <w:pPr>
              <w:pStyle w:val="BodyText"/>
            </w:pPr>
            <w:r w:rsidRPr="000037F7">
              <w:t>Estimation of LV load of the generator</w:t>
            </w:r>
          </w:p>
          <w:p w:rsidR="00000000" w:rsidP="000037F7">
            <w:pPr>
              <w:pStyle w:val="BodyText"/>
              <w:rPr>
                <w:lang w:val="en-NZ"/>
              </w:rPr>
            </w:pPr>
            <w:r w:rsidRPr="000037F7">
              <w:t>Assessing the appropriateness of the generator</w:t>
            </w:r>
          </w:p>
        </w:tc>
      </w:tr>
      <w:tr w:rsidTr="0020078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7F7">
            <w:pPr>
              <w:pStyle w:val="BodyText"/>
              <w:rPr>
                <w:lang w:val="en-NZ"/>
              </w:rPr>
            </w:pPr>
            <w:r w:rsidRPr="000037F7">
              <w:t>D</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7F7">
            <w:pPr>
              <w:pStyle w:val="BodyText"/>
              <w:rPr>
                <w:lang w:val="en-NZ"/>
              </w:rPr>
            </w:pPr>
            <w:r w:rsidRPr="000037F7">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7F7">
            <w:pPr>
              <w:pStyle w:val="BodyText"/>
              <w:rPr>
                <w:lang w:val="en-NZ"/>
              </w:rPr>
            </w:pPr>
            <w:r w:rsidRPr="000037F7">
              <w:t>Operating a generator in parallel to a single LV job</w:t>
            </w:r>
          </w:p>
        </w:tc>
      </w:tr>
      <w:tr w:rsidTr="0020078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7F7">
            <w:pPr>
              <w:pStyle w:val="BodyText"/>
              <w:rPr>
                <w:lang w:val="en-NZ"/>
              </w:rPr>
            </w:pPr>
            <w:r w:rsidRPr="000037F7">
              <w:t>E</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7F7">
            <w:pPr>
              <w:pStyle w:val="BodyText"/>
              <w:rPr>
                <w:lang w:val="en-NZ"/>
              </w:rPr>
            </w:pPr>
            <w:r w:rsidRPr="000037F7">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7F7">
            <w:pPr>
              <w:pStyle w:val="BodyText"/>
              <w:rPr>
                <w:lang w:val="en-NZ"/>
              </w:rPr>
            </w:pPr>
            <w:r w:rsidRPr="000037F7">
              <w:t>Dealing with an unplanned event by drawing on essential knowledge and associated skills to provide appropriate solutions incorporated in the holistic assessment with the above listed items.</w:t>
            </w:r>
          </w:p>
        </w:tc>
      </w:tr>
      <w:tr w:rsidTr="0020078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rPr>
                <w:rStyle w:val="SpecialBold"/>
              </w:rPr>
              <w:t>9</w:t>
            </w:r>
            <w:r w:rsidRPr="000037F7">
              <w:t>.</w:t>
            </w:r>
            <w:r w:rsidRPr="000037F7">
              <w:rPr>
                <w:rStyle w:val="SpecialBold"/>
              </w:rPr>
              <w:t>3</w:t>
            </w:r>
            <w:r w:rsidRPr="000037F7">
              <w:t xml:space="preserve">) </w:t>
            </w:r>
          </w:p>
          <w:p w:rsidR="00000000" w:rsidRPr="000037F7" w:rsidP="000037F7">
            <w:pPr>
              <w:pStyle w:val="BodyText"/>
            </w:pPr>
            <w:r w:rsidRPr="000037F7">
              <w:t xml:space="preserve">This unit </w:t>
            </w:r>
            <w:r w:rsidRPr="000037F7">
              <w:t>should be assessed as it relates to normal work practice using procedures, information and resources typical of a workplace. This should include:</w:t>
            </w:r>
          </w:p>
          <w:p w:rsidR="00000000" w:rsidRPr="000037F7" w:rsidP="000037F7">
            <w:pPr>
              <w:pStyle w:val="ListBullet"/>
            </w:pPr>
            <w:r w:rsidRPr="000037F7">
              <w:t>OHS policy and work procedures and instructions.</w:t>
            </w:r>
          </w:p>
          <w:p w:rsidR="00000000" w:rsidP="000037F7">
            <w:pPr>
              <w:pStyle w:val="ListBullet"/>
              <w:rPr>
                <w:lang w:val="en-NZ"/>
              </w:rPr>
            </w:pPr>
            <w:r w:rsidRPr="000037F7">
              <w:t xml:space="preserve">Suitable work environment, facilities, equipment and materials to undertake actual installation of a synchronised generation set. </w:t>
            </w:r>
          </w:p>
        </w:tc>
      </w:tr>
      <w:tr w:rsidTr="0020078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In addition to the resources listed above, in Context of and specific resources for assessment, evidence should show dem</w:t>
            </w:r>
            <w:r w:rsidRPr="000037F7">
              <w:t xml:space="preserve">onstrated competency working below ground, in limited spaces, with different structural/construction types and method and in a variety of environments. </w:t>
            </w:r>
          </w:p>
        </w:tc>
      </w:tr>
      <w:tr w:rsidTr="0020078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rPr>
                <w:rStyle w:val="SpecialBold"/>
              </w:rPr>
              <w:t>9</w:t>
            </w:r>
            <w:r w:rsidRPr="000037F7">
              <w:t>.</w:t>
            </w:r>
            <w:r w:rsidRPr="000037F7">
              <w:rPr>
                <w:rStyle w:val="SpecialBold"/>
              </w:rPr>
              <w:t>4</w:t>
            </w:r>
            <w:r w:rsidRPr="000037F7">
              <w:t xml:space="preserve">) </w:t>
            </w:r>
          </w:p>
          <w:p w:rsidR="00000000" w:rsidRPr="000037F7" w:rsidP="000037F7">
            <w:pPr>
              <w:pStyle w:val="BodyText"/>
            </w:pPr>
            <w:r w:rsidRPr="000037F7">
              <w:t>This Competency Standard Unit shall be assessed by methods given in Volu</w:t>
            </w:r>
            <w:r w:rsidRPr="000037F7">
              <w:t>me 1, Part 3 "Assessment Guidelines".</w:t>
            </w:r>
          </w:p>
          <w:p w:rsidR="00000000" w:rsidP="000037F7">
            <w:pPr>
              <w:pStyle w:val="BodyText"/>
              <w:rPr>
                <w:lang w:val="en-NZ"/>
              </w:rPr>
            </w:pPr>
            <w:r w:rsidRPr="000037F7">
              <w:t>Note:</w:t>
            </w:r>
            <w:r w:rsidRPr="000037F7">
              <w:br/>
            </w:r>
            <w:r w:rsidRPr="000037F7">
              <w:t>Competent performance with inherent safe working practices is expected in the Industry to which this Competency Standard Unit applies. This requires that the specified essential knowledge and associated skills are assessed in a structured environment which</w:t>
            </w:r>
            <w:r w:rsidRPr="000037F7">
              <w:t xml:space="preserve"> is primarily intended for learning/assessment and incorporates all necessary equipment and facilities for learners to develop and demonstrate the essential knowledge and associated  skills described in this unit.</w:t>
            </w:r>
          </w:p>
        </w:tc>
      </w:tr>
      <w:tr w:rsidTr="00200783">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rPr>
                <w:rStyle w:val="SpecialBold"/>
              </w:rPr>
              <w:t>Concurrent assessment and relationship</w:t>
            </w:r>
            <w:r w:rsidRPr="000037F7">
              <w:rPr>
                <w:rStyle w:val="SpecialBold"/>
              </w:rPr>
              <w:t xml:space="preserve">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rPr>
                <w:rStyle w:val="SpecialBold"/>
              </w:rPr>
              <w:t>9</w:t>
            </w:r>
            <w:r w:rsidRPr="000037F7">
              <w:t>.</w:t>
            </w:r>
            <w:r w:rsidRPr="000037F7">
              <w:rPr>
                <w:rStyle w:val="SpecialBold"/>
              </w:rPr>
              <w:t>5</w:t>
            </w:r>
            <w:r w:rsidRPr="000037F7">
              <w:t>)</w:t>
            </w:r>
          </w:p>
        </w:tc>
      </w:tr>
      <w:tr w:rsidTr="00200783">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t>There are no concurrent assessment recommendations for this unit.</w:t>
            </w:r>
          </w:p>
        </w:tc>
      </w:tr>
    </w:tbl>
    <w:p w:rsidR="00200783" w:rsidP="000037F7">
      <w:pPr>
        <w:pStyle w:val="BodyText"/>
      </w:pPr>
    </w:p>
    <w:p w:rsidR="00200783" w:rsidP="000037F7">
      <w:pPr>
        <w:pStyle w:val="BodyText"/>
      </w:pPr>
    </w:p>
    <w:p w:rsidR="00000000" w:rsidRPr="000037F7" w:rsidP="000037F7">
      <w:pPr>
        <w:pStyle w:val="Heading1"/>
      </w:pPr>
      <w:bookmarkStart w:id="11" w:name="O_256164"/>
      <w:bookmarkEnd w:id="11"/>
      <w:r w:rsidRPr="000037F7">
        <w:t>Range Statement</w:t>
      </w:r>
    </w:p>
    <w:tbl>
      <w:tblPr>
        <w:tblW w:w="0" w:type="auto"/>
        <w:tblLayout w:type="fixed"/>
        <w:tblCellMar>
          <w:left w:w="62" w:type="dxa"/>
          <w:right w:w="62" w:type="dxa"/>
        </w:tblCellMar>
        <w:tblLook w:val="0000"/>
      </w:tblPr>
      <w:tblGrid>
        <w:gridCol w:w="2207"/>
        <w:gridCol w:w="6433"/>
      </w:tblGrid>
      <w:tr w:rsidTr="00200783">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rPr>
                <w:rStyle w:val="SpecialBold"/>
              </w:rPr>
              <w:t>RANGE STATEMENT</w:t>
            </w:r>
          </w:p>
        </w:tc>
      </w:tr>
      <w:tr w:rsidTr="0020078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rPr>
                <w:rStyle w:val="SpecialBold"/>
              </w:rPr>
              <w:t>8</w:t>
            </w:r>
            <w:r w:rsidRPr="000037F7">
              <w:t xml:space="preserve">) This relates to the unit of competency as a whole providing the range of contexts and conditions </w:t>
            </w:r>
            <w:r w:rsidRPr="000037F7">
              <w:t>to which the Performance Criteria apply. It allows for different work environments and situations that will affect performance.</w:t>
            </w:r>
          </w:p>
        </w:tc>
      </w:tr>
      <w:tr w:rsidTr="0020078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t>This Competency Standard Unit shall/may be demonstrated in relation to the installation of temporary portable generation sets to LV distribution assets for maintenacne of supply that is in accord with requirements, industry regulations and established proc</w:t>
            </w:r>
            <w:r w:rsidRPr="000037F7">
              <w:t>edures. It includes the operation, connection and disconnection of a temporary portable generator and includes the estimation of LV load and assessing the appropriateness of the generator for the required outcome, and may include the following:</w:t>
            </w:r>
          </w:p>
          <w:p w:rsidR="00000000" w:rsidRPr="000037F7" w:rsidP="000037F7">
            <w:pPr>
              <w:pStyle w:val="BodyText"/>
            </w:pPr>
            <w:r w:rsidRPr="000037F7">
              <w:t>Overhead sy</w:t>
            </w:r>
            <w:r w:rsidRPr="000037F7">
              <w:t>stems, Indoor systems, Customer Installations, Kiosk Substations, LV genset and control system to LV Distribution assets.</w:t>
            </w:r>
          </w:p>
          <w:p w:rsidR="00000000" w:rsidP="000037F7">
            <w:pPr>
              <w:pStyle w:val="BodyText"/>
              <w:rPr>
                <w:lang w:val="en-NZ"/>
              </w:rPr>
            </w:pPr>
            <w:r w:rsidRPr="000037F7">
              <w:t>The following constants and variables included in the element/Performance Criteria in this unit are fully described in the Definitions</w:t>
            </w:r>
            <w:r w:rsidRPr="000037F7">
              <w:t xml:space="preserve"> Section 1 of this volume and form an integral part of the Range Statement of this unit:</w:t>
            </w:r>
          </w:p>
        </w:tc>
      </w:tr>
      <w:tr w:rsidTr="00200783">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0037F7" w:rsidP="000037F7">
            <w:pPr>
              <w:pStyle w:val="ListBullet"/>
            </w:pPr>
            <w:r w:rsidRPr="000037F7">
              <w:t>Appropriate and relevant persons (see Personnel)</w:t>
            </w:r>
          </w:p>
          <w:p w:rsidR="00000000" w:rsidRPr="000037F7" w:rsidP="000037F7">
            <w:pPr>
              <w:pStyle w:val="ListBullet"/>
            </w:pPr>
            <w:r w:rsidRPr="000037F7">
              <w:t>Appropriate authorities</w:t>
            </w:r>
          </w:p>
          <w:p w:rsidR="00000000" w:rsidRPr="000037F7" w:rsidP="000037F7">
            <w:pPr>
              <w:pStyle w:val="ListBullet"/>
            </w:pPr>
            <w:r w:rsidRPr="000037F7">
              <w:t>Appropriate work platform</w:t>
            </w:r>
          </w:p>
          <w:p w:rsidR="00000000" w:rsidRPr="000037F7" w:rsidP="000037F7">
            <w:pPr>
              <w:pStyle w:val="ListBullet"/>
            </w:pPr>
            <w:r w:rsidRPr="000037F7">
              <w:t>Assessing risk</w:t>
            </w:r>
          </w:p>
          <w:p w:rsidR="00000000" w:rsidRPr="000037F7" w:rsidP="000037F7">
            <w:pPr>
              <w:pStyle w:val="ListBullet"/>
            </w:pPr>
            <w:r w:rsidRPr="000037F7">
              <w:t>Assessment</w:t>
            </w:r>
          </w:p>
          <w:p w:rsidR="00000000" w:rsidRPr="000037F7" w:rsidP="000037F7">
            <w:pPr>
              <w:pStyle w:val="ListBullet"/>
            </w:pPr>
            <w:r w:rsidRPr="000037F7">
              <w:t>Authorisation</w:t>
            </w:r>
          </w:p>
          <w:p w:rsidR="00000000" w:rsidRPr="000037F7" w:rsidP="000037F7">
            <w:pPr>
              <w:pStyle w:val="ListBullet"/>
            </w:pPr>
            <w:r w:rsidRPr="000037F7">
              <w:t>Confined space</w:t>
            </w:r>
          </w:p>
          <w:p w:rsidR="00000000" w:rsidRPr="000037F7" w:rsidP="000037F7">
            <w:pPr>
              <w:pStyle w:val="ListBullet"/>
            </w:pPr>
            <w:r w:rsidRPr="000037F7">
              <w:t>Diagnostic, testing and restoration</w:t>
            </w:r>
          </w:p>
          <w:p w:rsidR="00000000" w:rsidRPr="000037F7" w:rsidP="000037F7">
            <w:pPr>
              <w:pStyle w:val="ListBullet"/>
            </w:pPr>
            <w:r w:rsidRPr="000037F7">
              <w:t>Documenting detail work events, record keeping and or storage of information</w:t>
            </w:r>
          </w:p>
          <w:p w:rsidR="00000000" w:rsidRPr="000037F7" w:rsidP="000037F7">
            <w:pPr>
              <w:pStyle w:val="ListBullet"/>
            </w:pPr>
            <w:r w:rsidRPr="000037F7">
              <w:t>Drawings and specifications</w:t>
            </w:r>
          </w:p>
          <w:p w:rsidR="00000000" w:rsidRPr="000037F7" w:rsidP="000037F7">
            <w:pPr>
              <w:pStyle w:val="ListBullet"/>
            </w:pPr>
            <w:r w:rsidRPr="000037F7">
              <w:t>Emergency</w:t>
            </w:r>
          </w:p>
          <w:p w:rsidR="00000000" w:rsidRPr="000037F7" w:rsidP="000037F7">
            <w:pPr>
              <w:pStyle w:val="ListBullet"/>
            </w:pPr>
            <w:r w:rsidRPr="000037F7">
              <w:t>Environmental and sustainable energy procedures</w:t>
            </w:r>
          </w:p>
          <w:p w:rsidR="00000000" w:rsidRPr="000037F7" w:rsidP="000037F7">
            <w:pPr>
              <w:pStyle w:val="ListBullet"/>
            </w:pPr>
            <w:r w:rsidRPr="000037F7">
              <w:t>Environmental legislation</w:t>
            </w:r>
          </w:p>
          <w:p w:rsidR="00000000" w:rsidRPr="000037F7" w:rsidP="000037F7">
            <w:pPr>
              <w:pStyle w:val="ListBullet"/>
            </w:pPr>
            <w:r w:rsidRPr="000037F7">
              <w:t>Environmental management docume</w:t>
            </w:r>
            <w:r w:rsidRPr="000037F7">
              <w:t>ntation</w:t>
            </w:r>
          </w:p>
          <w:p w:rsidR="00000000" w:rsidRPr="000037F7" w:rsidP="000037F7">
            <w:pPr>
              <w:pStyle w:val="ListBullet"/>
            </w:pPr>
            <w:r w:rsidRPr="000037F7">
              <w:t>Established procedures</w:t>
            </w:r>
          </w:p>
          <w:p w:rsidR="00000000" w:rsidRPr="000037F7" w:rsidP="000037F7">
            <w:pPr>
              <w:pStyle w:val="ListBullet"/>
            </w:pPr>
            <w:r w:rsidRPr="000037F7">
              <w:t>Fall prevention</w:t>
            </w:r>
          </w:p>
          <w:p w:rsidR="00000000" w:rsidRPr="000037F7" w:rsidP="000037F7">
            <w:pPr>
              <w:pStyle w:val="ListBullet"/>
            </w:pPr>
            <w:r w:rsidRPr="000037F7">
              <w:t>Hazards</w:t>
            </w:r>
          </w:p>
          <w:p w:rsidR="00000000" w:rsidRPr="000037F7" w:rsidP="000037F7">
            <w:pPr>
              <w:pStyle w:val="ListBullet"/>
            </w:pPr>
            <w:r w:rsidRPr="000037F7">
              <w:t>Identifying hazards</w:t>
            </w:r>
          </w:p>
          <w:p w:rsidR="00000000" w:rsidRPr="000037F7" w:rsidP="000037F7">
            <w:pPr>
              <w:pStyle w:val="ListBullet"/>
            </w:pPr>
            <w:r w:rsidRPr="000037F7">
              <w:t>Inspect</w:t>
            </w:r>
          </w:p>
          <w:p w:rsidR="00000000" w:rsidRPr="000037F7" w:rsidP="000037F7">
            <w:pPr>
              <w:pStyle w:val="ListBullet"/>
            </w:pPr>
            <w:r w:rsidRPr="000037F7">
              <w:t>Legislation</w:t>
            </w:r>
          </w:p>
          <w:p w:rsidR="00000000" w:rsidRPr="000037F7" w:rsidP="000037F7">
            <w:pPr>
              <w:pStyle w:val="ListBullet"/>
            </w:pPr>
            <w:r w:rsidRPr="000037F7">
              <w:t>MSDS</w:t>
            </w:r>
          </w:p>
          <w:p w:rsidR="00000000" w:rsidRPr="000037F7" w:rsidP="000037F7">
            <w:pPr>
              <w:pStyle w:val="ListBullet"/>
            </w:pPr>
            <w:r w:rsidRPr="000037F7">
              <w:t>Notification</w:t>
            </w:r>
          </w:p>
          <w:p w:rsidR="00000000" w:rsidRPr="000037F7" w:rsidP="000037F7">
            <w:pPr>
              <w:pStyle w:val="ListBullet"/>
            </w:pPr>
            <w:r w:rsidRPr="000037F7">
              <w:t>OHS practices</w:t>
            </w:r>
          </w:p>
          <w:p w:rsidR="00000000" w:rsidRPr="000037F7" w:rsidP="000037F7">
            <w:pPr>
              <w:pStyle w:val="ListBullet"/>
            </w:pPr>
            <w:r w:rsidRPr="000037F7">
              <w:t>OHS issues</w:t>
            </w:r>
          </w:p>
          <w:p w:rsidR="00000000" w:rsidRPr="000037F7" w:rsidP="000037F7">
            <w:pPr>
              <w:pStyle w:val="ListBullet"/>
            </w:pPr>
            <w:r w:rsidRPr="000037F7">
              <w:t>Permits and/or permits to work</w:t>
            </w:r>
          </w:p>
          <w:p w:rsidR="00000000" w:rsidRPr="000037F7" w:rsidP="000037F7">
            <w:pPr>
              <w:pStyle w:val="ListBullet"/>
            </w:pPr>
            <w:r w:rsidRPr="000037F7">
              <w:t>Personnel</w:t>
            </w:r>
          </w:p>
          <w:p w:rsidR="00000000" w:rsidRPr="000037F7" w:rsidP="000037F7">
            <w:pPr>
              <w:pStyle w:val="ListBullet"/>
            </w:pPr>
            <w:r w:rsidRPr="000037F7">
              <w:t>Quality assurance systems</w:t>
            </w:r>
          </w:p>
          <w:p w:rsidR="00000000" w:rsidRPr="000037F7" w:rsidP="000037F7">
            <w:pPr>
              <w:pStyle w:val="ListBullet"/>
            </w:pPr>
            <w:r w:rsidRPr="000037F7">
              <w:t>Requirements</w:t>
            </w:r>
          </w:p>
          <w:p w:rsidR="00000000" w:rsidRPr="000037F7" w:rsidP="000037F7">
            <w:pPr>
              <w:pStyle w:val="ListBullet"/>
            </w:pPr>
            <w:r w:rsidRPr="000037F7">
              <w:t>Testing procedures</w:t>
            </w:r>
          </w:p>
          <w:p w:rsidR="00000000" w:rsidRPr="000037F7" w:rsidP="000037F7">
            <w:pPr>
              <w:pStyle w:val="ListBullet"/>
            </w:pPr>
            <w:r w:rsidRPr="000037F7">
              <w:t>Work clearance systems</w:t>
            </w:r>
          </w:p>
        </w:tc>
      </w:tr>
    </w:tbl>
    <w:p w:rsidR="00200783" w:rsidP="000037F7">
      <w:pPr>
        <w:pStyle w:val="BodyText"/>
      </w:pPr>
    </w:p>
    <w:p w:rsidR="00200783" w:rsidP="000037F7">
      <w:pPr>
        <w:pStyle w:val="BodyText"/>
      </w:pPr>
    </w:p>
    <w:p w:rsidR="00000000" w:rsidRPr="000037F7" w:rsidP="000037F7">
      <w:pPr>
        <w:pStyle w:val="Heading1"/>
      </w:pPr>
      <w:bookmarkStart w:id="12" w:name="O_297177"/>
      <w:bookmarkEnd w:id="12"/>
      <w:r w:rsidRPr="000037F7">
        <w:t>Unit Sector(s)</w:t>
      </w:r>
    </w:p>
    <w:p w:rsidR="00000000" w:rsidRPr="000037F7" w:rsidP="000037F7">
      <w:pPr>
        <w:pStyle w:val="BodyText"/>
      </w:pPr>
      <w:r w:rsidRPr="000037F7">
        <w:t>Not Applicable</w:t>
      </w:r>
    </w:p>
    <w:p w:rsidR="00000000" w:rsidRPr="000037F7" w:rsidP="000037F7">
      <w:pPr>
        <w:pStyle w:val="AllowPageBreak"/>
      </w:pPr>
    </w:p>
    <w:p w:rsidR="00000000" w:rsidRPr="000037F7" w:rsidP="000037F7">
      <w:pPr>
        <w:pStyle w:val="Heading1"/>
      </w:pPr>
      <w:bookmarkStart w:id="13" w:name="O_231532"/>
      <w:bookmarkEnd w:id="13"/>
      <w:r w:rsidRPr="000037F7">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200783">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rPr>
                <w:rStyle w:val="SpecialBold"/>
              </w:rPr>
              <w:t>2</w:t>
            </w:r>
            <w:r w:rsidRPr="000037F7">
              <w:t>.</w:t>
            </w:r>
            <w:r w:rsidRPr="000037F7">
              <w:rPr>
                <w:rStyle w:val="SpecialBold"/>
              </w:rPr>
              <w:t>2</w:t>
            </w:r>
            <w:r w:rsidRPr="000037F7">
              <w:t xml:space="preserve">) </w:t>
            </w:r>
            <w:r w:rsidRPr="000037F7">
              <w:rPr>
                <w:rStyle w:val="SpecialBold"/>
              </w:rPr>
              <w:t>Literacy and numeracy skills</w:t>
            </w:r>
          </w:p>
          <w:p w:rsidR="00000000" w:rsidP="000037F7">
            <w:pPr>
              <w:pStyle w:val="BodyText"/>
              <w:rPr>
                <w:lang w:val="en-NZ"/>
              </w:rPr>
            </w:pPr>
            <w:r w:rsidRPr="000037F7">
              <w:t>Participants are best equipped to achi</w:t>
            </w:r>
            <w:r w:rsidRPr="000037F7">
              <w:t>eve this unit if they have reading, writing and numeracy skills indicated by the following scales. Description of each scale is given in Volume 2, Part 3 "Literacy and Numeracy"</w:t>
            </w:r>
          </w:p>
        </w:tc>
      </w:tr>
      <w:tr w:rsidTr="00200783">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Reading</w:t>
            </w:r>
          </w:p>
        </w:tc>
        <w:tc>
          <w:tcPr>
            <w:tcW w:w="1207"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3</w:t>
            </w:r>
          </w:p>
        </w:tc>
        <w:tc>
          <w:tcPr>
            <w:tcW w:w="1776"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Writing</w:t>
            </w:r>
          </w:p>
        </w:tc>
        <w:tc>
          <w:tcPr>
            <w:tcW w:w="1207"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3</w:t>
            </w:r>
          </w:p>
        </w:tc>
        <w:tc>
          <w:tcPr>
            <w:tcW w:w="1758"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t>Numeracy</w:t>
            </w:r>
          </w:p>
        </w:tc>
        <w:tc>
          <w:tcPr>
            <w:tcW w:w="1207" w:type="dxa"/>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t>3</w:t>
            </w:r>
          </w:p>
        </w:tc>
      </w:tr>
    </w:tbl>
    <w:p w:rsidR="00200783" w:rsidP="000037F7">
      <w:pPr>
        <w:pStyle w:val="BodyText"/>
      </w:pPr>
    </w:p>
    <w:p w:rsidR="00200783" w:rsidP="000037F7">
      <w:pPr>
        <w:pStyle w:val="BodyText"/>
      </w:pPr>
    </w:p>
    <w:p w:rsidR="00000000" w:rsidRPr="000037F7" w:rsidP="000037F7">
      <w:pPr>
        <w:pStyle w:val="Heading1"/>
      </w:pPr>
      <w:bookmarkStart w:id="14" w:name="O_231535"/>
      <w:bookmarkEnd w:id="14"/>
      <w:r w:rsidRPr="000037F7">
        <w:t>Competency Field</w:t>
      </w:r>
    </w:p>
    <w:tbl>
      <w:tblPr>
        <w:tblW w:w="0" w:type="auto"/>
        <w:tblLayout w:type="fixed"/>
        <w:tblCellMar>
          <w:left w:w="62" w:type="dxa"/>
          <w:right w:w="62" w:type="dxa"/>
        </w:tblCellMar>
        <w:tblLook w:val="0000"/>
      </w:tblPr>
      <w:tblGrid>
        <w:gridCol w:w="2758"/>
        <w:gridCol w:w="5882"/>
      </w:tblGrid>
      <w:tr w:rsidTr="00200783">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0037F7">
            <w:pPr>
              <w:pStyle w:val="BodyText"/>
              <w:rPr>
                <w:lang w:val="en-NZ"/>
              </w:rPr>
            </w:pPr>
            <w:r w:rsidRPr="000037F7">
              <w:rPr>
                <w:rStyle w:val="SpecialBold"/>
              </w:rPr>
              <w:t>5</w:t>
            </w:r>
            <w:r w:rsidRPr="000037F7">
              <w:t>)</w:t>
            </w:r>
          </w:p>
        </w:tc>
      </w:tr>
      <w:tr w:rsidTr="00200783">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0037F7" w:rsidP="000037F7">
            <w:pPr>
              <w:pStyle w:val="BodyText"/>
            </w:pPr>
            <w:r w:rsidRPr="000037F7">
              <w:t>Industry Specific Cross-Discipline Units</w:t>
            </w:r>
          </w:p>
        </w:tc>
      </w:tr>
    </w:tbl>
    <w:p w:rsidR="00200783" w:rsidP="000037F7">
      <w:pPr>
        <w:pStyle w:val="BodyText"/>
      </w:pPr>
    </w:p>
    <w:p w:rsidR="00200783" w:rsidP="000037F7">
      <w:pPr>
        <w:pStyle w:val="BodyText"/>
      </w:pPr>
    </w:p>
    <w:p w:rsidR="00000000" w:rsidRPr="000037F7" w:rsidP="000037F7"/>
    <w:sectPr w:rsidSect="000037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7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0783" w:rsidP="002007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7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783" w:rsidP="000037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00783" w:rsidP="000037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00783" w:rsidP="000037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7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0783" w:rsidP="002007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7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783" w:rsidP="000037F7">
    <w:pPr>
      <w:pStyle w:val="Header"/>
      <w:framePr w:wrap="around"/>
    </w:pPr>
    <w:r>
      <w:fldChar w:fldCharType="begin"/>
    </w:r>
    <w:r>
      <w:instrText xml:space="preserve"> TITLE   \* MERGEFORMAT </w:instrText>
    </w:r>
    <w:r>
      <w:fldChar w:fldCharType="separate"/>
    </w:r>
    <w:r>
      <w:t>UETTDRIS21B Install mobile generation set for synchronised Genset LV</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00783" w:rsidP="000037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5E38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E66D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AC92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7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37F7"/>
    <w:pPr>
      <w:spacing w:before="360" w:after="60"/>
      <w:outlineLvl w:val="0"/>
    </w:pPr>
    <w:rPr>
      <w:sz w:val="32"/>
    </w:rPr>
  </w:style>
  <w:style w:type="paragraph" w:styleId="Heading2">
    <w:name w:val="heading 2"/>
    <w:basedOn w:val="HeadingBase"/>
    <w:next w:val="BodyText"/>
    <w:link w:val="Heading2Char"/>
    <w:qFormat/>
    <w:rsid w:val="000037F7"/>
    <w:pPr>
      <w:keepLines/>
      <w:spacing w:before="240" w:after="120"/>
      <w:outlineLvl w:val="1"/>
    </w:pPr>
    <w:rPr>
      <w:sz w:val="28"/>
      <w:szCs w:val="40"/>
    </w:rPr>
  </w:style>
  <w:style w:type="paragraph" w:styleId="Heading3">
    <w:name w:val="heading 3"/>
    <w:basedOn w:val="HeadingBase"/>
    <w:next w:val="BodyText"/>
    <w:link w:val="Heading3Char"/>
    <w:qFormat/>
    <w:rsid w:val="000037F7"/>
    <w:pPr>
      <w:spacing w:before="180" w:after="120"/>
      <w:outlineLvl w:val="2"/>
    </w:pPr>
    <w:rPr>
      <w:spacing w:val="-10"/>
      <w:kern w:val="32"/>
    </w:rPr>
  </w:style>
  <w:style w:type="paragraph" w:styleId="Heading4">
    <w:name w:val="heading 4"/>
    <w:basedOn w:val="HeadingBase"/>
    <w:next w:val="BodyText"/>
    <w:link w:val="Heading4Char"/>
    <w:qFormat/>
    <w:rsid w:val="000037F7"/>
    <w:pPr>
      <w:spacing w:before="160" w:after="120"/>
      <w:outlineLvl w:val="3"/>
    </w:pPr>
    <w:rPr>
      <w:sz w:val="22"/>
    </w:rPr>
  </w:style>
  <w:style w:type="paragraph" w:styleId="Heading5">
    <w:name w:val="heading 5"/>
    <w:basedOn w:val="HeadingBase"/>
    <w:next w:val="Normal"/>
    <w:link w:val="Heading5Char"/>
    <w:qFormat/>
    <w:rsid w:val="000037F7"/>
    <w:pPr>
      <w:spacing w:before="80"/>
      <w:outlineLvl w:val="4"/>
    </w:pPr>
    <w:rPr>
      <w:color w:val="918585"/>
      <w:sz w:val="20"/>
    </w:rPr>
  </w:style>
  <w:style w:type="paragraph" w:styleId="Heading6">
    <w:name w:val="heading 6"/>
    <w:basedOn w:val="HeadingBase"/>
    <w:next w:val="Normal"/>
    <w:link w:val="Heading6Char"/>
    <w:qFormat/>
    <w:rsid w:val="000037F7"/>
    <w:pPr>
      <w:spacing w:before="60"/>
      <w:outlineLvl w:val="5"/>
    </w:pPr>
    <w:rPr>
      <w:color w:val="918585"/>
      <w:sz w:val="20"/>
    </w:rPr>
  </w:style>
  <w:style w:type="paragraph" w:styleId="Heading7">
    <w:name w:val="heading 7"/>
    <w:basedOn w:val="Normal"/>
    <w:next w:val="Normal"/>
    <w:link w:val="Heading7Char"/>
    <w:qFormat/>
    <w:rsid w:val="000037F7"/>
    <w:pPr>
      <w:ind w:left="720"/>
      <w:outlineLvl w:val="6"/>
    </w:pPr>
    <w:rPr>
      <w:i/>
    </w:rPr>
  </w:style>
  <w:style w:type="paragraph" w:styleId="Heading8">
    <w:name w:val="heading 8"/>
    <w:basedOn w:val="Normal"/>
    <w:next w:val="Normal"/>
    <w:link w:val="Heading8Char"/>
    <w:qFormat/>
    <w:rsid w:val="000037F7"/>
    <w:pPr>
      <w:ind w:left="720"/>
      <w:outlineLvl w:val="7"/>
    </w:pPr>
    <w:rPr>
      <w:i/>
    </w:rPr>
  </w:style>
  <w:style w:type="paragraph" w:styleId="Heading9">
    <w:name w:val="heading 9"/>
    <w:basedOn w:val="Normal"/>
    <w:next w:val="Normal"/>
    <w:link w:val="Heading9Char"/>
    <w:qFormat/>
    <w:rsid w:val="000037F7"/>
    <w:pPr>
      <w:ind w:left="720"/>
      <w:outlineLvl w:val="8"/>
    </w:pPr>
    <w:rPr>
      <w:i/>
    </w:rPr>
  </w:style>
  <w:style w:type="character" w:default="1" w:styleId="DefaultParagraphFont">
    <w:name w:val="Default Paragraph Font"/>
    <w:uiPriority w:val="1"/>
    <w:unhideWhenUsed/>
    <w:rsid w:val="000037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7F7"/>
  </w:style>
  <w:style w:type="character" w:customStyle="1" w:styleId="Heading1Char">
    <w:name w:val="Heading 1 Char"/>
    <w:basedOn w:val="DefaultParagraphFont"/>
    <w:link w:val="Heading1"/>
    <w:rsid w:val="000037F7"/>
    <w:rPr>
      <w:rFonts w:ascii="Times New Roman" w:eastAsia="Times New Roman" w:hAnsi="Times New Roman" w:cs="Times New Roman"/>
      <w:b/>
      <w:sz w:val="32"/>
      <w:szCs w:val="20"/>
      <w:lang w:eastAsia="en-US"/>
    </w:rPr>
  </w:style>
  <w:style w:type="paragraph" w:styleId="BodyText">
    <w:name w:val="Body Text"/>
    <w:basedOn w:val="Normal"/>
    <w:link w:val="BodyTextChar"/>
    <w:rsid w:val="000037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37F7"/>
    <w:rPr>
      <w:rFonts w:ascii="Times New Roman" w:eastAsia="Times New Roman" w:hAnsi="Times New Roman" w:cs="Times New Roman"/>
      <w:sz w:val="24"/>
      <w:lang w:val="en-US" w:eastAsia="en-US"/>
    </w:rPr>
  </w:style>
  <w:style w:type="paragraph" w:styleId="Footer">
    <w:name w:val="footer"/>
    <w:basedOn w:val="Normal"/>
    <w:link w:val="FooterChar"/>
    <w:rsid w:val="000037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37F7"/>
    <w:rPr>
      <w:rFonts w:ascii="Times New Roman" w:eastAsia="Times New Roman" w:hAnsi="Times New Roman" w:cs="Times New Roman"/>
      <w:sz w:val="16"/>
      <w:lang w:val="en-US" w:eastAsia="en-US"/>
    </w:rPr>
  </w:style>
  <w:style w:type="paragraph" w:styleId="ListBullet">
    <w:name w:val="List Bullet"/>
    <w:basedOn w:val="List"/>
    <w:rsid w:val="000037F7"/>
    <w:pPr>
      <w:numPr>
        <w:numId w:val="13"/>
      </w:numPr>
      <w:tabs>
        <w:tab w:val="clear" w:pos="340"/>
      </w:tabs>
      <w:spacing w:before="40" w:after="40"/>
    </w:pPr>
  </w:style>
  <w:style w:type="character" w:customStyle="1" w:styleId="SpecialBold">
    <w:name w:val="Special Bold"/>
    <w:basedOn w:val="DefaultParagraphFont"/>
    <w:rsid w:val="000037F7"/>
    <w:rPr>
      <w:b/>
      <w:spacing w:val="0"/>
    </w:rPr>
  </w:style>
  <w:style w:type="paragraph" w:styleId="ListBullet2">
    <w:name w:val="List Bullet 2"/>
    <w:basedOn w:val="List2"/>
    <w:rsid w:val="000037F7"/>
    <w:pPr>
      <w:numPr>
        <w:numId w:val="14"/>
      </w:numPr>
      <w:tabs>
        <w:tab w:val="clear" w:pos="680"/>
      </w:tabs>
    </w:pPr>
  </w:style>
  <w:style w:type="paragraph" w:styleId="Header">
    <w:name w:val="header"/>
    <w:basedOn w:val="Normal"/>
    <w:link w:val="HeaderChar"/>
    <w:rsid w:val="000037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37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37F7"/>
    <w:pPr>
      <w:spacing w:before="240" w:after="120"/>
      <w:outlineLvl w:val="0"/>
    </w:pPr>
    <w:rPr>
      <w:rFonts w:ascii="Times New Roman" w:hAnsi="Times New Roman"/>
      <w:b/>
      <w:sz w:val="28"/>
    </w:rPr>
  </w:style>
  <w:style w:type="paragraph" w:customStyle="1" w:styleId="AllowPageBreak">
    <w:name w:val="AllowPageBreak"/>
    <w:rsid w:val="000037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37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37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37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37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37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7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37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37F7"/>
    <w:rPr>
      <w:rFonts w:ascii="Courier New" w:eastAsia="Times New Roman" w:hAnsi="Courier New" w:cs="Times New Roman"/>
      <w:i/>
      <w:szCs w:val="20"/>
      <w:lang w:val="en-US" w:eastAsia="en-US"/>
    </w:rPr>
  </w:style>
  <w:style w:type="paragraph" w:customStyle="1" w:styleId="HeadingBase">
    <w:name w:val="Heading Base"/>
    <w:rsid w:val="000037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7F7"/>
    <w:pPr>
      <w:tabs>
        <w:tab w:val="right" w:leader="dot" w:pos="9072"/>
      </w:tabs>
      <w:ind w:left="567"/>
    </w:pPr>
    <w:rPr>
      <w:szCs w:val="22"/>
    </w:rPr>
  </w:style>
  <w:style w:type="paragraph" w:customStyle="1" w:styleId="TOCBase">
    <w:name w:val="TOC Base"/>
    <w:rsid w:val="000037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7F7"/>
    <w:pPr>
      <w:tabs>
        <w:tab w:val="right" w:leader="dot" w:pos="9072"/>
      </w:tabs>
      <w:spacing w:before="40" w:after="40"/>
      <w:ind w:left="284"/>
    </w:pPr>
    <w:rPr>
      <w:rFonts w:ascii="Times New Roman" w:hAnsi="Times New Roman"/>
    </w:rPr>
  </w:style>
  <w:style w:type="paragraph" w:styleId="TOC1">
    <w:name w:val="toc 1"/>
    <w:basedOn w:val="TOCBase"/>
    <w:next w:val="Normal"/>
    <w:rsid w:val="000037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37F7"/>
    <w:pPr>
      <w:spacing w:before="5040"/>
      <w:jc w:val="center"/>
    </w:pPr>
    <w:rPr>
      <w:sz w:val="48"/>
      <w:szCs w:val="72"/>
      <w:lang w:val="en-US"/>
    </w:rPr>
  </w:style>
  <w:style w:type="character" w:customStyle="1" w:styleId="TitleChar">
    <w:name w:val="Title Char"/>
    <w:basedOn w:val="DefaultParagraphFont"/>
    <w:link w:val="Title"/>
    <w:rsid w:val="000037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7F7"/>
    <w:pPr>
      <w:tabs>
        <w:tab w:val="left" w:pos="3600"/>
        <w:tab w:val="left" w:pos="3958"/>
      </w:tabs>
    </w:pPr>
  </w:style>
  <w:style w:type="paragraph" w:styleId="List">
    <w:name w:val="List"/>
    <w:basedOn w:val="BodyText"/>
    <w:next w:val="BodyText"/>
    <w:rsid w:val="000037F7"/>
    <w:pPr>
      <w:tabs>
        <w:tab w:val="left" w:pos="340"/>
      </w:tabs>
      <w:spacing w:before="60" w:after="60"/>
      <w:ind w:left="340" w:hanging="340"/>
    </w:pPr>
  </w:style>
  <w:style w:type="paragraph" w:customStyle="1" w:styleId="Note">
    <w:name w:val="Note"/>
    <w:basedOn w:val="BodyText"/>
    <w:rsid w:val="000037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37F7"/>
    <w:pPr>
      <w:framePr w:wrap="auto" w:hAnchor="text" w:y="6049"/>
    </w:pPr>
    <w:rPr>
      <w:color w:val="000000"/>
      <w:sz w:val="40"/>
    </w:rPr>
  </w:style>
  <w:style w:type="paragraph" w:customStyle="1" w:styleId="TOCTitle">
    <w:name w:val="TOCTitle"/>
    <w:basedOn w:val="Heading1"/>
    <w:rsid w:val="000037F7"/>
    <w:pPr>
      <w:spacing w:after="240"/>
      <w:jc w:val="center"/>
      <w:outlineLvl w:val="9"/>
    </w:pPr>
    <w:rPr>
      <w:caps/>
    </w:rPr>
  </w:style>
  <w:style w:type="paragraph" w:customStyle="1" w:styleId="Version">
    <w:name w:val="Version"/>
    <w:rsid w:val="000037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37F7"/>
    <w:pPr>
      <w:keepNext w:val="0"/>
      <w:tabs>
        <w:tab w:val="right" w:pos="4176"/>
      </w:tabs>
      <w:ind w:left="198" w:hanging="198"/>
    </w:pPr>
    <w:rPr>
      <w:rFonts w:ascii="Garamond" w:hAnsi="Garamond"/>
    </w:rPr>
  </w:style>
  <w:style w:type="paragraph" w:styleId="IndexHeading">
    <w:name w:val="index heading"/>
    <w:basedOn w:val="Normal"/>
    <w:next w:val="Index1"/>
    <w:semiHidden/>
    <w:rsid w:val="000037F7"/>
    <w:pPr>
      <w:spacing w:before="120" w:after="120"/>
    </w:pPr>
    <w:rPr>
      <w:rFonts w:ascii="Arial" w:hAnsi="Arial"/>
      <w:b/>
      <w:color w:val="918585"/>
      <w:sz w:val="24"/>
    </w:rPr>
  </w:style>
  <w:style w:type="paragraph" w:customStyle="1" w:styleId="Chapter">
    <w:name w:val="Chapter"/>
    <w:basedOn w:val="Normal"/>
    <w:rsid w:val="000037F7"/>
    <w:pPr>
      <w:spacing w:before="240"/>
    </w:pPr>
    <w:rPr>
      <w:rFonts w:ascii="Times New Roman" w:hAnsi="Times New Roman"/>
      <w:smallCaps/>
      <w:spacing w:val="80"/>
      <w:sz w:val="28"/>
    </w:rPr>
  </w:style>
  <w:style w:type="paragraph" w:customStyle="1" w:styleId="InChapter">
    <w:name w:val="InChapter"/>
    <w:basedOn w:val="Heading3"/>
    <w:rsid w:val="000037F7"/>
    <w:pPr>
      <w:spacing w:after="240"/>
      <w:outlineLvl w:val="9"/>
    </w:pPr>
    <w:rPr>
      <w:noProof/>
    </w:rPr>
  </w:style>
  <w:style w:type="paragraph" w:styleId="Index2">
    <w:name w:val="index 2"/>
    <w:basedOn w:val="Normal"/>
    <w:next w:val="Normal"/>
    <w:semiHidden/>
    <w:rsid w:val="000037F7"/>
    <w:pPr>
      <w:tabs>
        <w:tab w:val="right" w:pos="4176"/>
      </w:tabs>
      <w:ind w:left="568" w:hanging="284"/>
    </w:pPr>
    <w:rPr>
      <w:rFonts w:ascii="Garamond" w:hAnsi="Garamond"/>
    </w:rPr>
  </w:style>
  <w:style w:type="paragraph" w:customStyle="1" w:styleId="Byline">
    <w:name w:val="Byline"/>
    <w:rsid w:val="000037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7F7"/>
    <w:pPr>
      <w:tabs>
        <w:tab w:val="clear" w:pos="3600"/>
        <w:tab w:val="clear" w:pos="3958"/>
      </w:tabs>
      <w:jc w:val="right"/>
    </w:pPr>
  </w:style>
  <w:style w:type="character" w:styleId="Emphasis">
    <w:name w:val="Emphasis"/>
    <w:basedOn w:val="DefaultParagraphFont"/>
    <w:qFormat/>
    <w:rsid w:val="000037F7"/>
    <w:rPr>
      <w:i/>
    </w:rPr>
  </w:style>
  <w:style w:type="paragraph" w:styleId="Caption">
    <w:name w:val="caption"/>
    <w:basedOn w:val="BodyText"/>
    <w:next w:val="Normal"/>
    <w:qFormat/>
    <w:rsid w:val="000037F7"/>
    <w:pPr>
      <w:framePr w:w="2268" w:hSpace="181" w:vSpace="181" w:wrap="around" w:vAnchor="text" w:hAnchor="page" w:x="1135" w:y="285" w:anchorLock="1"/>
    </w:pPr>
    <w:rPr>
      <w:i/>
    </w:rPr>
  </w:style>
  <w:style w:type="paragraph" w:customStyle="1" w:styleId="MiniTOCTitle">
    <w:name w:val="MiniTOCTitle"/>
    <w:basedOn w:val="Heading4"/>
    <w:rsid w:val="000037F7"/>
    <w:pPr>
      <w:spacing w:before="240"/>
      <w:outlineLvl w:val="9"/>
    </w:pPr>
    <w:rPr>
      <w:noProof/>
      <w:sz w:val="24"/>
    </w:rPr>
  </w:style>
  <w:style w:type="paragraph" w:customStyle="1" w:styleId="MiniTOCItem">
    <w:name w:val="MiniTOCItem"/>
    <w:basedOn w:val="ListBullet"/>
    <w:rsid w:val="000037F7"/>
    <w:pPr>
      <w:numPr>
        <w:numId w:val="0"/>
      </w:numPr>
      <w:tabs>
        <w:tab w:val="right" w:leader="dot" w:pos="6521"/>
      </w:tabs>
      <w:spacing w:before="0" w:after="0"/>
    </w:pPr>
  </w:style>
  <w:style w:type="paragraph" w:customStyle="1" w:styleId="TOFTitle">
    <w:name w:val="TOFTitle"/>
    <w:basedOn w:val="TOCTitle"/>
    <w:rsid w:val="000037F7"/>
  </w:style>
  <w:style w:type="paragraph" w:styleId="TableofFigures">
    <w:name w:val="table of figures"/>
    <w:basedOn w:val="Normal"/>
    <w:next w:val="Normal"/>
    <w:semiHidden/>
    <w:rsid w:val="000037F7"/>
    <w:pPr>
      <w:tabs>
        <w:tab w:val="right" w:leader="dot" w:pos="9072"/>
      </w:tabs>
      <w:ind w:left="970" w:hanging="403"/>
    </w:pPr>
    <w:rPr>
      <w:rFonts w:ascii="Times New Roman" w:hAnsi="Times New Roman"/>
      <w:b/>
    </w:rPr>
  </w:style>
  <w:style w:type="paragraph" w:styleId="ListNumber">
    <w:name w:val="List Number"/>
    <w:basedOn w:val="List"/>
    <w:rsid w:val="000037F7"/>
    <w:pPr>
      <w:numPr>
        <w:numId w:val="11"/>
      </w:numPr>
    </w:pPr>
  </w:style>
  <w:style w:type="character" w:customStyle="1" w:styleId="WingdingSymbols">
    <w:name w:val="Wingding Symbols"/>
    <w:rsid w:val="000037F7"/>
    <w:rPr>
      <w:rFonts w:ascii="Wingdings" w:hAnsi="Wingdings"/>
    </w:rPr>
  </w:style>
  <w:style w:type="paragraph" w:customStyle="1" w:styleId="TableHeading">
    <w:name w:val="Table Heading"/>
    <w:basedOn w:val="HeadingBase"/>
    <w:rsid w:val="000037F7"/>
    <w:pPr>
      <w:keepLines/>
      <w:pBdr>
        <w:bottom w:val="single" w:sz="6" w:space="1" w:color="918585"/>
      </w:pBdr>
      <w:spacing w:before="240"/>
    </w:pPr>
  </w:style>
  <w:style w:type="character" w:customStyle="1" w:styleId="HotSpot">
    <w:name w:val="HotSpot"/>
    <w:rsid w:val="000037F7"/>
    <w:rPr>
      <w:color w:val="0033CC"/>
      <w:u w:val="none"/>
    </w:rPr>
  </w:style>
  <w:style w:type="paragraph" w:customStyle="1" w:styleId="BodyTextRight">
    <w:name w:val="Body Text Right"/>
    <w:basedOn w:val="BodyText"/>
    <w:rsid w:val="000037F7"/>
    <w:pPr>
      <w:spacing w:before="0" w:after="0"/>
      <w:jc w:val="right"/>
    </w:pPr>
  </w:style>
  <w:style w:type="paragraph" w:styleId="Index3">
    <w:name w:val="index 3"/>
    <w:basedOn w:val="ListNumber2"/>
    <w:next w:val="Normal"/>
    <w:semiHidden/>
    <w:rsid w:val="000037F7"/>
    <w:pPr>
      <w:numPr>
        <w:numId w:val="0"/>
      </w:numPr>
      <w:tabs>
        <w:tab w:val="right" w:leader="dot" w:pos="4176"/>
      </w:tabs>
    </w:pPr>
  </w:style>
  <w:style w:type="paragraph" w:styleId="ListNumber2">
    <w:name w:val="List Number 2"/>
    <w:basedOn w:val="List2"/>
    <w:rsid w:val="000037F7"/>
    <w:pPr>
      <w:numPr>
        <w:numId w:val="10"/>
      </w:numPr>
      <w:tabs>
        <w:tab w:val="clear" w:pos="1060"/>
      </w:tabs>
    </w:pPr>
  </w:style>
  <w:style w:type="paragraph" w:customStyle="1" w:styleId="MarginNote">
    <w:name w:val="Margin Note"/>
    <w:basedOn w:val="BodyText"/>
    <w:rsid w:val="000037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7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37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37F7"/>
    <w:rPr>
      <w:sz w:val="32"/>
    </w:rPr>
  </w:style>
  <w:style w:type="paragraph" w:customStyle="1" w:styleId="HeadingProcedure">
    <w:name w:val="Heading Procedure"/>
    <w:basedOn w:val="HeadingBase"/>
    <w:next w:val="Normal"/>
    <w:rsid w:val="000037F7"/>
    <w:pPr>
      <w:tabs>
        <w:tab w:val="left" w:pos="0"/>
      </w:tabs>
      <w:spacing w:before="120" w:after="60"/>
    </w:pPr>
    <w:rPr>
      <w:i/>
      <w:color w:val="918585"/>
      <w:sz w:val="22"/>
    </w:rPr>
  </w:style>
  <w:style w:type="paragraph" w:customStyle="1" w:styleId="TableBodyText">
    <w:name w:val="Table Body Text"/>
    <w:basedOn w:val="BodyText"/>
    <w:rsid w:val="000037F7"/>
    <w:pPr>
      <w:spacing w:before="60" w:after="60"/>
    </w:pPr>
  </w:style>
  <w:style w:type="paragraph" w:styleId="ListContinue">
    <w:name w:val="List Continue"/>
    <w:basedOn w:val="List"/>
    <w:rsid w:val="000037F7"/>
    <w:pPr>
      <w:ind w:firstLine="0"/>
    </w:pPr>
  </w:style>
  <w:style w:type="paragraph" w:customStyle="1" w:styleId="ListNote">
    <w:name w:val="List Note"/>
    <w:basedOn w:val="List"/>
    <w:rsid w:val="000037F7"/>
    <w:pPr>
      <w:pBdr>
        <w:top w:val="single" w:sz="6" w:space="2" w:color="918585"/>
        <w:bottom w:val="single" w:sz="6" w:space="2" w:color="918585"/>
      </w:pBdr>
      <w:tabs>
        <w:tab w:val="left" w:pos="1021"/>
      </w:tabs>
      <w:ind w:firstLine="0"/>
    </w:pPr>
  </w:style>
  <w:style w:type="paragraph" w:customStyle="1" w:styleId="Warning">
    <w:name w:val="Warning"/>
    <w:basedOn w:val="BodyText"/>
    <w:rsid w:val="000037F7"/>
    <w:pPr>
      <w:shd w:val="clear" w:color="auto" w:fill="D9D9D9"/>
      <w:tabs>
        <w:tab w:val="left" w:pos="992"/>
      </w:tabs>
      <w:ind w:left="119" w:right="119"/>
    </w:pPr>
    <w:rPr>
      <w:sz w:val="20"/>
    </w:rPr>
  </w:style>
  <w:style w:type="paragraph" w:customStyle="1" w:styleId="MarginIcons">
    <w:name w:val="Margin Icons"/>
    <w:basedOn w:val="BodyText"/>
    <w:rsid w:val="000037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37F7"/>
    <w:rPr>
      <w:rFonts w:ascii="Courier New" w:hAnsi="Courier New"/>
    </w:rPr>
  </w:style>
  <w:style w:type="paragraph" w:customStyle="1" w:styleId="NoteBullet">
    <w:name w:val="Note Bullet"/>
    <w:basedOn w:val="Note"/>
    <w:rsid w:val="000037F7"/>
    <w:pPr>
      <w:tabs>
        <w:tab w:val="clear" w:pos="680"/>
      </w:tabs>
      <w:spacing w:before="60" w:after="60"/>
    </w:pPr>
  </w:style>
  <w:style w:type="paragraph" w:customStyle="1" w:styleId="SubHeading2">
    <w:name w:val="SubHeading2"/>
    <w:basedOn w:val="HeadingBase"/>
    <w:rsid w:val="000037F7"/>
    <w:pPr>
      <w:spacing w:before="240" w:after="60"/>
    </w:pPr>
    <w:rPr>
      <w:sz w:val="20"/>
    </w:rPr>
  </w:style>
  <w:style w:type="paragraph" w:customStyle="1" w:styleId="SubHeading1">
    <w:name w:val="SubHeading1"/>
    <w:basedOn w:val="HeadingBase"/>
    <w:rsid w:val="000037F7"/>
    <w:pPr>
      <w:spacing w:before="240" w:after="60"/>
    </w:pPr>
    <w:rPr>
      <w:color w:val="918585"/>
      <w:sz w:val="22"/>
    </w:rPr>
  </w:style>
  <w:style w:type="paragraph" w:customStyle="1" w:styleId="SideHeading">
    <w:name w:val="Side Heading"/>
    <w:basedOn w:val="HeadingBase"/>
    <w:rsid w:val="000037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7F7"/>
    <w:pPr>
      <w:numPr>
        <w:numId w:val="12"/>
      </w:numPr>
    </w:pPr>
  </w:style>
  <w:style w:type="paragraph" w:styleId="PlainText">
    <w:name w:val="Plain Text"/>
    <w:basedOn w:val="Normal"/>
    <w:link w:val="PlainTextChar"/>
    <w:rsid w:val="000037F7"/>
    <w:rPr>
      <w:sz w:val="20"/>
    </w:rPr>
  </w:style>
  <w:style w:type="character" w:customStyle="1" w:styleId="PlainTextChar">
    <w:name w:val="Plain Text Char"/>
    <w:basedOn w:val="DefaultParagraphFont"/>
    <w:link w:val="PlainText"/>
    <w:rsid w:val="000037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37F7"/>
    <w:rPr>
      <w:b/>
      <w:smallCaps/>
    </w:rPr>
  </w:style>
  <w:style w:type="paragraph" w:customStyle="1" w:styleId="TableListNumber">
    <w:name w:val="Table List Number"/>
    <w:basedOn w:val="ListNumber"/>
    <w:rsid w:val="000037F7"/>
    <w:pPr>
      <w:numPr>
        <w:numId w:val="0"/>
      </w:numPr>
    </w:pPr>
  </w:style>
  <w:style w:type="paragraph" w:styleId="TOC4">
    <w:name w:val="toc 4"/>
    <w:basedOn w:val="TOCBase"/>
    <w:next w:val="Normal"/>
    <w:semiHidden/>
    <w:rsid w:val="000037F7"/>
    <w:pPr>
      <w:tabs>
        <w:tab w:val="right" w:leader="dot" w:pos="9071"/>
      </w:tabs>
      <w:ind w:left="1701"/>
    </w:pPr>
  </w:style>
  <w:style w:type="paragraph" w:customStyle="1" w:styleId="ListAlpha">
    <w:name w:val="List Alpha"/>
    <w:basedOn w:val="List"/>
    <w:rsid w:val="000037F7"/>
    <w:pPr>
      <w:numPr>
        <w:numId w:val="9"/>
      </w:numPr>
    </w:pPr>
  </w:style>
  <w:style w:type="paragraph" w:customStyle="1" w:styleId="ListAlpha2">
    <w:name w:val="List Alpha 2"/>
    <w:basedOn w:val="List2"/>
    <w:rsid w:val="000037F7"/>
    <w:pPr>
      <w:numPr>
        <w:numId w:val="8"/>
      </w:numPr>
    </w:pPr>
  </w:style>
  <w:style w:type="paragraph" w:styleId="List2">
    <w:name w:val="List 2"/>
    <w:basedOn w:val="BodyText"/>
    <w:rsid w:val="000037F7"/>
    <w:pPr>
      <w:tabs>
        <w:tab w:val="left" w:pos="680"/>
      </w:tabs>
      <w:spacing w:before="60" w:after="60"/>
      <w:ind w:left="680" w:hanging="340"/>
    </w:pPr>
  </w:style>
  <w:style w:type="paragraph" w:styleId="List3">
    <w:name w:val="List 3"/>
    <w:basedOn w:val="BodyText"/>
    <w:rsid w:val="000037F7"/>
    <w:pPr>
      <w:tabs>
        <w:tab w:val="left" w:pos="1021"/>
      </w:tabs>
      <w:spacing w:before="60" w:after="60"/>
      <w:ind w:left="1020" w:hanging="340"/>
    </w:pPr>
  </w:style>
  <w:style w:type="paragraph" w:styleId="List4">
    <w:name w:val="List 4"/>
    <w:basedOn w:val="BodyText"/>
    <w:rsid w:val="000037F7"/>
    <w:pPr>
      <w:tabs>
        <w:tab w:val="left" w:pos="1361"/>
      </w:tabs>
      <w:spacing w:before="60" w:after="60"/>
      <w:ind w:left="1361" w:hanging="340"/>
    </w:pPr>
  </w:style>
  <w:style w:type="paragraph" w:styleId="List5">
    <w:name w:val="List 5"/>
    <w:basedOn w:val="BodyText"/>
    <w:rsid w:val="000037F7"/>
    <w:pPr>
      <w:tabs>
        <w:tab w:val="left" w:pos="1701"/>
      </w:tabs>
      <w:spacing w:before="60" w:after="60"/>
      <w:ind w:left="1701" w:hanging="340"/>
    </w:pPr>
  </w:style>
  <w:style w:type="paragraph" w:styleId="ListBullet3">
    <w:name w:val="List Bullet 3"/>
    <w:basedOn w:val="List3"/>
    <w:rsid w:val="000037F7"/>
    <w:pPr>
      <w:numPr>
        <w:numId w:val="15"/>
      </w:numPr>
      <w:tabs>
        <w:tab w:val="clear" w:pos="1021"/>
      </w:tabs>
      <w:ind w:left="1037" w:hanging="357"/>
    </w:pPr>
  </w:style>
  <w:style w:type="paragraph" w:styleId="ListBullet4">
    <w:name w:val="List Bullet 4"/>
    <w:basedOn w:val="List4"/>
    <w:rsid w:val="000037F7"/>
    <w:pPr>
      <w:numPr>
        <w:numId w:val="3"/>
      </w:numPr>
    </w:pPr>
  </w:style>
  <w:style w:type="paragraph" w:styleId="ListBullet5">
    <w:name w:val="List Bullet 5"/>
    <w:basedOn w:val="List5"/>
    <w:rsid w:val="000037F7"/>
    <w:pPr>
      <w:numPr>
        <w:numId w:val="4"/>
      </w:numPr>
    </w:pPr>
  </w:style>
  <w:style w:type="paragraph" w:styleId="ListContinue2">
    <w:name w:val="List Continue 2"/>
    <w:basedOn w:val="List2"/>
    <w:rsid w:val="000037F7"/>
    <w:pPr>
      <w:ind w:firstLine="0"/>
    </w:pPr>
  </w:style>
  <w:style w:type="paragraph" w:styleId="ListContinue3">
    <w:name w:val="List Continue 3"/>
    <w:basedOn w:val="List3"/>
    <w:rsid w:val="000037F7"/>
    <w:pPr>
      <w:ind w:left="1021" w:firstLine="0"/>
    </w:pPr>
  </w:style>
  <w:style w:type="paragraph" w:styleId="ListContinue4">
    <w:name w:val="List Continue 4"/>
    <w:basedOn w:val="List4"/>
    <w:rsid w:val="000037F7"/>
    <w:pPr>
      <w:ind w:firstLine="0"/>
    </w:pPr>
  </w:style>
  <w:style w:type="paragraph" w:styleId="ListContinue5">
    <w:name w:val="List Continue 5"/>
    <w:basedOn w:val="List5"/>
    <w:rsid w:val="000037F7"/>
    <w:pPr>
      <w:ind w:firstLine="0"/>
    </w:pPr>
  </w:style>
  <w:style w:type="paragraph" w:styleId="ListNumber3">
    <w:name w:val="List Number 3"/>
    <w:basedOn w:val="List3"/>
    <w:rsid w:val="000037F7"/>
    <w:pPr>
      <w:numPr>
        <w:numId w:val="5"/>
      </w:numPr>
    </w:pPr>
  </w:style>
  <w:style w:type="paragraph" w:styleId="ListNumber4">
    <w:name w:val="List Number 4"/>
    <w:basedOn w:val="List4"/>
    <w:rsid w:val="000037F7"/>
    <w:pPr>
      <w:numPr>
        <w:numId w:val="6"/>
      </w:numPr>
    </w:pPr>
  </w:style>
  <w:style w:type="paragraph" w:styleId="ListNumber5">
    <w:name w:val="List Number 5"/>
    <w:basedOn w:val="List5"/>
    <w:rsid w:val="000037F7"/>
    <w:pPr>
      <w:numPr>
        <w:numId w:val="7"/>
      </w:numPr>
    </w:pPr>
  </w:style>
  <w:style w:type="paragraph" w:styleId="BlockText">
    <w:name w:val="Block Text"/>
    <w:basedOn w:val="Normal"/>
    <w:rsid w:val="000037F7"/>
    <w:pPr>
      <w:spacing w:after="120"/>
      <w:ind w:left="1440" w:right="1440"/>
    </w:pPr>
  </w:style>
  <w:style w:type="character" w:customStyle="1" w:styleId="Subscript">
    <w:name w:val="Subscript"/>
    <w:basedOn w:val="DefaultParagraphFont"/>
    <w:rsid w:val="000037F7"/>
    <w:rPr>
      <w:sz w:val="16"/>
      <w:vertAlign w:val="subscript"/>
    </w:rPr>
  </w:style>
  <w:style w:type="character" w:customStyle="1" w:styleId="Superscript">
    <w:name w:val="Superscript"/>
    <w:basedOn w:val="DefaultParagraphFont"/>
    <w:rsid w:val="000037F7"/>
    <w:rPr>
      <w:sz w:val="16"/>
      <w:vertAlign w:val="superscript"/>
    </w:rPr>
  </w:style>
  <w:style w:type="character" w:customStyle="1" w:styleId="Symbols">
    <w:name w:val="Symbols"/>
    <w:basedOn w:val="DefaultParagraphFont"/>
    <w:rsid w:val="000037F7"/>
    <w:rPr>
      <w:rFonts w:ascii="Symbol" w:hAnsi="Symbol"/>
    </w:rPr>
  </w:style>
  <w:style w:type="character" w:customStyle="1" w:styleId="MenuOptions">
    <w:name w:val="Menu Options"/>
    <w:basedOn w:val="DefaultParagraphFont"/>
    <w:rsid w:val="000037F7"/>
    <w:rPr>
      <w:rFonts w:ascii="Arial Narrow" w:hAnsi="Arial Narrow"/>
      <w:smallCaps/>
    </w:rPr>
  </w:style>
  <w:style w:type="character" w:customStyle="1" w:styleId="Buttons">
    <w:name w:val="Buttons"/>
    <w:basedOn w:val="DefaultParagraphFont"/>
    <w:rsid w:val="000037F7"/>
    <w:rPr>
      <w:b/>
    </w:rPr>
  </w:style>
  <w:style w:type="character" w:customStyle="1" w:styleId="Underlined">
    <w:name w:val="Underlined"/>
    <w:basedOn w:val="DefaultParagraphFont"/>
    <w:rsid w:val="000037F7"/>
    <w:rPr>
      <w:u w:val="single"/>
    </w:rPr>
  </w:style>
  <w:style w:type="paragraph" w:customStyle="1" w:styleId="TableBodyTextRight">
    <w:name w:val="Table Body Text Right"/>
    <w:basedOn w:val="TableBodyText"/>
    <w:rsid w:val="000037F7"/>
    <w:pPr>
      <w:widowControl w:val="0"/>
      <w:autoSpaceDE w:val="0"/>
      <w:autoSpaceDN w:val="0"/>
      <w:adjustRightInd w:val="0"/>
      <w:jc w:val="right"/>
    </w:pPr>
    <w:rPr>
      <w:rFonts w:cs="Arial"/>
      <w:szCs w:val="18"/>
    </w:rPr>
  </w:style>
  <w:style w:type="paragraph" w:customStyle="1" w:styleId="CopyrightText">
    <w:name w:val="Copyright Text"/>
    <w:basedOn w:val="BodyText"/>
    <w:rsid w:val="000037F7"/>
    <w:rPr>
      <w:sz w:val="18"/>
    </w:rPr>
  </w:style>
  <w:style w:type="paragraph" w:customStyle="1" w:styleId="BodySmallRight">
    <w:name w:val="Body Small Right"/>
    <w:basedOn w:val="BodyTextRight"/>
    <w:rsid w:val="000037F7"/>
    <w:rPr>
      <w:sz w:val="18"/>
      <w:szCs w:val="18"/>
    </w:rPr>
  </w:style>
  <w:style w:type="paragraph" w:customStyle="1" w:styleId="MarginEdition">
    <w:name w:val="Margin Edition"/>
    <w:basedOn w:val="MarginNote"/>
    <w:rsid w:val="000037F7"/>
    <w:pPr>
      <w:spacing w:before="0" w:after="0"/>
    </w:pPr>
    <w:rPr>
      <w:rFonts w:ascii="Times New Roman" w:hAnsi="Times New Roman"/>
      <w:color w:val="999999"/>
    </w:rPr>
  </w:style>
  <w:style w:type="paragraph" w:customStyle="1" w:styleId="Spacer">
    <w:name w:val="Spacer"/>
    <w:basedOn w:val="Normal"/>
    <w:rsid w:val="000037F7"/>
    <w:rPr>
      <w:sz w:val="2"/>
      <w:szCs w:val="2"/>
    </w:rPr>
  </w:style>
  <w:style w:type="character" w:customStyle="1" w:styleId="Small">
    <w:name w:val="Small"/>
    <w:basedOn w:val="DefaultParagraphFont"/>
    <w:rsid w:val="000037F7"/>
    <w:rPr>
      <w:sz w:val="16"/>
    </w:rPr>
  </w:style>
  <w:style w:type="paragraph" w:customStyle="1" w:styleId="WideTable">
    <w:name w:val="Wide Table"/>
    <w:basedOn w:val="Normal"/>
    <w:rsid w:val="000037F7"/>
    <w:pPr>
      <w:ind w:left="-1418"/>
    </w:pPr>
    <w:rPr>
      <w:sz w:val="2"/>
      <w:szCs w:val="2"/>
    </w:rPr>
  </w:style>
  <w:style w:type="character" w:styleId="PageNumber">
    <w:name w:val="page number"/>
    <w:basedOn w:val="DefaultParagraphFont"/>
    <w:rsid w:val="000037F7"/>
  </w:style>
  <w:style w:type="paragraph" w:styleId="Quote">
    <w:name w:val="Quote"/>
    <w:basedOn w:val="Heading1"/>
    <w:link w:val="QuoteChar"/>
    <w:qFormat/>
    <w:rsid w:val="000037F7"/>
    <w:rPr>
      <w:b w:val="0"/>
      <w:sz w:val="72"/>
      <w:szCs w:val="72"/>
      <w:lang w:val="en-NZ"/>
    </w:rPr>
  </w:style>
  <w:style w:type="character" w:customStyle="1" w:styleId="QuoteChar">
    <w:name w:val="Quote Char"/>
    <w:basedOn w:val="DefaultParagraphFont"/>
    <w:link w:val="Quote"/>
    <w:rsid w:val="000037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7F7"/>
    <w:pPr>
      <w:pageBreakBefore/>
    </w:pPr>
  </w:style>
  <w:style w:type="paragraph" w:customStyle="1" w:styleId="Border">
    <w:name w:val="Border"/>
    <w:basedOn w:val="Normal"/>
    <w:qFormat/>
    <w:rsid w:val="000037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37F7"/>
    <w:rPr>
      <w:b/>
      <w:bCs/>
      <w:i/>
      <w:iCs/>
      <w:color w:val="auto"/>
    </w:rPr>
  </w:style>
  <w:style w:type="paragraph" w:styleId="IntenseQuote">
    <w:name w:val="Intense Quote"/>
    <w:basedOn w:val="Normal"/>
    <w:next w:val="Normal"/>
    <w:link w:val="IntenseQuoteChar"/>
    <w:uiPriority w:val="30"/>
    <w:qFormat/>
    <w:rsid w:val="000037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37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37F7"/>
    <w:rPr>
      <w:smallCaps/>
      <w:color w:val="auto"/>
      <w:u w:val="single"/>
    </w:rPr>
  </w:style>
  <w:style w:type="character" w:styleId="IntenseReference">
    <w:name w:val="Intense Reference"/>
    <w:basedOn w:val="DefaultParagraphFont"/>
    <w:uiPriority w:val="32"/>
    <w:qFormat/>
    <w:rsid w:val="000037F7"/>
    <w:rPr>
      <w:b/>
      <w:bCs/>
      <w:smallCaps/>
      <w:color w:val="auto"/>
      <w:spacing w:val="5"/>
      <w:u w:val="single"/>
    </w:rPr>
  </w:style>
  <w:style w:type="paragraph" w:customStyle="1" w:styleId="2ColumnHeading">
    <w:name w:val="2Column Heading"/>
    <w:basedOn w:val="BodyText"/>
    <w:qFormat/>
    <w:rsid w:val="000037F7"/>
    <w:pPr>
      <w:spacing w:after="60"/>
      <w:ind w:left="-2268"/>
    </w:pPr>
    <w:rPr>
      <w:b/>
    </w:rPr>
  </w:style>
  <w:style w:type="paragraph" w:customStyle="1" w:styleId="Heading1TOC">
    <w:name w:val="Heading1 TOC"/>
    <w:basedOn w:val="Normal"/>
    <w:qFormat/>
    <w:rsid w:val="000037F7"/>
    <w:pPr>
      <w:spacing w:before="240" w:after="120"/>
    </w:pPr>
    <w:rPr>
      <w:rFonts w:ascii="Times New Roman" w:hAnsi="Times New Roman"/>
      <w:b/>
      <w:sz w:val="32"/>
    </w:rPr>
  </w:style>
  <w:style w:type="paragraph" w:customStyle="1" w:styleId="Heading2TOC">
    <w:name w:val="Heading2 TOC"/>
    <w:basedOn w:val="Normal"/>
    <w:qFormat/>
    <w:rsid w:val="000037F7"/>
    <w:pPr>
      <w:spacing w:before="240" w:after="60"/>
    </w:pPr>
    <w:rPr>
      <w:rFonts w:ascii="Times New Roman" w:hAnsi="Times New Roman"/>
      <w:b/>
      <w:sz w:val="28"/>
    </w:rPr>
  </w:style>
  <w:style w:type="character" w:customStyle="1" w:styleId="Underline">
    <w:name w:val="Underline"/>
    <w:basedOn w:val="DefaultParagraphFont"/>
    <w:qFormat/>
    <w:rsid w:val="000037F7"/>
    <w:rPr>
      <w:u w:val="single"/>
    </w:rPr>
  </w:style>
  <w:style w:type="character" w:customStyle="1" w:styleId="BoldandItalics">
    <w:name w:val="Bold and Italics"/>
    <w:qFormat/>
    <w:rsid w:val="000037F7"/>
    <w:rPr>
      <w:b/>
      <w:i/>
      <w:u w:val="none"/>
    </w:rPr>
  </w:style>
  <w:style w:type="paragraph" w:styleId="BalloonText">
    <w:name w:val="Balloon Text"/>
    <w:basedOn w:val="Normal"/>
    <w:link w:val="BalloonTextChar"/>
    <w:rsid w:val="000037F7"/>
    <w:rPr>
      <w:rFonts w:ascii="Tahoma" w:hAnsi="Tahoma" w:cs="Tahoma"/>
      <w:sz w:val="16"/>
      <w:szCs w:val="16"/>
    </w:rPr>
  </w:style>
  <w:style w:type="character" w:customStyle="1" w:styleId="BalloonTextChar">
    <w:name w:val="Balloon Text Char"/>
    <w:basedOn w:val="DefaultParagraphFont"/>
    <w:link w:val="BalloonText"/>
    <w:rsid w:val="000037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37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37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2383</Words>
  <Characters>14620</Characters>
  <Application>Microsoft Office Word</Application>
  <DocSecurity>0</DocSecurity>
  <Lines>601</Lines>
  <Paragraphs>231</Paragraphs>
  <ScaleCrop>false</ScaleCrop>
  <Company>Author-it Software Corporation Ltd.</Company>
  <LinksUpToDate>false</LinksUpToDate>
  <CharactersWithSpaces>16825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UETTDRIS21B Install mobile generation set for synchronised Genset LV</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2012-05-26T12:10:00Z</dcterms:created>
  <dcterms:modified xsi:type="dcterms:W3CDTF">2012-05-26T12:10:00Z</dcterms:modified>
</cp:coreProperties>
</file>