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5B7" w:rsidP="005205B7">
      <w:pPr>
        <w:pStyle w:val="Title"/>
      </w:pPr>
      <w:bookmarkStart w:id="0" w:name="_GoBack"/>
      <w:bookmarkEnd w:id="0"/>
      <w:r>
        <w:fldChar w:fldCharType="begin"/>
      </w:r>
      <w:r>
        <w:instrText xml:space="preserve"> TITLE   \* MERGEFORMAT </w:instrText>
      </w:r>
      <w:r>
        <w:fldChar w:fldCharType="separate"/>
      </w:r>
      <w:r>
        <w:t>UETTDRIS12B Install and maintain poles/structures and associated hardware</w:t>
      </w:r>
      <w:r>
        <w:fldChar w:fldCharType="end"/>
      </w:r>
    </w:p>
    <w:p w:rsidR="005205B7" w:rsidP="005205B7">
      <w:pPr>
        <w:pStyle w:val="Version"/>
        <w:sectPr w:rsidSect="008710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102C" w:rsidP="0087102C">
      <w:pPr>
        <w:pStyle w:val="SuperHeading"/>
      </w:pPr>
      <w:r w:rsidRPr="0087102C">
        <w:t>UETTDRIS12B Install and maintain poles/structures and associated hardware</w:t>
      </w:r>
    </w:p>
    <w:p w:rsidR="00000000" w:rsidRPr="0087102C" w:rsidP="0087102C">
      <w:pPr>
        <w:pStyle w:val="Heading1"/>
      </w:pPr>
      <w:bookmarkStart w:id="1" w:name="O_275474"/>
      <w:bookmarkEnd w:id="1"/>
      <w:r w:rsidRPr="0087102C">
        <w:t>Modification History</w:t>
      </w:r>
    </w:p>
    <w:p w:rsidR="00000000" w:rsidRPr="0087102C" w:rsidP="0087102C">
      <w:pPr>
        <w:pStyle w:val="BodyText"/>
      </w:pPr>
      <w:r w:rsidRPr="0087102C">
        <w:t>Not Applicable</w:t>
      </w:r>
    </w:p>
    <w:p w:rsidR="00000000" w:rsidRPr="0087102C" w:rsidP="0087102C">
      <w:pPr>
        <w:pStyle w:val="AllowPageBreak"/>
      </w:pPr>
    </w:p>
    <w:p w:rsidR="00000000" w:rsidRPr="0087102C" w:rsidP="0087102C">
      <w:pPr>
        <w:pStyle w:val="Heading1"/>
      </w:pPr>
      <w:bookmarkStart w:id="2" w:name="O_231466"/>
      <w:bookmarkEnd w:id="2"/>
      <w:r w:rsidRPr="0087102C">
        <w:t>Unit Descriptor</w:t>
      </w:r>
    </w:p>
    <w:tbl>
      <w:tblPr>
        <w:tblW w:w="0" w:type="auto"/>
        <w:tblLayout w:type="fixed"/>
        <w:tblCellMar>
          <w:left w:w="62" w:type="dxa"/>
          <w:right w:w="62" w:type="dxa"/>
        </w:tblCellMar>
        <w:tblLook w:val="0000"/>
      </w:tblPr>
      <w:tblGrid>
        <w:gridCol w:w="2758"/>
        <w:gridCol w:w="5882"/>
      </w:tblGrid>
      <w:tr w:rsidTr="005205B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rPr>
                <w:rStyle w:val="SpecialBold"/>
              </w:rPr>
              <w:t>1</w:t>
            </w:r>
            <w:r w:rsidRPr="0087102C">
              <w:t xml:space="preserve">) </w:t>
            </w:r>
          </w:p>
          <w:p w:rsidR="00000000" w:rsidP="0087102C">
            <w:pPr>
              <w:pStyle w:val="BodyText"/>
              <w:rPr>
                <w:lang w:val="en-NZ"/>
              </w:rPr>
            </w:pPr>
            <w:r w:rsidRPr="0087102C">
              <w:rPr>
                <w:rStyle w:val="SpecialBold"/>
              </w:rPr>
              <w:t>1</w:t>
            </w:r>
            <w:r w:rsidRPr="0087102C">
              <w:t>.</w:t>
            </w:r>
            <w:r w:rsidRPr="0087102C">
              <w:rPr>
                <w:rStyle w:val="SpecialBold"/>
              </w:rPr>
              <w:t>1</w:t>
            </w:r>
            <w:r w:rsidRPr="0087102C">
              <w:t xml:space="preserve">) </w:t>
            </w:r>
            <w:r w:rsidRPr="0087102C">
              <w:rPr>
                <w:rStyle w:val="SpecialBold"/>
              </w:rPr>
              <w:t>Descriptor</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t>This Competency Standard Unit covers the installation and maintenance of poles and/or structures and associated hardware, other than towers, which may consist of wood, steel, concrete or composite type material. It includes the fixing and or securing of ha</w:t>
            </w:r>
            <w:r w:rsidRPr="0087102C">
              <w:t xml:space="preserve">rdware associated as well as the repair and or replacement of poles and or structures used in the distribution and or rail traction industry sectors. It encompasses the implementation of a suitable traffic management plan. </w:t>
            </w:r>
          </w:p>
        </w:tc>
      </w:tr>
    </w:tbl>
    <w:p w:rsidR="005205B7" w:rsidP="0087102C">
      <w:pPr>
        <w:pStyle w:val="BodyText"/>
      </w:pPr>
    </w:p>
    <w:p w:rsidR="005205B7" w:rsidP="0087102C">
      <w:pPr>
        <w:pStyle w:val="BodyText"/>
      </w:pPr>
    </w:p>
    <w:p w:rsidR="00000000" w:rsidRPr="0087102C" w:rsidP="0087102C">
      <w:pPr>
        <w:pStyle w:val="Heading1"/>
      </w:pPr>
      <w:bookmarkStart w:id="3" w:name="O_231471"/>
      <w:bookmarkEnd w:id="3"/>
      <w:r w:rsidRPr="0087102C">
        <w:t xml:space="preserve">Application </w:t>
      </w:r>
      <w:r w:rsidRPr="0087102C">
        <w:t>of the Unit</w:t>
      </w:r>
    </w:p>
    <w:tbl>
      <w:tblPr>
        <w:tblW w:w="0" w:type="auto"/>
        <w:tblLayout w:type="fixed"/>
        <w:tblCellMar>
          <w:left w:w="62" w:type="dxa"/>
          <w:right w:w="62" w:type="dxa"/>
        </w:tblCellMar>
        <w:tblLook w:val="0000"/>
      </w:tblPr>
      <w:tblGrid>
        <w:gridCol w:w="2758"/>
        <w:gridCol w:w="5882"/>
      </w:tblGrid>
      <w:tr w:rsidTr="005205B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rPr>
                <w:rStyle w:val="SpecialBold"/>
              </w:rPr>
              <w:t>4</w:t>
            </w:r>
            <w:r w:rsidRPr="0087102C">
              <w:t>)</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t>This Competency Standard Unit is intended to augment formally acquired competencies. It is suitable for employment-based programs under an approved contract of training.</w:t>
            </w:r>
          </w:p>
        </w:tc>
      </w:tr>
    </w:tbl>
    <w:p w:rsidR="005205B7" w:rsidP="0087102C">
      <w:pPr>
        <w:pStyle w:val="BodyText"/>
      </w:pPr>
    </w:p>
    <w:p w:rsidR="005205B7" w:rsidP="0087102C">
      <w:pPr>
        <w:pStyle w:val="BodyText"/>
      </w:pPr>
    </w:p>
    <w:p w:rsidR="00000000" w:rsidRPr="0087102C" w:rsidP="0087102C">
      <w:pPr>
        <w:pStyle w:val="Heading1"/>
      </w:pPr>
      <w:bookmarkStart w:id="4" w:name="O_231467"/>
      <w:bookmarkEnd w:id="4"/>
      <w:r w:rsidRPr="0087102C">
        <w:t>Licensing/Regulatory Information</w:t>
      </w:r>
    </w:p>
    <w:tbl>
      <w:tblPr>
        <w:tblW w:w="0" w:type="auto"/>
        <w:tblLayout w:type="fixed"/>
        <w:tblCellMar>
          <w:left w:w="62" w:type="dxa"/>
          <w:right w:w="62" w:type="dxa"/>
        </w:tblCellMar>
        <w:tblLook w:val="0000"/>
      </w:tblPr>
      <w:tblGrid>
        <w:gridCol w:w="8640"/>
      </w:tblGrid>
      <w:tr w:rsidTr="005205B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rPr>
                <w:rStyle w:val="SpecialBold"/>
              </w:rPr>
              <w:t>1</w:t>
            </w:r>
            <w:r w:rsidRPr="0087102C">
              <w:t>.</w:t>
            </w:r>
            <w:r w:rsidRPr="0087102C">
              <w:rPr>
                <w:rStyle w:val="SpecialBold"/>
              </w:rPr>
              <w:t>2</w:t>
            </w:r>
            <w:r w:rsidRPr="0087102C">
              <w:t xml:space="preserve">) </w:t>
            </w:r>
            <w:r w:rsidRPr="0087102C">
              <w:rPr>
                <w:rStyle w:val="SpecialBold"/>
              </w:rPr>
              <w:t>License to practice</w:t>
            </w:r>
          </w:p>
        </w:tc>
      </w:tr>
      <w:tr w:rsidTr="005205B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t>The skills and knowledge described in this unit may require a licence/registration to practice in the work place subject to regulations for undertaking of electrical work. Practice in workplace and</w:t>
            </w:r>
            <w:r w:rsidRPr="0087102C">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87102C">
              <w:t>ommonwealth, State/Territory or Local Government legislation and regulations may exist that limits the age of operating certain equipment.</w:t>
            </w:r>
          </w:p>
        </w:tc>
      </w:tr>
    </w:tbl>
    <w:p w:rsidR="005205B7" w:rsidP="0087102C">
      <w:pPr>
        <w:pStyle w:val="BodyText"/>
      </w:pPr>
    </w:p>
    <w:p w:rsidR="005205B7" w:rsidP="0087102C">
      <w:pPr>
        <w:pStyle w:val="BodyText"/>
      </w:pPr>
    </w:p>
    <w:p w:rsidR="00000000" w:rsidRPr="0087102C" w:rsidP="0087102C">
      <w:pPr>
        <w:pStyle w:val="Heading1"/>
      </w:pPr>
      <w:bookmarkStart w:id="5" w:name="O_231468"/>
      <w:bookmarkEnd w:id="5"/>
      <w:r w:rsidRPr="0087102C">
        <w:t>Pre-Requisites</w:t>
      </w:r>
    </w:p>
    <w:tbl>
      <w:tblPr>
        <w:tblW w:w="0" w:type="auto"/>
        <w:tblLayout w:type="fixed"/>
        <w:tblCellMar>
          <w:left w:w="62" w:type="dxa"/>
          <w:right w:w="62" w:type="dxa"/>
        </w:tblCellMar>
        <w:tblLook w:val="0000"/>
      </w:tblPr>
      <w:tblGrid>
        <w:gridCol w:w="2758"/>
        <w:gridCol w:w="735"/>
        <w:gridCol w:w="2022"/>
        <w:gridCol w:w="3125"/>
      </w:tblGrid>
      <w:tr w:rsidTr="005205B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rPr>
                <w:rStyle w:val="SpecialBold"/>
              </w:rPr>
              <w:t>Prerequisite Unit</w:t>
            </w:r>
            <w:r w:rsidRPr="0087102C">
              <w:t>(</w:t>
            </w:r>
            <w:r w:rsidRPr="0087102C">
              <w:rPr>
                <w:rStyle w:val="SpecialBold"/>
              </w:rPr>
              <w:t>s</w:t>
            </w:r>
            <w:r w:rsidRPr="0087102C">
              <w:t>)</w:t>
            </w:r>
          </w:p>
        </w:tc>
        <w:tc>
          <w:tcPr>
            <w:tcW w:w="5882" w:type="dxa"/>
            <w:gridSpan w:val="3"/>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rPr>
                <w:rStyle w:val="SpecialBold"/>
              </w:rPr>
              <w:t>2</w:t>
            </w:r>
            <w:r w:rsidRPr="0087102C">
              <w:t xml:space="preserve">) </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87102C">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rPr>
                <w:rStyle w:val="SpecialBold"/>
              </w:rPr>
              <w:t>2</w:t>
            </w:r>
            <w:r w:rsidRPr="0087102C">
              <w:t>.</w:t>
            </w:r>
            <w:r w:rsidRPr="0087102C">
              <w:rPr>
                <w:rStyle w:val="SpecialBold"/>
              </w:rPr>
              <w:t>1</w:t>
            </w:r>
            <w:r w:rsidRPr="0087102C">
              <w:t xml:space="preserve">) </w:t>
            </w:r>
            <w:r w:rsidRPr="0087102C">
              <w:rPr>
                <w:rStyle w:val="SpecialBold"/>
              </w:rPr>
              <w:t>Competencies</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Granting of competency in this unit shall be made only after competency in the following unit(s) has/have been confirmed:.</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 xml:space="preserve">UETTDREL01B </w:t>
            </w:r>
          </w:p>
        </w:tc>
        <w:tc>
          <w:tcPr>
            <w:tcW w:w="3125"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Apply environment and sustainable energy procedures</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and</w:t>
            </w:r>
          </w:p>
        </w:tc>
        <w:tc>
          <w:tcPr>
            <w:tcW w:w="2022"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UETTDREL02B</w:t>
            </w:r>
          </w:p>
        </w:tc>
        <w:tc>
          <w:tcPr>
            <w:tcW w:w="3125"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 xml:space="preserve">Operate plant and equipment near </w:t>
            </w:r>
            <w:r w:rsidRPr="0087102C">
              <w:t>energised and exposed electrical conductors/apparatus</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and</w:t>
            </w:r>
          </w:p>
        </w:tc>
        <w:tc>
          <w:tcPr>
            <w:tcW w:w="2022"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UETTDREL04B</w:t>
            </w:r>
          </w:p>
        </w:tc>
        <w:tc>
          <w:tcPr>
            <w:tcW w:w="3125"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Working safely near live electrical apparatus as a non-electrical worker</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and</w:t>
            </w:r>
          </w:p>
        </w:tc>
        <w:tc>
          <w:tcPr>
            <w:tcW w:w="2022"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UEUNEEE001B</w:t>
            </w:r>
          </w:p>
        </w:tc>
        <w:tc>
          <w:tcPr>
            <w:tcW w:w="3125"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Apply OHS practices in the workplace</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and</w:t>
            </w:r>
          </w:p>
        </w:tc>
        <w:tc>
          <w:tcPr>
            <w:tcW w:w="2022"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UEUNEEE002B</w:t>
            </w:r>
          </w:p>
        </w:tc>
        <w:tc>
          <w:tcPr>
            <w:tcW w:w="3125"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Dismantle, assemble and fabricate elec</w:t>
            </w:r>
            <w:r w:rsidRPr="0087102C">
              <w:t>trotechnology components</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and</w:t>
            </w:r>
          </w:p>
        </w:tc>
        <w:tc>
          <w:tcPr>
            <w:tcW w:w="2022"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UEENEEE004B</w:t>
            </w:r>
          </w:p>
        </w:tc>
        <w:tc>
          <w:tcPr>
            <w:tcW w:w="3125"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Solve problems in multiple path d.c. circuits</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and</w:t>
            </w:r>
          </w:p>
        </w:tc>
        <w:tc>
          <w:tcPr>
            <w:tcW w:w="2022"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UEENEEE005B</w:t>
            </w:r>
          </w:p>
        </w:tc>
        <w:tc>
          <w:tcPr>
            <w:tcW w:w="3125"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Fix and secure equipment</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and</w:t>
            </w:r>
          </w:p>
        </w:tc>
        <w:tc>
          <w:tcPr>
            <w:tcW w:w="2022"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UEENEEE007B</w:t>
            </w:r>
          </w:p>
        </w:tc>
        <w:tc>
          <w:tcPr>
            <w:tcW w:w="3125"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Use drawing, diagrams, schedules and service manuals</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and</w:t>
            </w:r>
          </w:p>
        </w:tc>
        <w:tc>
          <w:tcPr>
            <w:tcW w:w="2022"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UEENEEG001B</w:t>
            </w:r>
          </w:p>
        </w:tc>
        <w:tc>
          <w:tcPr>
            <w:tcW w:w="3125"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Solve problems in electromagnetic circuits</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t>For the full prerequisite chain details for this unit please refer to Table 3 in Volume 1, Part 2</w:t>
            </w:r>
          </w:p>
        </w:tc>
      </w:tr>
    </w:tbl>
    <w:p w:rsidR="005205B7" w:rsidP="0087102C">
      <w:pPr>
        <w:pStyle w:val="BodyText"/>
      </w:pPr>
    </w:p>
    <w:p w:rsidR="005205B7" w:rsidP="0087102C">
      <w:pPr>
        <w:pStyle w:val="BodyText"/>
      </w:pPr>
    </w:p>
    <w:p w:rsidR="00000000" w:rsidRPr="0087102C" w:rsidP="0087102C">
      <w:pPr>
        <w:pStyle w:val="Heading1"/>
      </w:pPr>
      <w:bookmarkStart w:id="6" w:name="O_231470"/>
      <w:bookmarkEnd w:id="6"/>
      <w:r w:rsidRPr="0087102C">
        <w:t>Employability Skills Information</w:t>
      </w:r>
    </w:p>
    <w:tbl>
      <w:tblPr>
        <w:tblW w:w="0" w:type="auto"/>
        <w:tblLayout w:type="fixed"/>
        <w:tblCellMar>
          <w:left w:w="62" w:type="dxa"/>
          <w:right w:w="62" w:type="dxa"/>
        </w:tblCellMar>
        <w:tblLook w:val="0000"/>
      </w:tblPr>
      <w:tblGrid>
        <w:gridCol w:w="2758"/>
        <w:gridCol w:w="5882"/>
      </w:tblGrid>
      <w:tr w:rsidTr="005205B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rPr>
                <w:rStyle w:val="SpecialBold"/>
              </w:rPr>
              <w:t>3</w:t>
            </w:r>
            <w:r w:rsidRPr="0087102C">
              <w:t>)</w:t>
            </w:r>
          </w:p>
          <w:p w:rsidR="00000000" w:rsidRPr="0087102C" w:rsidP="0087102C">
            <w:pPr>
              <w:pStyle w:val="BodyText"/>
            </w:pPr>
            <w:r w:rsidRPr="0087102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7102C">
              <w:t>requirements.</w:t>
            </w:r>
          </w:p>
        </w:tc>
      </w:tr>
    </w:tbl>
    <w:p w:rsidR="005205B7" w:rsidP="0087102C">
      <w:pPr>
        <w:pStyle w:val="BodyText"/>
      </w:pPr>
    </w:p>
    <w:p w:rsidR="005205B7" w:rsidP="0087102C">
      <w:pPr>
        <w:pStyle w:val="BodyText"/>
      </w:pPr>
    </w:p>
    <w:p w:rsidR="00000000" w:rsidRPr="0087102C" w:rsidP="0087102C">
      <w:pPr>
        <w:pStyle w:val="Heading1"/>
      </w:pPr>
      <w:bookmarkStart w:id="7" w:name="O_293520"/>
      <w:bookmarkEnd w:id="7"/>
      <w:r w:rsidRPr="0087102C">
        <w:t>Elements and Performance Criteria Pre-Content</w:t>
      </w:r>
    </w:p>
    <w:tbl>
      <w:tblPr>
        <w:tblW w:w="0" w:type="auto"/>
        <w:tblLayout w:type="fixed"/>
        <w:tblCellMar>
          <w:left w:w="62" w:type="dxa"/>
          <w:right w:w="62" w:type="dxa"/>
        </w:tblCellMar>
        <w:tblLook w:val="0000"/>
      </w:tblPr>
      <w:tblGrid>
        <w:gridCol w:w="2758"/>
        <w:gridCol w:w="5882"/>
      </w:tblGrid>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rPr>
                <w:rStyle w:val="SpecialBold"/>
              </w:rPr>
              <w:t>6</w:t>
            </w:r>
            <w:r w:rsidRPr="0087102C">
              <w:t xml:space="preserve">) </w:t>
            </w:r>
            <w:r w:rsidRPr="0087102C">
              <w:rPr>
                <w:rStyle w:val="SpecialBold"/>
              </w:rPr>
              <w:t>Elements</w:t>
            </w:r>
            <w:r w:rsidRPr="0087102C">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t>Performance Criteria describe the required performance needed to demonstrate achievement of the el</w:t>
            </w:r>
            <w:r w:rsidRPr="0087102C">
              <w:t>ement. Assessment of performance is to be consistent with the evidence guide.</w:t>
            </w:r>
          </w:p>
        </w:tc>
      </w:tr>
    </w:tbl>
    <w:p w:rsidR="00000000" w:rsidRPr="0087102C" w:rsidP="0087102C">
      <w:pPr>
        <w:pStyle w:val="BodyText"/>
      </w:pPr>
    </w:p>
    <w:p w:rsidR="00000000" w:rsidRPr="0087102C" w:rsidP="0087102C">
      <w:pPr>
        <w:pStyle w:val="AllowPageBreak"/>
      </w:pPr>
    </w:p>
    <w:p w:rsidR="00000000" w:rsidRPr="0087102C" w:rsidP="0087102C">
      <w:pPr>
        <w:pStyle w:val="Heading1"/>
      </w:pPr>
      <w:bookmarkStart w:id="8" w:name="O_240188"/>
      <w:bookmarkEnd w:id="8"/>
      <w:r w:rsidRPr="0087102C">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5205B7">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rPr>
                <w:rStyle w:val="SpecialBold"/>
              </w:rPr>
              <w:t>PERFORMANCE CRITERIA</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1</w:t>
            </w:r>
          </w:p>
        </w:tc>
        <w:tc>
          <w:tcPr>
            <w:tcW w:w="2345" w:type="dxa"/>
            <w:vMerge w:val="restart"/>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Prepare for the installation and maintenance of poles and/or structures and associated hardware</w:t>
            </w: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1.1</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 xml:space="preserve">Works schedule(s), including drawings, plans, requirements, established procedures, and material lists, are received, analysed and confirmed, if necessary, </w:t>
            </w:r>
            <w:r w:rsidRPr="0087102C">
              <w:t>by site inspection.</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1.2</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Relevant requirements and established procedures for the work are communicated to all personnel and identified for all work sites.</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1.3</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OHS policies and procedures related to requirements and established procedures the installation and maintenance of poles and/or structures and associated hardware are obtained and confirmed for the purposes of the work to be performed and communicated.</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1.4</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Work is prioritised and sequenced following consultation with others for completion within acceptable timeframes and in accordance with established procedures.</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1.5</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Hazards are identified, OHS risks assessed and control measures are prioritised, impl</w:t>
            </w:r>
            <w:r w:rsidRPr="0087102C">
              <w:t>emented and monitored including emergency exits kept clear according to established procedures.</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1.6</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Resources including personnel, equipment, tools and personal protective equipment required for the job are obtained and confirmed in working order.</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1.</w:t>
            </w:r>
            <w:r w:rsidRPr="0087102C">
              <w:t>7</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Relevant work permits are obtained to access and perform work according to requirements and/or established procedures.</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1.8</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Relevant personnel at worksite are confirmed current in First Aid, Pole Top Rescue and other related work procedures according to requirements.</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1.9</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Liaison and communication issues with other/authorised personnel, authorities, clients and land owners ar</w:t>
            </w:r>
            <w:r w:rsidRPr="0087102C">
              <w:t>e resolved to carry out work where necessary.</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1.10</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Site is prepared according to the work schedule and to minimise risk and damage to property, commerce, and individuals in accordance with established procedures.</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1.11</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Personnel participating in the w</w:t>
            </w:r>
            <w:r w:rsidRPr="0087102C">
              <w:t>ork, including plant operators and contractors, are fully briefed and respective responsibilities confirmed where applicable in accordance with established procedures.</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1.12</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Traffic management plan is identified and implemented.</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2</w:t>
            </w:r>
          </w:p>
        </w:tc>
        <w:tc>
          <w:tcPr>
            <w:tcW w:w="2345"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Carry out installation and maintenance of poles and/or structures and associated hardware</w:t>
            </w: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2.1</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OHS, sustainable energy and environmental principles and practices to reduce the incidents of accidents and minimise waste are monitored and followed in accordanc</w:t>
            </w:r>
            <w:r w:rsidRPr="0087102C">
              <w:t>e with requirements and/or established procedures.</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2.2</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Hazard warnings and safety signs are recognised and hazards and assessed OHS risks are reported to the immediate authorised persons for directions according to established procedures.</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2.3</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Lifting</w:t>
            </w:r>
            <w:r w:rsidRPr="0087102C">
              <w:t>, climbing, working aloft, and use of power tools/equipment, techniques and practices are safely followed and, currency according to requirements confirmed.</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2.4</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Essential knowledge and associated skills are applied in the safe installation of poles and/</w:t>
            </w:r>
            <w:r w:rsidRPr="0087102C">
              <w:t>or structures and their associated hardware to ensure completion in an agreed timeframe and, to quality standards with a minimum of waste according to requirements.</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2.5</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Poles and/or structures and their associated hardware to be installed are stabilised according to requirements.</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2.6</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Installation is carried out, in accordance with the work schedule and requirements/established procedures.</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2.7</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 xml:space="preserve">Maintenance, including </w:t>
            </w:r>
            <w:r w:rsidRPr="0087102C">
              <w:t>repair and/or replacement of poles and/or structures is carried out, in accordance with the work schedule and requirements/established procedures.</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2.8</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Unplanned events in the installation of poles and/or structures and associated hardware are undertaken</w:t>
            </w:r>
            <w:r w:rsidRPr="0087102C">
              <w:t xml:space="preserve"> within the scope of established procedures.</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2.9</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Known solutions to a variety of problems are applied using acquired essential knowledge and associated skills.</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2.10</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On going checks of quality of the work are undertaken in accordance with instructions and established procedures.</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3</w:t>
            </w:r>
          </w:p>
        </w:tc>
        <w:tc>
          <w:tcPr>
            <w:tcW w:w="2345" w:type="dxa"/>
            <w:vMerge w:val="restart"/>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Complete the installation and maintenance of poles and/or structures and associated hardware.</w:t>
            </w: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3.1</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 xml:space="preserve">Work undertaken is checked against works </w:t>
            </w:r>
            <w:r w:rsidRPr="0087102C">
              <w:t>schedule for conformance with requirements and anomalies reported in accordance with established procedures.</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3.2</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Accidents and/or injuries are reported in accordance with requirements/established procedures, where applicable.</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3.3</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Work site is rehabilitated, cleaned up and made safe in accordance with established procedures.</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3.4</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Tools, equipment and any surplus resources and materials are, where appropriate, cleaned, checked and returned to storage or disposed of in accordance wi</w:t>
            </w:r>
            <w:r w:rsidRPr="0087102C">
              <w:t>th established procedures.</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3.5</w:t>
            </w:r>
          </w:p>
        </w:tc>
        <w:tc>
          <w:tcPr>
            <w:tcW w:w="496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Relevant work permit(s) are signed off and, poles and/or structures and their associated hardware are returned to service in accordance with requirements.</w:t>
            </w:r>
          </w:p>
        </w:tc>
      </w:tr>
      <w:tr w:rsidTr="005205B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3.6</w:t>
            </w:r>
          </w:p>
        </w:tc>
        <w:tc>
          <w:tcPr>
            <w:tcW w:w="4963" w:type="dxa"/>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t>Works completion records, reports, as installed /modified drawing and/or documentation and information are finalised and processed and appropriate personnel notified.</w:t>
            </w:r>
          </w:p>
        </w:tc>
      </w:tr>
    </w:tbl>
    <w:p w:rsidR="005205B7" w:rsidP="0087102C">
      <w:pPr>
        <w:pStyle w:val="BodyText"/>
      </w:pPr>
    </w:p>
    <w:p w:rsidR="005205B7" w:rsidP="0087102C">
      <w:pPr>
        <w:pStyle w:val="BodyText"/>
      </w:pPr>
    </w:p>
    <w:p w:rsidR="00000000" w:rsidRPr="0087102C" w:rsidP="0087102C">
      <w:pPr>
        <w:pStyle w:val="Heading1"/>
      </w:pPr>
      <w:bookmarkStart w:id="9" w:name="O_263979"/>
      <w:bookmarkEnd w:id="9"/>
      <w:r w:rsidRPr="0087102C">
        <w:t>Required Skills and Knowledge</w:t>
      </w:r>
    </w:p>
    <w:tbl>
      <w:tblPr>
        <w:tblW w:w="0" w:type="auto"/>
        <w:tblLayout w:type="fixed"/>
        <w:tblCellMar>
          <w:left w:w="62" w:type="dxa"/>
          <w:right w:w="62" w:type="dxa"/>
        </w:tblCellMar>
        <w:tblLook w:val="0000"/>
      </w:tblPr>
      <w:tblGrid>
        <w:gridCol w:w="2758"/>
        <w:gridCol w:w="1103"/>
        <w:gridCol w:w="4779"/>
      </w:tblGrid>
      <w:tr w:rsidTr="005205B7">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rPr>
                <w:rStyle w:val="SpecialBold"/>
              </w:rPr>
              <w:t>REQUIRED SKILLS AND KNOWLEDGE</w:t>
            </w:r>
          </w:p>
        </w:tc>
      </w:tr>
      <w:tr w:rsidTr="005205B7">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rPr>
                <w:rStyle w:val="SpecialBold"/>
              </w:rPr>
              <w:t>7</w:t>
            </w:r>
            <w:r w:rsidRPr="0087102C">
              <w:t xml:space="preserve">) </w:t>
            </w:r>
            <w:r w:rsidRPr="0087102C">
              <w:rPr>
                <w:rStyle w:val="SpecialBold"/>
              </w:rPr>
              <w:t>Essential Knowledge and Associated Skills</w:t>
            </w:r>
            <w:r w:rsidRPr="0087102C">
              <w:t xml:space="preserve"> (</w:t>
            </w:r>
            <w:r w:rsidRPr="0087102C">
              <w:rPr>
                <w:rStyle w:val="SpecialBold"/>
              </w:rPr>
              <w:t>EKAS</w:t>
            </w:r>
            <w:r w:rsidRPr="0087102C">
              <w:t>): This describes the essential skills and knowledge and their level, required for this unit.</w:t>
            </w:r>
          </w:p>
        </w:tc>
      </w:tr>
      <w:tr w:rsidTr="005205B7">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t>Evidence shall show that knowledge has been acquired of installing and maintaining poles/structures and associat</w:t>
            </w:r>
            <w:r w:rsidRPr="0087102C">
              <w:t>ed hardware.</w:t>
            </w:r>
          </w:p>
          <w:p w:rsidR="00000000" w:rsidRPr="0087102C" w:rsidP="0087102C">
            <w:pPr>
              <w:pStyle w:val="BodyText"/>
            </w:pPr>
            <w:r w:rsidRPr="0087102C">
              <w:t>All knowledge and skills detailed in this unit should be contextualised to current industry practices and technologies.</w:t>
            </w:r>
          </w:p>
          <w:p w:rsidR="00000000" w:rsidP="0087102C">
            <w:pPr>
              <w:pStyle w:val="BodyText"/>
              <w:rPr>
                <w:lang w:val="en-NZ"/>
              </w:rPr>
            </w:pPr>
            <w:r w:rsidRPr="0087102C">
              <w:t xml:space="preserve">The extent of the essential knowledge and associated skills (EKAS) required is given in Volume 2 - Part 2.2 EKAS. It forms </w:t>
            </w:r>
            <w:r w:rsidRPr="0087102C">
              <w:t>an integral part of this unit.</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 xml:space="preserve">E2.8.2.2 </w:t>
            </w:r>
          </w:p>
        </w:tc>
        <w:tc>
          <w:tcPr>
            <w:tcW w:w="477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Alternating current principles - power</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 xml:space="preserve">E2.8.6 </w:t>
            </w:r>
          </w:p>
        </w:tc>
        <w:tc>
          <w:tcPr>
            <w:tcW w:w="477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Electromagnetic principles</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 xml:space="preserve">T2.1.1. </w:t>
            </w:r>
          </w:p>
        </w:tc>
        <w:tc>
          <w:tcPr>
            <w:tcW w:w="477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Engineering applications of mathematical principles</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T2.1.2.</w:t>
            </w:r>
          </w:p>
        </w:tc>
        <w:tc>
          <w:tcPr>
            <w:tcW w:w="477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Engineering applications of mechanical principles</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 xml:space="preserve">T2.1.3. </w:t>
            </w:r>
          </w:p>
        </w:tc>
        <w:tc>
          <w:tcPr>
            <w:tcW w:w="477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Engineering applications of material properties</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T2.1.4.</w:t>
            </w:r>
          </w:p>
        </w:tc>
        <w:tc>
          <w:tcPr>
            <w:tcW w:w="477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Basic rigging techniques</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T2.1.9.</w:t>
            </w:r>
          </w:p>
        </w:tc>
        <w:tc>
          <w:tcPr>
            <w:tcW w:w="477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Stores procedures</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 xml:space="preserve">T2.2.5 </w:t>
            </w:r>
          </w:p>
        </w:tc>
        <w:tc>
          <w:tcPr>
            <w:tcW w:w="477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Powerline installation safety</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 xml:space="preserve">T2.2.6 </w:t>
            </w:r>
          </w:p>
        </w:tc>
        <w:tc>
          <w:tcPr>
            <w:tcW w:w="4779"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Pole and hardware installation and maintenance</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 xml:space="preserve">T2.3.1 </w:t>
            </w:r>
          </w:p>
        </w:tc>
        <w:tc>
          <w:tcPr>
            <w:tcW w:w="4779" w:type="dxa"/>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t>Powerline safety practices</w:t>
            </w:r>
          </w:p>
        </w:tc>
      </w:tr>
    </w:tbl>
    <w:p w:rsidR="005205B7" w:rsidP="0087102C">
      <w:pPr>
        <w:pStyle w:val="BodyText"/>
      </w:pPr>
    </w:p>
    <w:p w:rsidR="005205B7" w:rsidP="0087102C">
      <w:pPr>
        <w:pStyle w:val="BodyText"/>
      </w:pPr>
    </w:p>
    <w:p w:rsidR="00000000" w:rsidRPr="0087102C" w:rsidP="0087102C">
      <w:pPr>
        <w:pStyle w:val="Heading1"/>
      </w:pPr>
      <w:bookmarkStart w:id="10" w:name="O_248171"/>
      <w:bookmarkEnd w:id="10"/>
      <w:r w:rsidRPr="0087102C">
        <w:t>Evidence Guide</w:t>
      </w:r>
    </w:p>
    <w:tbl>
      <w:tblPr>
        <w:tblW w:w="0" w:type="auto"/>
        <w:tblLayout w:type="fixed"/>
        <w:tblCellMar>
          <w:left w:w="62" w:type="dxa"/>
          <w:right w:w="62" w:type="dxa"/>
        </w:tblCellMar>
        <w:tblLook w:val="0000"/>
      </w:tblPr>
      <w:tblGrid>
        <w:gridCol w:w="2253"/>
        <w:gridCol w:w="751"/>
        <w:gridCol w:w="939"/>
        <w:gridCol w:w="1689"/>
        <w:gridCol w:w="3008"/>
      </w:tblGrid>
      <w:tr w:rsidTr="005205B7">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rPr>
                <w:rStyle w:val="SpecialBold"/>
              </w:rPr>
              <w:t>EVIDENCE GUIDE</w:t>
            </w:r>
          </w:p>
        </w:tc>
      </w:tr>
      <w:tr w:rsidTr="005205B7">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rPr>
                <w:rStyle w:val="SpecialBold"/>
              </w:rPr>
              <w:t>9</w:t>
            </w:r>
            <w:r w:rsidRPr="0087102C">
              <w:t xml:space="preserve">) This provides essential advice for assessment of the unit of competency and must be read in conjunction </w:t>
            </w:r>
            <w:r w:rsidRPr="0087102C">
              <w:t>with the Performance Criteria and the range statement of the unit of competency and the Training Package Assessment Guidelines.</w:t>
            </w:r>
          </w:p>
          <w:p w:rsidR="00000000" w:rsidP="0087102C">
            <w:pPr>
              <w:pStyle w:val="BodyText"/>
              <w:rPr>
                <w:lang w:val="en-NZ"/>
              </w:rPr>
            </w:pPr>
            <w:r w:rsidRPr="0087102C">
              <w:t>The Evidence Guide forms an integral part of this Competency Standard Unit and shall be used in conjunction with all component p</w:t>
            </w:r>
            <w:r w:rsidRPr="0087102C">
              <w:t>arts of this unit and, performed in accordance with the Assessment Guidelines of this Training Package.</w:t>
            </w:r>
          </w:p>
        </w:tc>
      </w:tr>
      <w:tr w:rsidTr="005205B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rPr>
                <w:rStyle w:val="SpecialBold"/>
              </w:rPr>
              <w:t>Overview of Assessment</w:t>
            </w:r>
          </w:p>
        </w:tc>
        <w:tc>
          <w:tcPr>
            <w:tcW w:w="6387" w:type="dxa"/>
            <w:gridSpan w:val="4"/>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rPr>
                <w:rStyle w:val="SpecialBold"/>
              </w:rPr>
              <w:t>9</w:t>
            </w:r>
            <w:r w:rsidRPr="0087102C">
              <w:t>.</w:t>
            </w:r>
            <w:r w:rsidRPr="0087102C">
              <w:rPr>
                <w:rStyle w:val="SpecialBold"/>
              </w:rPr>
              <w:t>1</w:t>
            </w:r>
            <w:r w:rsidRPr="0087102C">
              <w:t xml:space="preserve">) </w:t>
            </w:r>
          </w:p>
          <w:p w:rsidR="00000000" w:rsidRPr="0087102C" w:rsidP="0087102C">
            <w:pPr>
              <w:pStyle w:val="BodyText"/>
            </w:pPr>
            <w:r w:rsidRPr="0087102C">
              <w:t xml:space="preserve">Longitudinal competency development approaches to assessment, such as Profiling, require data to be reliably gathered </w:t>
            </w:r>
            <w:r w:rsidRPr="0087102C">
              <w:t>in a form that can be consistently interpreted over time. This approach is best utilised in Apprenticeship programs and reduces assessment intervention. It is the Industry's preferred model for apprenticeships. However, where summative (or final) assessmen</w:t>
            </w:r>
            <w:r w:rsidRPr="0087102C">
              <w:t xml:space="preserve">t is used it is to include the application of the competency in the normal work environment or, at a minimum, the application of the competency in a realistically simulated work environment. It is recognised that, in some circumstances, assessment in part </w:t>
            </w:r>
            <w:r w:rsidRPr="0087102C">
              <w:t>or full can occur outside the workplace. However, it must be in accord with Industry and, Regulatory policy in this regard.</w:t>
            </w:r>
          </w:p>
          <w:p w:rsidR="00000000" w:rsidRPr="0087102C" w:rsidP="0087102C">
            <w:pPr>
              <w:pStyle w:val="BodyText"/>
            </w:pPr>
            <w:r w:rsidRPr="0087102C">
              <w:t>Methods chosen for a particular assessment will be influenced by various factors. These include the extent of the assessment, the mo</w:t>
            </w:r>
            <w:r w:rsidRPr="0087102C">
              <w:t>st effective locations for the assessment activities to take place, access to physical resources, additional safety measures that may be required and the critical nature of the competencies being assessed.</w:t>
            </w:r>
          </w:p>
          <w:p w:rsidR="00000000" w:rsidRPr="0087102C" w:rsidP="0087102C">
            <w:pPr>
              <w:pStyle w:val="BodyText"/>
            </w:pPr>
            <w:r w:rsidRPr="0087102C">
              <w:t>The critical safety nature of working with electri</w:t>
            </w:r>
            <w:r w:rsidRPr="0087102C">
              <w:t>city, electrical equipment, gas or any other hazardous substance/material carries risk in deeming a person competent. Hence, sources of evidence need to be 'rich' in nature so as to minimise error in judgment.</w:t>
            </w:r>
          </w:p>
          <w:p w:rsidR="00000000" w:rsidP="0087102C">
            <w:pPr>
              <w:pStyle w:val="BodyText"/>
              <w:rPr>
                <w:lang w:val="en-NZ"/>
              </w:rPr>
            </w:pPr>
            <w:r w:rsidRPr="0087102C">
              <w:t>Activities assoc</w:t>
            </w:r>
            <w:r w:rsidRPr="0087102C">
              <w:t>iated with normal every day work have a bearing on the decision as to how much and how detailed the data gathered will contribute to its 'richness'. Some skills are more critical to safety and operational requirements while the same skills may be more or l</w:t>
            </w:r>
            <w:r w:rsidRPr="0087102C">
              <w:t>ess frequently practiced. These points are raised for the assessors to consider when choosing an assessment method and developing assessment instruments. Sample assessment instruments are included for Assessors in the Assessment Guidelines of this Training</w:t>
            </w:r>
            <w:r w:rsidRPr="0087102C">
              <w:t xml:space="preserve"> Package.</w:t>
            </w:r>
          </w:p>
        </w:tc>
      </w:tr>
      <w:tr w:rsidTr="005205B7">
        <w:tblPrEx>
          <w:tblW w:w="0" w:type="auto"/>
          <w:tblLayout w:type="fixed"/>
          <w:tblCellMar>
            <w:left w:w="62" w:type="dxa"/>
            <w:right w:w="62" w:type="dxa"/>
          </w:tblCellMar>
          <w:tblLook w:val="0000"/>
        </w:tblPrEx>
        <w:tc>
          <w:tcPr>
            <w:tcW w:w="2253" w:type="dxa"/>
            <w:vMerge w:val="restart"/>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rPr>
                <w:rStyle w:val="SpecialBold"/>
              </w:rPr>
              <w:t>Critical aspects of evidence required to demonstrate competency in this unit</w:t>
            </w:r>
          </w:p>
        </w:tc>
        <w:tc>
          <w:tcPr>
            <w:tcW w:w="6387" w:type="dxa"/>
            <w:gridSpan w:val="4"/>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rPr>
                <w:rStyle w:val="SpecialBold"/>
              </w:rPr>
              <w:t>9</w:t>
            </w:r>
            <w:r w:rsidRPr="0087102C">
              <w:t>.</w:t>
            </w:r>
            <w:r w:rsidRPr="0087102C">
              <w:rPr>
                <w:rStyle w:val="SpecialBold"/>
              </w:rPr>
              <w:t>2</w:t>
            </w:r>
            <w:r w:rsidRPr="0087102C">
              <w:t xml:space="preserve">) </w:t>
            </w:r>
          </w:p>
          <w:p w:rsidR="00000000" w:rsidP="0087102C">
            <w:pPr>
              <w:pStyle w:val="BodyText"/>
              <w:rPr>
                <w:lang w:val="en-NZ"/>
              </w:rPr>
            </w:pPr>
            <w:r w:rsidRPr="0087102C">
              <w:t>Before the critical aspects of evidence are considered all prerequisites shall be met.</w:t>
            </w:r>
          </w:p>
        </w:tc>
      </w:tr>
      <w:tr w:rsidTr="005205B7">
        <w:tblPrEx>
          <w:tblW w:w="0" w:type="auto"/>
          <w:tblLayout w:type="fixed"/>
          <w:tblCellMar>
            <w:left w:w="62" w:type="dxa"/>
            <w:right w:w="62" w:type="dxa"/>
          </w:tblCellMar>
          <w:tblLook w:val="0000"/>
        </w:tblPrEx>
        <w:tc>
          <w:tcPr>
            <w:tcW w:w="22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7" w:type="dxa"/>
            <w:gridSpan w:val="4"/>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t>Evidence for competence in this unit shall be considered holistical</w:t>
            </w:r>
            <w:r w:rsidRPr="0087102C">
              <w:t>ly. Each element and associated Performance Criteria shall be demonstrated on at least two occasions in accordance with the "Assessment Guidelines - UET09". Evidence shall also comprise:</w:t>
            </w:r>
          </w:p>
          <w:p w:rsidR="00000000" w:rsidP="0087102C">
            <w:pPr>
              <w:pStyle w:val="ListBullet"/>
              <w:rPr>
                <w:lang w:val="en-NZ"/>
              </w:rPr>
            </w:pPr>
            <w:r w:rsidRPr="0087102C">
              <w:t>A representative body of Performance Criteria demonstrated within the</w:t>
            </w:r>
            <w:r w:rsidRPr="0087102C">
              <w:t xml:space="preserve"> timeframes typically expected of the discipline, work function and industrial environment. In particular this shall incorporate evidence that shows a candidate is able to:</w:t>
            </w:r>
          </w:p>
        </w:tc>
      </w:tr>
      <w:tr w:rsidTr="005205B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p>
        </w:tc>
        <w:tc>
          <w:tcPr>
            <w:tcW w:w="6387" w:type="dxa"/>
            <w:gridSpan w:val="4"/>
            <w:tcBorders>
              <w:top w:val="nil"/>
              <w:left w:val="nil"/>
              <w:bottom w:val="nil"/>
              <w:right w:val="nil"/>
            </w:tcBorders>
            <w:tcMar>
              <w:top w:w="0" w:type="dxa"/>
              <w:left w:w="62" w:type="dxa"/>
              <w:bottom w:w="0" w:type="dxa"/>
              <w:right w:w="62" w:type="dxa"/>
            </w:tcMar>
          </w:tcPr>
          <w:p w:rsidR="00000000" w:rsidRPr="0087102C" w:rsidP="0087102C">
            <w:pPr>
              <w:pStyle w:val="ListBullet2"/>
            </w:pPr>
            <w:r w:rsidRPr="0087102C">
              <w:t>Implement Occupational Health and Safety workplace procedures and practices including the use of risk control measures as specified in the Performance Criteria and range; and</w:t>
            </w:r>
          </w:p>
          <w:p w:rsidR="00000000" w:rsidRPr="0087102C" w:rsidP="0087102C">
            <w:pPr>
              <w:pStyle w:val="ListBullet2"/>
            </w:pPr>
            <w:r w:rsidRPr="0087102C">
              <w:t>Apply sustainable energy principles and practices as specified in the Performance</w:t>
            </w:r>
            <w:r w:rsidRPr="0087102C">
              <w:t xml:space="preserve"> Criteria and range; and</w:t>
            </w:r>
          </w:p>
          <w:p w:rsidR="00000000" w:rsidRPr="0087102C" w:rsidP="0087102C">
            <w:pPr>
              <w:pStyle w:val="ListBullet2"/>
            </w:pPr>
            <w:r w:rsidRPr="0087102C">
              <w:t>Demonstrate an understanding of the essential knowledge and associated skills as described in this unit to such an extent that the learner's performance outcome is reported in accordance with the preferred approach; namely a percen</w:t>
            </w:r>
            <w:r w:rsidRPr="0087102C">
              <w:t>tile graded result, where required by the regulated environment; and</w:t>
            </w:r>
          </w:p>
          <w:p w:rsidR="00000000" w:rsidRPr="0087102C" w:rsidP="0087102C">
            <w:pPr>
              <w:pStyle w:val="ListBullet2"/>
            </w:pPr>
            <w:r w:rsidRPr="0087102C">
              <w:t>Demonstrate an appropriate level of employability skills; and</w:t>
            </w:r>
          </w:p>
          <w:p w:rsidR="00000000" w:rsidP="0087102C">
            <w:pPr>
              <w:pStyle w:val="ListBullet2"/>
              <w:rPr>
                <w:lang w:val="en-NZ"/>
              </w:rPr>
            </w:pPr>
            <w:r w:rsidRPr="0087102C">
              <w:t>Conduct work observing the relevant Anti Discrimination legislation, regulations, policies and workplace procedures; and</w:t>
            </w:r>
          </w:p>
        </w:tc>
      </w:tr>
      <w:tr w:rsidTr="005205B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p>
        </w:tc>
        <w:tc>
          <w:tcPr>
            <w:tcW w:w="6387" w:type="dxa"/>
            <w:gridSpan w:val="4"/>
            <w:tcBorders>
              <w:top w:val="nil"/>
              <w:left w:val="nil"/>
              <w:bottom w:val="nil"/>
              <w:right w:val="nil"/>
            </w:tcBorders>
            <w:tcMar>
              <w:top w:w="0" w:type="dxa"/>
              <w:left w:w="62" w:type="dxa"/>
              <w:bottom w:w="0" w:type="dxa"/>
              <w:right w:w="62" w:type="dxa"/>
            </w:tcMar>
          </w:tcPr>
          <w:p w:rsidR="00000000" w:rsidP="0087102C">
            <w:pPr>
              <w:pStyle w:val="ListBullet"/>
              <w:rPr>
                <w:lang w:val="en-NZ"/>
              </w:rPr>
            </w:pPr>
            <w:r w:rsidRPr="0087102C">
              <w:t>Demonstrated performance across a representative range of contexts from the prescribed items below:</w:t>
            </w:r>
          </w:p>
        </w:tc>
      </w:tr>
      <w:tr w:rsidTr="005205B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single" w:sz="6" w:space="0" w:color="auto"/>
            </w:tcBorders>
            <w:tcMar>
              <w:top w:w="0" w:type="dxa"/>
              <w:left w:w="62" w:type="dxa"/>
              <w:bottom w:w="0" w:type="dxa"/>
              <w:right w:w="62" w:type="dxa"/>
            </w:tcMar>
          </w:tcPr>
          <w:p w:rsidR="00000000" w:rsidRPr="0087102C">
            <w:pPr>
              <w:pStyle w:val="BodyText"/>
              <w:keepNext w:val="0"/>
              <w:keepLines w:val="0"/>
              <w:contextualSpacing w:val="0"/>
            </w:pPr>
          </w:p>
        </w:tc>
        <w:tc>
          <w:tcPr>
            <w:tcW w:w="5636"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2C">
            <w:pPr>
              <w:pStyle w:val="BodyText"/>
              <w:rPr>
                <w:lang w:val="en-NZ"/>
              </w:rPr>
            </w:pPr>
            <w:r w:rsidRPr="0087102C">
              <w:rPr>
                <w:rStyle w:val="SpecialBold"/>
              </w:rPr>
              <w:t>Range of tools</w:t>
            </w:r>
            <w:r w:rsidRPr="0087102C">
              <w:t>/</w:t>
            </w:r>
            <w:r w:rsidRPr="0087102C">
              <w:rPr>
                <w:rStyle w:val="SpecialBold"/>
              </w:rPr>
              <w:t>equipment</w:t>
            </w:r>
            <w:r w:rsidRPr="0087102C">
              <w:t>/</w:t>
            </w:r>
            <w:r w:rsidRPr="0087102C">
              <w:rPr>
                <w:rStyle w:val="SpecialBold"/>
              </w:rPr>
              <w:t>materials</w:t>
            </w:r>
            <w:r w:rsidRPr="0087102C">
              <w:t>/</w:t>
            </w:r>
            <w:r w:rsidRPr="0087102C">
              <w:rPr>
                <w:rStyle w:val="SpecialBold"/>
              </w:rPr>
              <w:t>procedures</w:t>
            </w:r>
            <w:r w:rsidRPr="0087102C">
              <w:t>/</w:t>
            </w:r>
            <w:r w:rsidRPr="0087102C">
              <w:rPr>
                <w:rStyle w:val="SpecialBold"/>
              </w:rPr>
              <w:t>workplaces</w:t>
            </w:r>
            <w:r w:rsidRPr="0087102C">
              <w:t>/</w:t>
            </w:r>
            <w:r w:rsidRPr="0087102C">
              <w:rPr>
                <w:rStyle w:val="SpecialBold"/>
              </w:rPr>
              <w:t>other variables</w:t>
            </w:r>
          </w:p>
        </w:tc>
      </w:tr>
      <w:tr w:rsidTr="005205B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single" w:sz="6" w:space="0" w:color="auto"/>
            </w:tcBorders>
            <w:tcMar>
              <w:top w:w="0" w:type="dxa"/>
              <w:left w:w="62" w:type="dxa"/>
              <w:bottom w:w="0" w:type="dxa"/>
              <w:right w:w="62" w:type="dxa"/>
            </w:tcMar>
          </w:tcPr>
          <w:p w:rsidR="00000000" w:rsidRPr="0087102C">
            <w:pPr>
              <w:pStyle w:val="BodyText"/>
              <w:keepNext w:val="0"/>
              <w:keepLines w:val="0"/>
              <w:contextualSpacing w:val="0"/>
            </w:pPr>
          </w:p>
        </w:tc>
        <w:tc>
          <w:tcPr>
            <w:tcW w:w="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2C" w:rsidP="0087102C">
            <w:pPr>
              <w:pStyle w:val="BodyText"/>
            </w:pPr>
            <w:r w:rsidRPr="0087102C">
              <w:rPr>
                <w:rStyle w:val="SpecialBold"/>
              </w:rPr>
              <w:t>Group No</w:t>
            </w:r>
          </w:p>
        </w:tc>
        <w:tc>
          <w:tcPr>
            <w:tcW w:w="1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2C" w:rsidP="0087102C">
            <w:pPr>
              <w:pStyle w:val="BodyText"/>
            </w:pPr>
            <w:r w:rsidRPr="0087102C">
              <w:rPr>
                <w:rStyle w:val="SpecialBold"/>
              </w:rPr>
              <w:t>The minimum number of items on which skill is to be demonstrated</w:t>
            </w:r>
          </w:p>
        </w:tc>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2C">
            <w:pPr>
              <w:pStyle w:val="BodyText"/>
              <w:rPr>
                <w:lang w:val="en-NZ"/>
              </w:rPr>
            </w:pPr>
            <w:r w:rsidRPr="0087102C">
              <w:rPr>
                <w:rStyle w:val="SpecialBold"/>
              </w:rPr>
              <w:t>Item List</w:t>
            </w:r>
          </w:p>
        </w:tc>
      </w:tr>
      <w:tr w:rsidTr="005205B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2C">
            <w:pPr>
              <w:pStyle w:val="BodyText"/>
              <w:rPr>
                <w:lang w:val="en-NZ"/>
              </w:rPr>
            </w:pPr>
            <w:r w:rsidRPr="0087102C">
              <w:t>A</w:t>
            </w:r>
          </w:p>
        </w:tc>
        <w:tc>
          <w:tcPr>
            <w:tcW w:w="1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2C">
            <w:pPr>
              <w:pStyle w:val="BodyText"/>
              <w:rPr>
                <w:lang w:val="en-NZ"/>
              </w:rPr>
            </w:pPr>
            <w:r w:rsidRPr="0087102C">
              <w:t>At least one of the following</w:t>
            </w:r>
          </w:p>
        </w:tc>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2C" w:rsidP="0087102C">
            <w:pPr>
              <w:pStyle w:val="BodyText"/>
            </w:pPr>
            <w:r w:rsidRPr="0087102C">
              <w:t>Wood pole/structure</w:t>
            </w:r>
          </w:p>
          <w:p w:rsidR="00000000" w:rsidRPr="0087102C" w:rsidP="0087102C">
            <w:pPr>
              <w:pStyle w:val="BodyText"/>
            </w:pPr>
            <w:r w:rsidRPr="0087102C">
              <w:t xml:space="preserve">Steel pole/structure </w:t>
            </w:r>
          </w:p>
          <w:p w:rsidR="00000000" w:rsidRPr="0087102C" w:rsidP="0087102C">
            <w:pPr>
              <w:pStyle w:val="BodyText"/>
            </w:pPr>
            <w:r w:rsidRPr="0087102C">
              <w:t>Concrete pole/structure</w:t>
            </w:r>
          </w:p>
          <w:p w:rsidR="00000000" w:rsidP="0087102C">
            <w:pPr>
              <w:pStyle w:val="BodyText"/>
              <w:rPr>
                <w:lang w:val="en-NZ"/>
              </w:rPr>
            </w:pPr>
            <w:r w:rsidRPr="0087102C">
              <w:t>Composite pole/structure</w:t>
            </w:r>
          </w:p>
        </w:tc>
      </w:tr>
      <w:tr w:rsidTr="005205B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2C">
            <w:pPr>
              <w:pStyle w:val="BodyText"/>
              <w:rPr>
                <w:lang w:val="en-NZ"/>
              </w:rPr>
            </w:pPr>
            <w:r w:rsidRPr="0087102C">
              <w:t>B</w:t>
            </w:r>
          </w:p>
        </w:tc>
        <w:tc>
          <w:tcPr>
            <w:tcW w:w="1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2C">
            <w:pPr>
              <w:pStyle w:val="BodyText"/>
              <w:rPr>
                <w:lang w:val="en-NZ"/>
              </w:rPr>
            </w:pPr>
            <w:r w:rsidRPr="0087102C">
              <w:t>At least three of the following:</w:t>
            </w:r>
          </w:p>
        </w:tc>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2C" w:rsidP="0087102C">
            <w:pPr>
              <w:pStyle w:val="BodyText"/>
            </w:pPr>
            <w:r w:rsidRPr="0087102C">
              <w:t>Insulators</w:t>
            </w:r>
          </w:p>
          <w:p w:rsidR="00000000" w:rsidRPr="0087102C" w:rsidP="0087102C">
            <w:pPr>
              <w:pStyle w:val="BodyText"/>
            </w:pPr>
            <w:r w:rsidRPr="0087102C">
              <w:t>Cross arm braces</w:t>
            </w:r>
          </w:p>
          <w:p w:rsidR="00000000" w:rsidRPr="0087102C" w:rsidP="0087102C">
            <w:pPr>
              <w:pStyle w:val="BodyText"/>
            </w:pPr>
            <w:r w:rsidRPr="0087102C">
              <w:t>Crossarms</w:t>
            </w:r>
          </w:p>
          <w:p w:rsidR="00000000" w:rsidRPr="0087102C" w:rsidP="0087102C">
            <w:pPr>
              <w:pStyle w:val="BodyText"/>
            </w:pPr>
            <w:r w:rsidRPr="0087102C">
              <w:t>Pole steps</w:t>
            </w:r>
          </w:p>
          <w:p w:rsidR="00000000" w:rsidRPr="0087102C" w:rsidP="0087102C">
            <w:pPr>
              <w:pStyle w:val="BodyText"/>
            </w:pPr>
            <w:r w:rsidRPr="0087102C">
              <w:t>Shackle straps</w:t>
            </w:r>
          </w:p>
          <w:p w:rsidR="00000000" w:rsidRPr="0087102C" w:rsidP="0087102C">
            <w:pPr>
              <w:pStyle w:val="BodyText"/>
            </w:pPr>
            <w:r w:rsidRPr="0087102C">
              <w:t>Earth leads</w:t>
            </w:r>
          </w:p>
          <w:p w:rsidR="00000000" w:rsidRPr="0087102C" w:rsidP="0087102C">
            <w:pPr>
              <w:pStyle w:val="BodyText"/>
            </w:pPr>
            <w:r w:rsidRPr="0087102C">
              <w:t>Traction supports</w:t>
            </w:r>
          </w:p>
          <w:p w:rsidR="00000000" w:rsidRPr="0087102C" w:rsidP="0087102C">
            <w:pPr>
              <w:pStyle w:val="BodyText"/>
            </w:pPr>
            <w:r w:rsidRPr="0087102C">
              <w:t>Traction registration</w:t>
            </w:r>
          </w:p>
          <w:p w:rsidR="00000000" w:rsidP="0087102C">
            <w:pPr>
              <w:pStyle w:val="BodyText"/>
              <w:rPr>
                <w:lang w:val="en-NZ"/>
              </w:rPr>
            </w:pPr>
            <w:r w:rsidRPr="0087102C">
              <w:t>Bonding</w:t>
            </w:r>
          </w:p>
        </w:tc>
      </w:tr>
      <w:tr w:rsidTr="005205B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2C">
            <w:pPr>
              <w:pStyle w:val="BodyText"/>
              <w:rPr>
                <w:lang w:val="en-NZ"/>
              </w:rPr>
            </w:pPr>
            <w:r w:rsidRPr="0087102C">
              <w:t>C</w:t>
            </w:r>
          </w:p>
        </w:tc>
        <w:tc>
          <w:tcPr>
            <w:tcW w:w="1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2C">
            <w:pPr>
              <w:pStyle w:val="BodyText"/>
              <w:rPr>
                <w:lang w:val="en-NZ"/>
              </w:rPr>
            </w:pPr>
            <w:r w:rsidRPr="0087102C">
              <w:t>At least one of the following:</w:t>
            </w:r>
          </w:p>
        </w:tc>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2C" w:rsidP="0087102C">
            <w:pPr>
              <w:pStyle w:val="BodyText"/>
            </w:pPr>
            <w:r w:rsidRPr="0087102C">
              <w:t xml:space="preserve">Baulking </w:t>
            </w:r>
          </w:p>
          <w:p w:rsidR="00000000" w:rsidRPr="0087102C" w:rsidP="0087102C">
            <w:pPr>
              <w:pStyle w:val="BodyText"/>
            </w:pPr>
            <w:r w:rsidRPr="0087102C">
              <w:t>Stays</w:t>
            </w:r>
          </w:p>
          <w:p w:rsidR="00000000" w:rsidP="0087102C">
            <w:pPr>
              <w:pStyle w:val="BodyText"/>
              <w:rPr>
                <w:lang w:val="en-NZ"/>
              </w:rPr>
            </w:pPr>
            <w:r w:rsidRPr="0087102C">
              <w:t>Concreting including foundation</w:t>
            </w:r>
          </w:p>
        </w:tc>
      </w:tr>
      <w:tr w:rsidTr="005205B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2C">
            <w:pPr>
              <w:pStyle w:val="BodyText"/>
              <w:rPr>
                <w:lang w:val="en-NZ"/>
              </w:rPr>
            </w:pPr>
            <w:r w:rsidRPr="0087102C">
              <w:t>D</w:t>
            </w:r>
          </w:p>
        </w:tc>
        <w:tc>
          <w:tcPr>
            <w:tcW w:w="1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2C">
            <w:pPr>
              <w:pStyle w:val="BodyText"/>
              <w:rPr>
                <w:lang w:val="en-NZ"/>
              </w:rPr>
            </w:pPr>
            <w:r w:rsidRPr="0087102C">
              <w:t>At least one of the following:</w:t>
            </w:r>
          </w:p>
        </w:tc>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2C" w:rsidP="0087102C">
            <w:pPr>
              <w:pStyle w:val="BodyText"/>
            </w:pPr>
            <w:r w:rsidRPr="0087102C">
              <w:t>Crane</w:t>
            </w:r>
          </w:p>
          <w:p w:rsidR="00000000" w:rsidRPr="0087102C" w:rsidP="0087102C">
            <w:pPr>
              <w:pStyle w:val="BodyText"/>
            </w:pPr>
            <w:r w:rsidRPr="0087102C">
              <w:t>Auger/erector</w:t>
            </w:r>
          </w:p>
          <w:p w:rsidR="00000000" w:rsidRPr="0087102C" w:rsidP="0087102C">
            <w:pPr>
              <w:pStyle w:val="BodyText"/>
            </w:pPr>
            <w:r w:rsidRPr="0087102C">
              <w:t>'A' frame</w:t>
            </w:r>
          </w:p>
          <w:p w:rsidR="00000000" w:rsidRPr="0087102C" w:rsidP="0087102C">
            <w:pPr>
              <w:pStyle w:val="BodyText"/>
            </w:pPr>
            <w:r w:rsidRPr="0087102C">
              <w:t>Lifting beam</w:t>
            </w:r>
          </w:p>
          <w:p w:rsidR="00000000" w:rsidRPr="0087102C" w:rsidP="0087102C">
            <w:pPr>
              <w:pStyle w:val="BodyText"/>
            </w:pPr>
            <w:r w:rsidRPr="0087102C">
              <w:t>Pole pikes</w:t>
            </w:r>
          </w:p>
          <w:p w:rsidR="00000000" w:rsidP="0087102C">
            <w:pPr>
              <w:pStyle w:val="BodyText"/>
              <w:rPr>
                <w:lang w:val="en-NZ"/>
              </w:rPr>
            </w:pPr>
            <w:r w:rsidRPr="0087102C">
              <w:t>Helicopter lift</w:t>
            </w:r>
          </w:p>
        </w:tc>
      </w:tr>
      <w:tr w:rsidTr="005205B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2C">
            <w:pPr>
              <w:pStyle w:val="BodyText"/>
              <w:rPr>
                <w:lang w:val="en-NZ"/>
              </w:rPr>
            </w:pPr>
            <w:r w:rsidRPr="0087102C">
              <w:t>E</w:t>
            </w:r>
          </w:p>
        </w:tc>
        <w:tc>
          <w:tcPr>
            <w:tcW w:w="1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2C">
            <w:pPr>
              <w:pStyle w:val="BodyText"/>
              <w:rPr>
                <w:lang w:val="en-NZ"/>
              </w:rPr>
            </w:pPr>
            <w:r w:rsidRPr="0087102C">
              <w:t>At least one occasion</w:t>
            </w:r>
          </w:p>
        </w:tc>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2C">
            <w:pPr>
              <w:pStyle w:val="BodyText"/>
              <w:rPr>
                <w:lang w:val="en-NZ"/>
              </w:rPr>
            </w:pPr>
            <w:r w:rsidRPr="0087102C">
              <w:t xml:space="preserve">Dealing with an unplanned event by drawing on essential knowledge and associated skills to provide appropriate solutions incorporated in the </w:t>
            </w:r>
            <w:r w:rsidRPr="0087102C">
              <w:t>holistic assessment with the above listed items.</w:t>
            </w:r>
          </w:p>
        </w:tc>
      </w:tr>
      <w:tr w:rsidTr="005205B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rPr>
                <w:rStyle w:val="SpecialBold"/>
              </w:rPr>
              <w:t>Context of and specific resources for assessment</w:t>
            </w:r>
          </w:p>
        </w:tc>
        <w:tc>
          <w:tcPr>
            <w:tcW w:w="6387" w:type="dxa"/>
            <w:gridSpan w:val="4"/>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rPr>
                <w:rStyle w:val="SpecialBold"/>
              </w:rPr>
              <w:t>9</w:t>
            </w:r>
            <w:r w:rsidRPr="0087102C">
              <w:t>.</w:t>
            </w:r>
            <w:r w:rsidRPr="0087102C">
              <w:rPr>
                <w:rStyle w:val="SpecialBold"/>
              </w:rPr>
              <w:t>3</w:t>
            </w:r>
            <w:r w:rsidRPr="0087102C">
              <w:t xml:space="preserve">) </w:t>
            </w:r>
          </w:p>
          <w:p w:rsidR="00000000" w:rsidRPr="0087102C" w:rsidP="0087102C">
            <w:pPr>
              <w:pStyle w:val="BodyText"/>
            </w:pPr>
            <w:r w:rsidRPr="0087102C">
              <w:t>This unit should be assessed as it relates to normal work practice using procedures, information and resources typical of a workplace. This should incl</w:t>
            </w:r>
            <w:r w:rsidRPr="0087102C">
              <w:t>ude:</w:t>
            </w:r>
          </w:p>
          <w:p w:rsidR="00000000" w:rsidRPr="0087102C" w:rsidP="0087102C">
            <w:pPr>
              <w:pStyle w:val="ListBullet"/>
            </w:pPr>
            <w:r w:rsidRPr="0087102C">
              <w:t>OHS policy and work procedures and instructions.</w:t>
            </w:r>
          </w:p>
          <w:p w:rsidR="00000000" w:rsidP="0087102C">
            <w:pPr>
              <w:pStyle w:val="ListBullet"/>
              <w:rPr>
                <w:lang w:val="en-NZ"/>
              </w:rPr>
            </w:pPr>
            <w:r w:rsidRPr="0087102C">
              <w:t xml:space="preserve">Suitable work environment, facilities, equipment and materials to undertake actual installation of poles and or structures and their associated hardware. </w:t>
            </w:r>
          </w:p>
        </w:tc>
      </w:tr>
      <w:tr w:rsidTr="005205B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7" w:type="dxa"/>
            <w:gridSpan w:val="4"/>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In addition to the resources listed above, in Context of and specific resources for assessment, evidence should show demonstrated competency working below ground, in limited spaces, with different structural/construction types and method and in a variety o</w:t>
            </w:r>
            <w:r w:rsidRPr="0087102C">
              <w:t xml:space="preserve">f environments. </w:t>
            </w:r>
          </w:p>
        </w:tc>
      </w:tr>
      <w:tr w:rsidTr="005205B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rPr>
                <w:rStyle w:val="SpecialBold"/>
              </w:rPr>
              <w:t>Method of assessment</w:t>
            </w:r>
          </w:p>
        </w:tc>
        <w:tc>
          <w:tcPr>
            <w:tcW w:w="6387" w:type="dxa"/>
            <w:gridSpan w:val="4"/>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rPr>
                <w:rStyle w:val="SpecialBold"/>
              </w:rPr>
              <w:t>9</w:t>
            </w:r>
            <w:r w:rsidRPr="0087102C">
              <w:t>.</w:t>
            </w:r>
            <w:r w:rsidRPr="0087102C">
              <w:rPr>
                <w:rStyle w:val="SpecialBold"/>
              </w:rPr>
              <w:t>4</w:t>
            </w:r>
            <w:r w:rsidRPr="0087102C">
              <w:t xml:space="preserve">) </w:t>
            </w:r>
          </w:p>
          <w:p w:rsidR="00000000" w:rsidRPr="0087102C" w:rsidP="0087102C">
            <w:pPr>
              <w:pStyle w:val="BodyText"/>
            </w:pPr>
            <w:r w:rsidRPr="0087102C">
              <w:t>This Competency Standard Unit shall be assessed by methods given in Volume 1, Part 3 "Assessment Guidelines".</w:t>
            </w:r>
          </w:p>
          <w:p w:rsidR="00000000" w:rsidP="0087102C">
            <w:pPr>
              <w:pStyle w:val="BodyText"/>
              <w:rPr>
                <w:lang w:val="en-NZ"/>
              </w:rPr>
            </w:pPr>
            <w:r w:rsidRPr="0087102C">
              <w:t>Note:</w:t>
            </w:r>
            <w:r w:rsidRPr="0087102C">
              <w:br/>
              <w:t>Competent performance with inherent safe working practices is expected in the Industry to wh</w:t>
            </w:r>
            <w:r w:rsidRPr="0087102C">
              <w:t xml:space="preserve">ich this Competency Standard Unit applies. This requires that the specified essential knowledge and associated skills are assessed in a structured environment which is primarily intended for learning/assessment and incorporates all necessary equipment and </w:t>
            </w:r>
            <w:r w:rsidRPr="0087102C">
              <w:t>facilities for learners to develop and demonstrate the essential knowledge and associated skills described in this unit.</w:t>
            </w:r>
          </w:p>
        </w:tc>
      </w:tr>
      <w:tr w:rsidTr="005205B7">
        <w:tblPrEx>
          <w:tblW w:w="0" w:type="auto"/>
          <w:tblLayout w:type="fixed"/>
          <w:tblCellMar>
            <w:left w:w="62" w:type="dxa"/>
            <w:right w:w="62" w:type="dxa"/>
          </w:tblCellMar>
          <w:tblLook w:val="0000"/>
        </w:tblPrEx>
        <w:tc>
          <w:tcPr>
            <w:tcW w:w="2253" w:type="dxa"/>
            <w:vMerge w:val="restart"/>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rPr>
                <w:rStyle w:val="SpecialBold"/>
              </w:rPr>
              <w:t>Concurrent assessment and relationship with other units</w:t>
            </w:r>
          </w:p>
        </w:tc>
        <w:tc>
          <w:tcPr>
            <w:tcW w:w="6387" w:type="dxa"/>
            <w:gridSpan w:val="4"/>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rPr>
                <w:rStyle w:val="SpecialBold"/>
              </w:rPr>
              <w:t>9</w:t>
            </w:r>
            <w:r w:rsidRPr="0087102C">
              <w:t>.</w:t>
            </w:r>
            <w:r w:rsidRPr="0087102C">
              <w:rPr>
                <w:rStyle w:val="SpecialBold"/>
              </w:rPr>
              <w:t>5</w:t>
            </w:r>
            <w:r w:rsidRPr="0087102C">
              <w:t>)</w:t>
            </w:r>
          </w:p>
        </w:tc>
      </w:tr>
      <w:tr w:rsidTr="005205B7">
        <w:tblPrEx>
          <w:tblW w:w="0" w:type="auto"/>
          <w:tblLayout w:type="fixed"/>
          <w:tblCellMar>
            <w:left w:w="62" w:type="dxa"/>
            <w:right w:w="62" w:type="dxa"/>
          </w:tblCellMar>
          <w:tblLook w:val="0000"/>
        </w:tblPrEx>
        <w:tc>
          <w:tcPr>
            <w:tcW w:w="22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7" w:type="dxa"/>
            <w:gridSpan w:val="4"/>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t>There are no concurrent assessment recommendations for this unit.</w:t>
            </w:r>
          </w:p>
        </w:tc>
      </w:tr>
    </w:tbl>
    <w:p w:rsidR="005205B7" w:rsidP="0087102C">
      <w:pPr>
        <w:pStyle w:val="BodyText"/>
      </w:pPr>
    </w:p>
    <w:p w:rsidR="005205B7" w:rsidP="0087102C">
      <w:pPr>
        <w:pStyle w:val="BodyText"/>
      </w:pPr>
    </w:p>
    <w:p w:rsidR="00000000" w:rsidRPr="0087102C" w:rsidP="0087102C">
      <w:pPr>
        <w:pStyle w:val="Heading1"/>
      </w:pPr>
      <w:bookmarkStart w:id="11" w:name="O_256155"/>
      <w:bookmarkEnd w:id="11"/>
      <w:r w:rsidRPr="0087102C">
        <w:t>Range Statement</w:t>
      </w:r>
    </w:p>
    <w:tbl>
      <w:tblPr>
        <w:tblW w:w="0" w:type="auto"/>
        <w:tblLayout w:type="fixed"/>
        <w:tblCellMar>
          <w:left w:w="62" w:type="dxa"/>
          <w:right w:w="62" w:type="dxa"/>
        </w:tblCellMar>
        <w:tblLook w:val="0000"/>
      </w:tblPr>
      <w:tblGrid>
        <w:gridCol w:w="2254"/>
        <w:gridCol w:w="6386"/>
      </w:tblGrid>
      <w:tr w:rsidTr="005205B7">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rPr>
                <w:rStyle w:val="SpecialBold"/>
              </w:rPr>
              <w:t>RANGE STATEMENT</w:t>
            </w:r>
          </w:p>
        </w:tc>
      </w:tr>
      <w:tr w:rsidTr="005205B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rPr>
                <w:rStyle w:val="SpecialBold"/>
              </w:rPr>
              <w:t>8</w:t>
            </w:r>
            <w:r w:rsidRPr="0087102C">
              <w:t>) This relates to the unit of competency as a whole providing the range of contexts and conditions to which the Performance Criteria ap</w:t>
            </w:r>
            <w:r w:rsidRPr="0087102C">
              <w:t>ply. It allows for different work environments and situations that will affect performance.</w:t>
            </w:r>
          </w:p>
        </w:tc>
      </w:tr>
      <w:tr w:rsidTr="005205B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t>This Competency Standard Unit shall/may be demonstrated in relation to the installation of poles and or structures which may include basic inspection, removal, re</w:t>
            </w:r>
            <w:r w:rsidRPr="0087102C">
              <w:t>pair and replacement of poles and/or structures, including welding, pole staking and rebutting.</w:t>
            </w:r>
          </w:p>
          <w:p w:rsidR="00000000" w:rsidRPr="0087102C" w:rsidP="0087102C">
            <w:pPr>
              <w:pStyle w:val="BodyText"/>
            </w:pPr>
            <w:r w:rsidRPr="0087102C">
              <w:t>Equipment may include:</w:t>
            </w:r>
          </w:p>
          <w:p w:rsidR="00000000" w:rsidRPr="0087102C" w:rsidP="0087102C">
            <w:pPr>
              <w:pStyle w:val="BodyText"/>
            </w:pPr>
            <w:r w:rsidRPr="0087102C">
              <w:t>Pole types and structures may include wood, concrete, steel and composite.</w:t>
            </w:r>
          </w:p>
          <w:p w:rsidR="00000000" w:rsidRPr="0087102C" w:rsidP="0087102C">
            <w:pPr>
              <w:pStyle w:val="BodyText"/>
            </w:pPr>
            <w:r w:rsidRPr="0087102C">
              <w:t xml:space="preserve">Maintenance may include the basic inspection, removal, repair </w:t>
            </w:r>
            <w:r w:rsidRPr="0087102C">
              <w:t>and replacement of poles including welding, pole staking and rebutting.</w:t>
            </w:r>
          </w:p>
          <w:p w:rsidR="00000000" w:rsidRPr="0087102C" w:rsidP="0087102C">
            <w:pPr>
              <w:pStyle w:val="BodyText"/>
            </w:pPr>
            <w:r w:rsidRPr="0087102C">
              <w:t>Associated hardware includes insulators, crossarms, stays, earth down leads and bond wires, crossarm braces, pole steps, shackle straps and associated bolts and clamps, cantilever asse</w:t>
            </w:r>
            <w:r w:rsidRPr="0087102C">
              <w:t>mbly, pull off, head span, portal, drop tube</w:t>
            </w:r>
          </w:p>
          <w:p w:rsidR="00000000" w:rsidRPr="0087102C" w:rsidP="0087102C">
            <w:pPr>
              <w:pStyle w:val="BodyText"/>
            </w:pPr>
            <w:r w:rsidRPr="0087102C">
              <w:t>Pole stabilisation techniques include back-fill consolidation, concreting, baulking, reinforcement nailing, approved steel reinforcing and temporary and permanent stay-wires.</w:t>
            </w:r>
          </w:p>
          <w:p w:rsidR="00000000" w:rsidRPr="0087102C" w:rsidP="0087102C">
            <w:pPr>
              <w:pStyle w:val="BodyText"/>
            </w:pPr>
            <w:r w:rsidRPr="0087102C">
              <w:t>Methods of erection may include crane, auger/erector, winch/'A' frame, lifting apparatus and helicopter lift.</w:t>
            </w:r>
          </w:p>
          <w:p w:rsidR="00000000" w:rsidP="0087102C">
            <w:pPr>
              <w:pStyle w:val="BodyText"/>
              <w:rPr>
                <w:lang w:val="en-NZ"/>
              </w:rPr>
            </w:pPr>
            <w:r w:rsidRPr="0087102C">
              <w:t>The following constants and variables included in the element/Performance Criteria in this unit are fully described in the Definitions Section 1 o</w:t>
            </w:r>
            <w:r w:rsidRPr="0087102C">
              <w:t>f this volume and form an integral part of the Range Statement of this unit:</w:t>
            </w:r>
          </w:p>
        </w:tc>
      </w:tr>
      <w:tr w:rsidTr="005205B7">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p>
        </w:tc>
        <w:tc>
          <w:tcPr>
            <w:tcW w:w="6386" w:type="dxa"/>
            <w:tcBorders>
              <w:top w:val="nil"/>
              <w:left w:val="nil"/>
              <w:bottom w:val="nil"/>
              <w:right w:val="nil"/>
            </w:tcBorders>
            <w:tcMar>
              <w:top w:w="0" w:type="dxa"/>
              <w:left w:w="62" w:type="dxa"/>
              <w:bottom w:w="0" w:type="dxa"/>
              <w:right w:w="62" w:type="dxa"/>
            </w:tcMar>
          </w:tcPr>
          <w:p w:rsidR="00000000" w:rsidRPr="0087102C" w:rsidP="0087102C">
            <w:pPr>
              <w:pStyle w:val="ListBullet"/>
            </w:pPr>
            <w:r w:rsidRPr="0087102C">
              <w:t>Appropriate and relevant persons (see Personnel)</w:t>
            </w:r>
          </w:p>
          <w:p w:rsidR="00000000" w:rsidRPr="0087102C" w:rsidP="0087102C">
            <w:pPr>
              <w:pStyle w:val="ListBullet"/>
            </w:pPr>
            <w:r w:rsidRPr="0087102C">
              <w:t>Appropriate authorities</w:t>
            </w:r>
          </w:p>
          <w:p w:rsidR="00000000" w:rsidRPr="0087102C" w:rsidP="0087102C">
            <w:pPr>
              <w:pStyle w:val="ListBullet"/>
            </w:pPr>
            <w:r w:rsidRPr="0087102C">
              <w:t>Appropriate work platform</w:t>
            </w:r>
          </w:p>
          <w:p w:rsidR="00000000" w:rsidRPr="0087102C" w:rsidP="0087102C">
            <w:pPr>
              <w:pStyle w:val="ListBullet"/>
            </w:pPr>
            <w:r w:rsidRPr="0087102C">
              <w:t>Assessing risk</w:t>
            </w:r>
          </w:p>
          <w:p w:rsidR="00000000" w:rsidRPr="0087102C" w:rsidP="0087102C">
            <w:pPr>
              <w:pStyle w:val="ListBullet"/>
            </w:pPr>
            <w:r w:rsidRPr="0087102C">
              <w:t>Assessment</w:t>
            </w:r>
          </w:p>
          <w:p w:rsidR="00000000" w:rsidRPr="0087102C" w:rsidP="0087102C">
            <w:pPr>
              <w:pStyle w:val="ListBullet"/>
            </w:pPr>
            <w:r w:rsidRPr="0087102C">
              <w:t>Authorisation</w:t>
            </w:r>
          </w:p>
          <w:p w:rsidR="00000000" w:rsidRPr="0087102C" w:rsidP="0087102C">
            <w:pPr>
              <w:pStyle w:val="ListBullet"/>
            </w:pPr>
            <w:r w:rsidRPr="0087102C">
              <w:t>Confined space</w:t>
            </w:r>
          </w:p>
          <w:p w:rsidR="00000000" w:rsidRPr="0087102C" w:rsidP="0087102C">
            <w:pPr>
              <w:pStyle w:val="ListBullet"/>
            </w:pPr>
            <w:r w:rsidRPr="0087102C">
              <w:t>Diagnostic, testing an</w:t>
            </w:r>
            <w:r w:rsidRPr="0087102C">
              <w:t>d restoration</w:t>
            </w:r>
          </w:p>
          <w:p w:rsidR="00000000" w:rsidRPr="0087102C" w:rsidP="0087102C">
            <w:pPr>
              <w:pStyle w:val="ListBullet"/>
            </w:pPr>
            <w:r w:rsidRPr="0087102C">
              <w:t>Documenting detail work events, record keeping and or storage of information</w:t>
            </w:r>
          </w:p>
          <w:p w:rsidR="00000000" w:rsidRPr="0087102C" w:rsidP="0087102C">
            <w:pPr>
              <w:pStyle w:val="ListBullet"/>
            </w:pPr>
            <w:r w:rsidRPr="0087102C">
              <w:t>Drawings and specifications</w:t>
            </w:r>
          </w:p>
          <w:p w:rsidR="00000000" w:rsidRPr="0087102C" w:rsidP="0087102C">
            <w:pPr>
              <w:pStyle w:val="ListBullet"/>
            </w:pPr>
            <w:r w:rsidRPr="0087102C">
              <w:t>Emergency</w:t>
            </w:r>
          </w:p>
          <w:p w:rsidR="00000000" w:rsidRPr="0087102C" w:rsidP="0087102C">
            <w:pPr>
              <w:pStyle w:val="ListBullet"/>
            </w:pPr>
            <w:r w:rsidRPr="0087102C">
              <w:t>Environmental and sustainable energy procedures</w:t>
            </w:r>
          </w:p>
          <w:p w:rsidR="00000000" w:rsidRPr="0087102C" w:rsidP="0087102C">
            <w:pPr>
              <w:pStyle w:val="ListBullet"/>
            </w:pPr>
            <w:r w:rsidRPr="0087102C">
              <w:t>Environmental legislation</w:t>
            </w:r>
          </w:p>
          <w:p w:rsidR="00000000" w:rsidRPr="0087102C" w:rsidP="0087102C">
            <w:pPr>
              <w:pStyle w:val="ListBullet"/>
            </w:pPr>
            <w:r w:rsidRPr="0087102C">
              <w:t>Environmental management documentation</w:t>
            </w:r>
          </w:p>
          <w:p w:rsidR="00000000" w:rsidRPr="0087102C" w:rsidP="0087102C">
            <w:pPr>
              <w:pStyle w:val="ListBullet"/>
            </w:pPr>
            <w:r w:rsidRPr="0087102C">
              <w:t>Established procedures</w:t>
            </w:r>
          </w:p>
          <w:p w:rsidR="00000000" w:rsidRPr="0087102C" w:rsidP="0087102C">
            <w:pPr>
              <w:pStyle w:val="ListBullet"/>
            </w:pPr>
            <w:r w:rsidRPr="0087102C">
              <w:t>Fall prevention</w:t>
            </w:r>
          </w:p>
          <w:p w:rsidR="00000000" w:rsidRPr="0087102C" w:rsidP="0087102C">
            <w:pPr>
              <w:pStyle w:val="ListBullet"/>
            </w:pPr>
            <w:r w:rsidRPr="0087102C">
              <w:t>Hazards</w:t>
            </w:r>
          </w:p>
          <w:p w:rsidR="00000000" w:rsidRPr="0087102C" w:rsidP="0087102C">
            <w:pPr>
              <w:pStyle w:val="ListBullet"/>
            </w:pPr>
            <w:r w:rsidRPr="0087102C">
              <w:t>Identifying hazards</w:t>
            </w:r>
          </w:p>
          <w:p w:rsidR="00000000" w:rsidRPr="0087102C" w:rsidP="0087102C">
            <w:pPr>
              <w:pStyle w:val="ListBullet"/>
            </w:pPr>
            <w:r w:rsidRPr="0087102C">
              <w:t>Inspect</w:t>
            </w:r>
          </w:p>
          <w:p w:rsidR="00000000" w:rsidRPr="0087102C" w:rsidP="0087102C">
            <w:pPr>
              <w:pStyle w:val="ListBullet"/>
            </w:pPr>
            <w:r w:rsidRPr="0087102C">
              <w:t>Legislation</w:t>
            </w:r>
          </w:p>
          <w:p w:rsidR="00000000" w:rsidRPr="0087102C" w:rsidP="0087102C">
            <w:pPr>
              <w:pStyle w:val="ListBullet"/>
            </w:pPr>
            <w:r w:rsidRPr="0087102C">
              <w:t>MSDS</w:t>
            </w:r>
          </w:p>
          <w:p w:rsidR="00000000" w:rsidRPr="0087102C" w:rsidP="0087102C">
            <w:pPr>
              <w:pStyle w:val="ListBullet"/>
            </w:pPr>
            <w:r w:rsidRPr="0087102C">
              <w:t>Notification</w:t>
            </w:r>
          </w:p>
          <w:p w:rsidR="00000000" w:rsidRPr="0087102C" w:rsidP="0087102C">
            <w:pPr>
              <w:pStyle w:val="ListBullet"/>
            </w:pPr>
            <w:r w:rsidRPr="0087102C">
              <w:t>OHS practices</w:t>
            </w:r>
          </w:p>
          <w:p w:rsidR="00000000" w:rsidRPr="0087102C" w:rsidP="0087102C">
            <w:pPr>
              <w:pStyle w:val="ListBullet"/>
            </w:pPr>
            <w:r w:rsidRPr="0087102C">
              <w:t>OHS issues</w:t>
            </w:r>
          </w:p>
          <w:p w:rsidR="00000000" w:rsidRPr="0087102C" w:rsidP="0087102C">
            <w:pPr>
              <w:pStyle w:val="ListBullet"/>
            </w:pPr>
            <w:r w:rsidRPr="0087102C">
              <w:t>Permits and/or permits to work</w:t>
            </w:r>
          </w:p>
          <w:p w:rsidR="00000000" w:rsidRPr="0087102C" w:rsidP="0087102C">
            <w:pPr>
              <w:pStyle w:val="ListBullet"/>
            </w:pPr>
            <w:r w:rsidRPr="0087102C">
              <w:t>Personnel</w:t>
            </w:r>
          </w:p>
          <w:p w:rsidR="00000000" w:rsidRPr="0087102C" w:rsidP="0087102C">
            <w:pPr>
              <w:pStyle w:val="ListBullet"/>
            </w:pPr>
            <w:r w:rsidRPr="0087102C">
              <w:t>Quality assurance systems</w:t>
            </w:r>
          </w:p>
          <w:p w:rsidR="00000000" w:rsidRPr="0087102C" w:rsidP="0087102C">
            <w:pPr>
              <w:pStyle w:val="ListBullet"/>
            </w:pPr>
            <w:r w:rsidRPr="0087102C">
              <w:t>Requirements</w:t>
            </w:r>
          </w:p>
          <w:p w:rsidR="00000000" w:rsidRPr="0087102C" w:rsidP="0087102C">
            <w:pPr>
              <w:pStyle w:val="ListBullet"/>
            </w:pPr>
            <w:r w:rsidRPr="0087102C">
              <w:t>Testing procedures</w:t>
            </w:r>
          </w:p>
          <w:p w:rsidR="00000000" w:rsidRPr="0087102C" w:rsidP="0087102C">
            <w:pPr>
              <w:pStyle w:val="ListBullet"/>
            </w:pPr>
            <w:r w:rsidRPr="0087102C">
              <w:t>Work clearance systems</w:t>
            </w:r>
          </w:p>
        </w:tc>
      </w:tr>
    </w:tbl>
    <w:p w:rsidR="005205B7" w:rsidP="0087102C">
      <w:pPr>
        <w:pStyle w:val="BodyText"/>
      </w:pPr>
    </w:p>
    <w:p w:rsidR="005205B7" w:rsidP="0087102C">
      <w:pPr>
        <w:pStyle w:val="BodyText"/>
      </w:pPr>
    </w:p>
    <w:p w:rsidR="00000000" w:rsidRPr="0087102C" w:rsidP="0087102C">
      <w:pPr>
        <w:pStyle w:val="Heading1"/>
      </w:pPr>
      <w:bookmarkStart w:id="12" w:name="O_297168"/>
      <w:bookmarkEnd w:id="12"/>
      <w:r w:rsidRPr="0087102C">
        <w:t>Unit Sector(s)</w:t>
      </w:r>
    </w:p>
    <w:p w:rsidR="00000000" w:rsidRPr="0087102C" w:rsidP="0087102C">
      <w:pPr>
        <w:pStyle w:val="BodyText"/>
      </w:pPr>
      <w:r w:rsidRPr="0087102C">
        <w:t>Not Applicable</w:t>
      </w:r>
    </w:p>
    <w:p w:rsidR="00000000" w:rsidRPr="0087102C" w:rsidP="0087102C">
      <w:pPr>
        <w:pStyle w:val="AllowPageBreak"/>
      </w:pPr>
    </w:p>
    <w:p w:rsidR="00000000" w:rsidRPr="0087102C" w:rsidP="0087102C">
      <w:pPr>
        <w:pStyle w:val="Heading1"/>
      </w:pPr>
      <w:bookmarkStart w:id="13" w:name="O_231469"/>
      <w:bookmarkEnd w:id="13"/>
      <w:r w:rsidRPr="0087102C">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5205B7">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rPr>
                <w:rStyle w:val="SpecialBold"/>
              </w:rPr>
              <w:t>2</w:t>
            </w:r>
            <w:r w:rsidRPr="0087102C">
              <w:t>.</w:t>
            </w:r>
            <w:r w:rsidRPr="0087102C">
              <w:rPr>
                <w:rStyle w:val="SpecialBold"/>
              </w:rPr>
              <w:t>2</w:t>
            </w:r>
            <w:r w:rsidRPr="0087102C">
              <w:t xml:space="preserve">) </w:t>
            </w:r>
            <w:r w:rsidRPr="0087102C">
              <w:rPr>
                <w:rStyle w:val="SpecialBold"/>
              </w:rPr>
              <w:t>Literacy and numeracy skills</w:t>
            </w:r>
          </w:p>
          <w:p w:rsidR="00000000" w:rsidP="0087102C">
            <w:pPr>
              <w:pStyle w:val="BodyText"/>
              <w:rPr>
                <w:lang w:val="en-NZ"/>
              </w:rPr>
            </w:pPr>
            <w:r w:rsidRPr="0087102C">
              <w:t>Participants are best equipped to achieve this unit if they have reading, writing and numeracy skills indicated by the following scales.</w:t>
            </w:r>
            <w:r w:rsidRPr="0087102C">
              <w:t xml:space="preserve"> Description of each scale is given in Volume 2, Part 3 "Literacy and Numeracy"</w:t>
            </w:r>
          </w:p>
        </w:tc>
      </w:tr>
      <w:tr w:rsidTr="005205B7">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Reading</w:t>
            </w:r>
          </w:p>
        </w:tc>
        <w:tc>
          <w:tcPr>
            <w:tcW w:w="1207"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3</w:t>
            </w:r>
          </w:p>
        </w:tc>
        <w:tc>
          <w:tcPr>
            <w:tcW w:w="1776"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Writing</w:t>
            </w:r>
          </w:p>
        </w:tc>
        <w:tc>
          <w:tcPr>
            <w:tcW w:w="1207"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3</w:t>
            </w:r>
          </w:p>
        </w:tc>
        <w:tc>
          <w:tcPr>
            <w:tcW w:w="1758"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t>Numeracy</w:t>
            </w:r>
          </w:p>
        </w:tc>
        <w:tc>
          <w:tcPr>
            <w:tcW w:w="1207" w:type="dxa"/>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t>3</w:t>
            </w:r>
          </w:p>
        </w:tc>
      </w:tr>
    </w:tbl>
    <w:p w:rsidR="005205B7" w:rsidP="0087102C">
      <w:pPr>
        <w:pStyle w:val="BodyText"/>
      </w:pPr>
    </w:p>
    <w:p w:rsidR="005205B7" w:rsidP="0087102C">
      <w:pPr>
        <w:pStyle w:val="BodyText"/>
      </w:pPr>
    </w:p>
    <w:p w:rsidR="00000000" w:rsidRPr="0087102C" w:rsidP="0087102C">
      <w:pPr>
        <w:pStyle w:val="Heading1"/>
      </w:pPr>
      <w:bookmarkStart w:id="14" w:name="O_231472"/>
      <w:bookmarkEnd w:id="14"/>
      <w:r w:rsidRPr="0087102C">
        <w:t>Competency Field</w:t>
      </w:r>
    </w:p>
    <w:tbl>
      <w:tblPr>
        <w:tblW w:w="0" w:type="auto"/>
        <w:tblLayout w:type="fixed"/>
        <w:tblCellMar>
          <w:left w:w="62" w:type="dxa"/>
          <w:right w:w="62" w:type="dxa"/>
        </w:tblCellMar>
        <w:tblLook w:val="0000"/>
      </w:tblPr>
      <w:tblGrid>
        <w:gridCol w:w="2758"/>
        <w:gridCol w:w="5882"/>
      </w:tblGrid>
      <w:tr w:rsidTr="005205B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87102C">
            <w:pPr>
              <w:pStyle w:val="BodyText"/>
              <w:rPr>
                <w:lang w:val="en-NZ"/>
              </w:rPr>
            </w:pPr>
            <w:r w:rsidRPr="0087102C">
              <w:rPr>
                <w:rStyle w:val="SpecialBold"/>
              </w:rPr>
              <w:t>5</w:t>
            </w:r>
            <w:r w:rsidRPr="0087102C">
              <w:t>)</w:t>
            </w:r>
          </w:p>
        </w:tc>
      </w:tr>
      <w:tr w:rsidTr="005205B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87102C" w:rsidP="0087102C">
            <w:pPr>
              <w:pStyle w:val="BodyText"/>
            </w:pPr>
            <w:r w:rsidRPr="0087102C">
              <w:t>Industry Specific Cross-Discipline Units</w:t>
            </w:r>
          </w:p>
        </w:tc>
      </w:tr>
    </w:tbl>
    <w:p w:rsidR="005205B7" w:rsidP="0087102C">
      <w:pPr>
        <w:pStyle w:val="BodyText"/>
      </w:pPr>
    </w:p>
    <w:p w:rsidR="005205B7" w:rsidP="0087102C">
      <w:pPr>
        <w:pStyle w:val="BodyText"/>
      </w:pPr>
    </w:p>
    <w:p w:rsidR="00000000" w:rsidRPr="0087102C" w:rsidP="0087102C"/>
    <w:sectPr w:rsidSect="008710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0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05B7" w:rsidP="005205B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0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5B7" w:rsidP="0087102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5205B7" w:rsidP="008710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205B7" w:rsidP="008710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0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02C" w:rsidRPr="005205B7" w:rsidP="005205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0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5B7" w:rsidRPr="002D2AF8" w:rsidP="0087102C">
    <w:pPr>
      <w:pStyle w:val="Header"/>
      <w:framePr w:wrap="around"/>
    </w:pPr>
    <w:r>
      <w:fldChar w:fldCharType="begin"/>
    </w:r>
    <w:r>
      <w:instrText xml:space="preserve"> TITLE   \* MERGEFORMAT </w:instrText>
    </w:r>
    <w:r>
      <w:fldChar w:fldCharType="separate"/>
    </w:r>
    <w:r>
      <w:t>UETTDRIS12B Install and maintain poles/structures and associated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205B7" w:rsidP="008710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9225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8C3B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A8E7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0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102C"/>
    <w:pPr>
      <w:spacing w:before="360" w:after="60"/>
      <w:outlineLvl w:val="0"/>
    </w:pPr>
    <w:rPr>
      <w:sz w:val="32"/>
    </w:rPr>
  </w:style>
  <w:style w:type="paragraph" w:styleId="Heading2">
    <w:name w:val="heading 2"/>
    <w:basedOn w:val="HeadingBase"/>
    <w:next w:val="BodyText"/>
    <w:link w:val="Heading2Char"/>
    <w:qFormat/>
    <w:rsid w:val="0087102C"/>
    <w:pPr>
      <w:keepLines/>
      <w:spacing w:before="240" w:after="120"/>
      <w:outlineLvl w:val="1"/>
    </w:pPr>
    <w:rPr>
      <w:sz w:val="28"/>
      <w:szCs w:val="40"/>
    </w:rPr>
  </w:style>
  <w:style w:type="paragraph" w:styleId="Heading3">
    <w:name w:val="heading 3"/>
    <w:basedOn w:val="HeadingBase"/>
    <w:next w:val="BodyText"/>
    <w:link w:val="Heading3Char"/>
    <w:qFormat/>
    <w:rsid w:val="0087102C"/>
    <w:pPr>
      <w:spacing w:before="180" w:after="120"/>
      <w:outlineLvl w:val="2"/>
    </w:pPr>
    <w:rPr>
      <w:spacing w:val="-10"/>
      <w:kern w:val="32"/>
    </w:rPr>
  </w:style>
  <w:style w:type="paragraph" w:styleId="Heading4">
    <w:name w:val="heading 4"/>
    <w:basedOn w:val="HeadingBase"/>
    <w:next w:val="BodyText"/>
    <w:link w:val="Heading4Char"/>
    <w:qFormat/>
    <w:rsid w:val="0087102C"/>
    <w:pPr>
      <w:spacing w:before="160" w:after="120"/>
      <w:outlineLvl w:val="3"/>
    </w:pPr>
    <w:rPr>
      <w:sz w:val="22"/>
    </w:rPr>
  </w:style>
  <w:style w:type="paragraph" w:styleId="Heading5">
    <w:name w:val="heading 5"/>
    <w:basedOn w:val="HeadingBase"/>
    <w:next w:val="Normal"/>
    <w:link w:val="Heading5Char"/>
    <w:qFormat/>
    <w:rsid w:val="0087102C"/>
    <w:pPr>
      <w:spacing w:before="80"/>
      <w:outlineLvl w:val="4"/>
    </w:pPr>
    <w:rPr>
      <w:color w:val="918585"/>
      <w:sz w:val="20"/>
    </w:rPr>
  </w:style>
  <w:style w:type="paragraph" w:styleId="Heading6">
    <w:name w:val="heading 6"/>
    <w:basedOn w:val="HeadingBase"/>
    <w:next w:val="Normal"/>
    <w:link w:val="Heading6Char"/>
    <w:qFormat/>
    <w:rsid w:val="0087102C"/>
    <w:pPr>
      <w:spacing w:before="60"/>
      <w:outlineLvl w:val="5"/>
    </w:pPr>
    <w:rPr>
      <w:color w:val="918585"/>
      <w:sz w:val="20"/>
    </w:rPr>
  </w:style>
  <w:style w:type="paragraph" w:styleId="Heading7">
    <w:name w:val="heading 7"/>
    <w:basedOn w:val="Normal"/>
    <w:next w:val="Normal"/>
    <w:link w:val="Heading7Char"/>
    <w:qFormat/>
    <w:rsid w:val="0087102C"/>
    <w:pPr>
      <w:ind w:left="720"/>
      <w:outlineLvl w:val="6"/>
    </w:pPr>
    <w:rPr>
      <w:i/>
    </w:rPr>
  </w:style>
  <w:style w:type="paragraph" w:styleId="Heading8">
    <w:name w:val="heading 8"/>
    <w:basedOn w:val="Normal"/>
    <w:next w:val="Normal"/>
    <w:link w:val="Heading8Char"/>
    <w:qFormat/>
    <w:rsid w:val="0087102C"/>
    <w:pPr>
      <w:ind w:left="720"/>
      <w:outlineLvl w:val="7"/>
    </w:pPr>
    <w:rPr>
      <w:i/>
    </w:rPr>
  </w:style>
  <w:style w:type="paragraph" w:styleId="Heading9">
    <w:name w:val="heading 9"/>
    <w:basedOn w:val="Normal"/>
    <w:next w:val="Normal"/>
    <w:link w:val="Heading9Char"/>
    <w:qFormat/>
    <w:rsid w:val="0087102C"/>
    <w:pPr>
      <w:ind w:left="720"/>
      <w:outlineLvl w:val="8"/>
    </w:pPr>
    <w:rPr>
      <w:i/>
    </w:rPr>
  </w:style>
  <w:style w:type="character" w:default="1" w:styleId="DefaultParagraphFont">
    <w:name w:val="Default Paragraph Font"/>
    <w:uiPriority w:val="1"/>
    <w:unhideWhenUsed/>
    <w:rsid w:val="008710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02C"/>
  </w:style>
  <w:style w:type="character" w:customStyle="1" w:styleId="Heading1Char">
    <w:name w:val="Heading 1 Char"/>
    <w:basedOn w:val="DefaultParagraphFont"/>
    <w:link w:val="Heading1"/>
    <w:rsid w:val="0087102C"/>
    <w:rPr>
      <w:rFonts w:ascii="Times New Roman" w:eastAsia="Times New Roman" w:hAnsi="Times New Roman" w:cs="Times New Roman"/>
      <w:b/>
      <w:sz w:val="32"/>
      <w:szCs w:val="20"/>
      <w:lang w:eastAsia="en-US"/>
    </w:rPr>
  </w:style>
  <w:style w:type="paragraph" w:styleId="BodyText">
    <w:name w:val="Body Text"/>
    <w:basedOn w:val="Normal"/>
    <w:link w:val="BodyTextChar"/>
    <w:rsid w:val="008710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102C"/>
    <w:rPr>
      <w:rFonts w:ascii="Times New Roman" w:eastAsia="Times New Roman" w:hAnsi="Times New Roman" w:cs="Times New Roman"/>
      <w:sz w:val="24"/>
      <w:lang w:eastAsia="en-US"/>
    </w:rPr>
  </w:style>
  <w:style w:type="paragraph" w:styleId="Footer">
    <w:name w:val="footer"/>
    <w:basedOn w:val="Normal"/>
    <w:link w:val="FooterChar"/>
    <w:rsid w:val="008710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102C"/>
    <w:rPr>
      <w:rFonts w:ascii="Times New Roman" w:eastAsia="Times New Roman" w:hAnsi="Times New Roman" w:cs="Times New Roman"/>
      <w:sz w:val="16"/>
      <w:lang w:eastAsia="en-US"/>
    </w:rPr>
  </w:style>
  <w:style w:type="paragraph" w:styleId="ListBullet">
    <w:name w:val="List Bullet"/>
    <w:basedOn w:val="List"/>
    <w:rsid w:val="0087102C"/>
    <w:pPr>
      <w:numPr>
        <w:numId w:val="13"/>
      </w:numPr>
      <w:tabs>
        <w:tab w:val="clear" w:pos="340"/>
      </w:tabs>
      <w:spacing w:before="40" w:after="40"/>
    </w:pPr>
  </w:style>
  <w:style w:type="character" w:customStyle="1" w:styleId="SpecialBold">
    <w:name w:val="Special Bold"/>
    <w:basedOn w:val="DefaultParagraphFont"/>
    <w:rsid w:val="0087102C"/>
    <w:rPr>
      <w:b/>
      <w:spacing w:val="0"/>
    </w:rPr>
  </w:style>
  <w:style w:type="paragraph" w:styleId="ListBullet2">
    <w:name w:val="List Bullet 2"/>
    <w:basedOn w:val="List2"/>
    <w:rsid w:val="0087102C"/>
    <w:pPr>
      <w:numPr>
        <w:numId w:val="14"/>
      </w:numPr>
      <w:tabs>
        <w:tab w:val="clear" w:pos="680"/>
      </w:tabs>
    </w:pPr>
  </w:style>
  <w:style w:type="paragraph" w:customStyle="1" w:styleId="SuperHeading">
    <w:name w:val="SuperHeading"/>
    <w:basedOn w:val="Normal"/>
    <w:rsid w:val="0087102C"/>
    <w:pPr>
      <w:spacing w:before="240" w:after="120"/>
      <w:outlineLvl w:val="0"/>
    </w:pPr>
    <w:rPr>
      <w:rFonts w:ascii="Times New Roman" w:hAnsi="Times New Roman"/>
      <w:b/>
      <w:sz w:val="28"/>
    </w:rPr>
  </w:style>
  <w:style w:type="paragraph" w:customStyle="1" w:styleId="AllowPageBreak">
    <w:name w:val="AllowPageBreak"/>
    <w:rsid w:val="008710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10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10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10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10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10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10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10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102C"/>
    <w:rPr>
      <w:rFonts w:ascii="Courier New" w:eastAsia="Times New Roman" w:hAnsi="Courier New" w:cs="Times New Roman"/>
      <w:i/>
      <w:szCs w:val="20"/>
      <w:lang w:eastAsia="en-US"/>
    </w:rPr>
  </w:style>
  <w:style w:type="paragraph" w:customStyle="1" w:styleId="HeadingBase">
    <w:name w:val="Heading Base"/>
    <w:rsid w:val="008710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102C"/>
    <w:pPr>
      <w:tabs>
        <w:tab w:val="right" w:leader="dot" w:pos="9072"/>
      </w:tabs>
      <w:ind w:left="567"/>
    </w:pPr>
    <w:rPr>
      <w:szCs w:val="22"/>
    </w:rPr>
  </w:style>
  <w:style w:type="paragraph" w:customStyle="1" w:styleId="TOCBase">
    <w:name w:val="TOC Base"/>
    <w:rsid w:val="008710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102C"/>
    <w:pPr>
      <w:tabs>
        <w:tab w:val="right" w:leader="dot" w:pos="9072"/>
      </w:tabs>
      <w:spacing w:before="40" w:after="40"/>
      <w:ind w:left="284"/>
    </w:pPr>
    <w:rPr>
      <w:rFonts w:ascii="Times New Roman" w:hAnsi="Times New Roman"/>
    </w:rPr>
  </w:style>
  <w:style w:type="paragraph" w:styleId="TOC1">
    <w:name w:val="toc 1"/>
    <w:basedOn w:val="TOCBase"/>
    <w:next w:val="Normal"/>
    <w:rsid w:val="008710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102C"/>
    <w:pPr>
      <w:spacing w:before="5040"/>
      <w:jc w:val="center"/>
    </w:pPr>
    <w:rPr>
      <w:sz w:val="48"/>
      <w:szCs w:val="72"/>
      <w:lang w:val="en-US"/>
    </w:rPr>
  </w:style>
  <w:style w:type="character" w:customStyle="1" w:styleId="TitleChar">
    <w:name w:val="Title Char"/>
    <w:basedOn w:val="DefaultParagraphFont"/>
    <w:link w:val="Title"/>
    <w:rsid w:val="008710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102C"/>
    <w:pPr>
      <w:tabs>
        <w:tab w:val="left" w:pos="3600"/>
        <w:tab w:val="left" w:pos="3958"/>
      </w:tabs>
    </w:pPr>
  </w:style>
  <w:style w:type="paragraph" w:styleId="List">
    <w:name w:val="List"/>
    <w:basedOn w:val="BodyText"/>
    <w:next w:val="BodyText"/>
    <w:rsid w:val="0087102C"/>
    <w:pPr>
      <w:tabs>
        <w:tab w:val="left" w:pos="340"/>
      </w:tabs>
      <w:spacing w:before="60" w:after="60"/>
      <w:ind w:left="340" w:hanging="340"/>
    </w:pPr>
  </w:style>
  <w:style w:type="paragraph" w:customStyle="1" w:styleId="Note">
    <w:name w:val="Note"/>
    <w:basedOn w:val="BodyText"/>
    <w:rsid w:val="008710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102C"/>
    <w:pPr>
      <w:framePr w:wrap="auto" w:hAnchor="text" w:y="6049"/>
    </w:pPr>
    <w:rPr>
      <w:color w:val="000000"/>
      <w:sz w:val="40"/>
    </w:rPr>
  </w:style>
  <w:style w:type="paragraph" w:customStyle="1" w:styleId="TOCTitle">
    <w:name w:val="TOCTitle"/>
    <w:basedOn w:val="Heading1"/>
    <w:rsid w:val="0087102C"/>
    <w:pPr>
      <w:spacing w:after="240"/>
      <w:jc w:val="center"/>
      <w:outlineLvl w:val="9"/>
    </w:pPr>
    <w:rPr>
      <w:caps/>
    </w:rPr>
  </w:style>
  <w:style w:type="paragraph" w:customStyle="1" w:styleId="Version">
    <w:name w:val="Version"/>
    <w:rsid w:val="008710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102C"/>
    <w:pPr>
      <w:keepNext w:val="0"/>
      <w:tabs>
        <w:tab w:val="right" w:pos="4176"/>
      </w:tabs>
      <w:ind w:left="198" w:hanging="198"/>
    </w:pPr>
    <w:rPr>
      <w:rFonts w:ascii="Garamond" w:hAnsi="Garamond"/>
    </w:rPr>
  </w:style>
  <w:style w:type="paragraph" w:styleId="IndexHeading">
    <w:name w:val="index heading"/>
    <w:basedOn w:val="Normal"/>
    <w:next w:val="Index1"/>
    <w:semiHidden/>
    <w:rsid w:val="0087102C"/>
    <w:pPr>
      <w:spacing w:before="120" w:after="120"/>
    </w:pPr>
    <w:rPr>
      <w:rFonts w:ascii="Arial" w:hAnsi="Arial"/>
      <w:b/>
      <w:color w:val="918585"/>
      <w:sz w:val="24"/>
    </w:rPr>
  </w:style>
  <w:style w:type="paragraph" w:styleId="Header">
    <w:name w:val="header"/>
    <w:basedOn w:val="Normal"/>
    <w:link w:val="HeaderChar"/>
    <w:rsid w:val="008710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102C"/>
    <w:rPr>
      <w:rFonts w:ascii="Times New Roman" w:eastAsia="Times New Roman" w:hAnsi="Times New Roman" w:cs="Times New Roman"/>
      <w:sz w:val="16"/>
      <w:szCs w:val="20"/>
      <w:lang w:val="en-GB" w:eastAsia="en-US"/>
    </w:rPr>
  </w:style>
  <w:style w:type="paragraph" w:customStyle="1" w:styleId="Chapter">
    <w:name w:val="Chapter"/>
    <w:basedOn w:val="Normal"/>
    <w:rsid w:val="0087102C"/>
    <w:pPr>
      <w:spacing w:before="240"/>
    </w:pPr>
    <w:rPr>
      <w:rFonts w:ascii="Times New Roman" w:hAnsi="Times New Roman"/>
      <w:smallCaps/>
      <w:spacing w:val="80"/>
      <w:sz w:val="28"/>
    </w:rPr>
  </w:style>
  <w:style w:type="paragraph" w:customStyle="1" w:styleId="InChapter">
    <w:name w:val="InChapter"/>
    <w:basedOn w:val="Heading3"/>
    <w:rsid w:val="0087102C"/>
    <w:pPr>
      <w:spacing w:after="240"/>
      <w:outlineLvl w:val="9"/>
    </w:pPr>
    <w:rPr>
      <w:noProof/>
    </w:rPr>
  </w:style>
  <w:style w:type="paragraph" w:styleId="Index2">
    <w:name w:val="index 2"/>
    <w:basedOn w:val="Normal"/>
    <w:next w:val="Normal"/>
    <w:semiHidden/>
    <w:rsid w:val="0087102C"/>
    <w:pPr>
      <w:tabs>
        <w:tab w:val="right" w:pos="4176"/>
      </w:tabs>
      <w:ind w:left="568" w:hanging="284"/>
    </w:pPr>
    <w:rPr>
      <w:rFonts w:ascii="Garamond" w:hAnsi="Garamond"/>
    </w:rPr>
  </w:style>
  <w:style w:type="paragraph" w:customStyle="1" w:styleId="Byline">
    <w:name w:val="Byline"/>
    <w:rsid w:val="008710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102C"/>
    <w:pPr>
      <w:tabs>
        <w:tab w:val="clear" w:pos="3600"/>
        <w:tab w:val="clear" w:pos="3958"/>
      </w:tabs>
      <w:jc w:val="right"/>
    </w:pPr>
  </w:style>
  <w:style w:type="character" w:styleId="Emphasis">
    <w:name w:val="Emphasis"/>
    <w:basedOn w:val="DefaultParagraphFont"/>
    <w:qFormat/>
    <w:rsid w:val="0087102C"/>
    <w:rPr>
      <w:i/>
    </w:rPr>
  </w:style>
  <w:style w:type="paragraph" w:styleId="Caption">
    <w:name w:val="caption"/>
    <w:basedOn w:val="BodyText"/>
    <w:next w:val="Normal"/>
    <w:qFormat/>
    <w:rsid w:val="0087102C"/>
    <w:pPr>
      <w:framePr w:w="2268" w:hSpace="181" w:vSpace="181" w:wrap="around" w:vAnchor="text" w:hAnchor="page" w:x="1135" w:y="285" w:anchorLock="1"/>
    </w:pPr>
    <w:rPr>
      <w:i/>
    </w:rPr>
  </w:style>
  <w:style w:type="paragraph" w:customStyle="1" w:styleId="MiniTOCTitle">
    <w:name w:val="MiniTOCTitle"/>
    <w:basedOn w:val="Heading4"/>
    <w:rsid w:val="0087102C"/>
    <w:pPr>
      <w:spacing w:before="240"/>
      <w:outlineLvl w:val="9"/>
    </w:pPr>
    <w:rPr>
      <w:noProof/>
      <w:sz w:val="24"/>
    </w:rPr>
  </w:style>
  <w:style w:type="paragraph" w:customStyle="1" w:styleId="MiniTOCItem">
    <w:name w:val="MiniTOCItem"/>
    <w:basedOn w:val="ListBullet"/>
    <w:rsid w:val="0087102C"/>
    <w:pPr>
      <w:numPr>
        <w:numId w:val="0"/>
      </w:numPr>
      <w:tabs>
        <w:tab w:val="right" w:leader="dot" w:pos="6521"/>
      </w:tabs>
      <w:spacing w:before="0" w:after="0"/>
    </w:pPr>
  </w:style>
  <w:style w:type="paragraph" w:customStyle="1" w:styleId="TOFTitle">
    <w:name w:val="TOFTitle"/>
    <w:basedOn w:val="TOCTitle"/>
    <w:rsid w:val="0087102C"/>
  </w:style>
  <w:style w:type="paragraph" w:styleId="TableofFigures">
    <w:name w:val="table of figures"/>
    <w:basedOn w:val="Normal"/>
    <w:next w:val="Normal"/>
    <w:semiHidden/>
    <w:rsid w:val="0087102C"/>
    <w:pPr>
      <w:tabs>
        <w:tab w:val="right" w:leader="dot" w:pos="9072"/>
      </w:tabs>
      <w:ind w:left="970" w:hanging="403"/>
    </w:pPr>
    <w:rPr>
      <w:rFonts w:ascii="Times New Roman" w:hAnsi="Times New Roman"/>
      <w:b/>
    </w:rPr>
  </w:style>
  <w:style w:type="paragraph" w:styleId="ListNumber">
    <w:name w:val="List Number"/>
    <w:basedOn w:val="List"/>
    <w:rsid w:val="0087102C"/>
    <w:pPr>
      <w:numPr>
        <w:numId w:val="11"/>
      </w:numPr>
    </w:pPr>
  </w:style>
  <w:style w:type="character" w:customStyle="1" w:styleId="WingdingSymbols">
    <w:name w:val="Wingding Symbols"/>
    <w:rsid w:val="0087102C"/>
    <w:rPr>
      <w:rFonts w:ascii="Wingdings" w:hAnsi="Wingdings"/>
    </w:rPr>
  </w:style>
  <w:style w:type="paragraph" w:customStyle="1" w:styleId="TableHeading">
    <w:name w:val="Table Heading"/>
    <w:basedOn w:val="HeadingBase"/>
    <w:rsid w:val="0087102C"/>
    <w:pPr>
      <w:keepLines/>
      <w:pBdr>
        <w:bottom w:val="single" w:sz="6" w:space="1" w:color="918585"/>
      </w:pBdr>
      <w:spacing w:before="240"/>
    </w:pPr>
  </w:style>
  <w:style w:type="character" w:customStyle="1" w:styleId="HotSpot">
    <w:name w:val="HotSpot"/>
    <w:rsid w:val="0087102C"/>
    <w:rPr>
      <w:color w:val="0033CC"/>
      <w:u w:val="none"/>
    </w:rPr>
  </w:style>
  <w:style w:type="paragraph" w:customStyle="1" w:styleId="BodyTextRight">
    <w:name w:val="Body Text Right"/>
    <w:basedOn w:val="BodyText"/>
    <w:rsid w:val="0087102C"/>
    <w:pPr>
      <w:spacing w:before="0" w:after="0"/>
      <w:jc w:val="right"/>
    </w:pPr>
  </w:style>
  <w:style w:type="paragraph" w:styleId="Index3">
    <w:name w:val="index 3"/>
    <w:basedOn w:val="ListNumber2"/>
    <w:next w:val="Normal"/>
    <w:semiHidden/>
    <w:rsid w:val="0087102C"/>
    <w:pPr>
      <w:numPr>
        <w:numId w:val="0"/>
      </w:numPr>
      <w:tabs>
        <w:tab w:val="right" w:leader="dot" w:pos="4176"/>
      </w:tabs>
    </w:pPr>
  </w:style>
  <w:style w:type="paragraph" w:styleId="ListNumber2">
    <w:name w:val="List Number 2"/>
    <w:basedOn w:val="List2"/>
    <w:rsid w:val="0087102C"/>
    <w:pPr>
      <w:numPr>
        <w:numId w:val="10"/>
      </w:numPr>
      <w:tabs>
        <w:tab w:val="clear" w:pos="1060"/>
      </w:tabs>
    </w:pPr>
  </w:style>
  <w:style w:type="paragraph" w:customStyle="1" w:styleId="MarginNote">
    <w:name w:val="Margin Note"/>
    <w:basedOn w:val="BodyText"/>
    <w:rsid w:val="008710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10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10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102C"/>
    <w:rPr>
      <w:sz w:val="32"/>
    </w:rPr>
  </w:style>
  <w:style w:type="paragraph" w:customStyle="1" w:styleId="HeadingProcedure">
    <w:name w:val="Heading Procedure"/>
    <w:basedOn w:val="HeadingBase"/>
    <w:next w:val="Normal"/>
    <w:rsid w:val="0087102C"/>
    <w:pPr>
      <w:tabs>
        <w:tab w:val="left" w:pos="0"/>
      </w:tabs>
      <w:spacing w:before="120" w:after="60"/>
    </w:pPr>
    <w:rPr>
      <w:i/>
      <w:color w:val="918585"/>
      <w:sz w:val="22"/>
    </w:rPr>
  </w:style>
  <w:style w:type="paragraph" w:customStyle="1" w:styleId="TableBodyText">
    <w:name w:val="Table Body Text"/>
    <w:basedOn w:val="BodyText"/>
    <w:rsid w:val="0087102C"/>
    <w:pPr>
      <w:spacing w:before="60" w:after="60"/>
    </w:pPr>
  </w:style>
  <w:style w:type="paragraph" w:styleId="ListContinue">
    <w:name w:val="List Continue"/>
    <w:basedOn w:val="List"/>
    <w:rsid w:val="0087102C"/>
    <w:pPr>
      <w:ind w:firstLine="0"/>
    </w:pPr>
  </w:style>
  <w:style w:type="paragraph" w:customStyle="1" w:styleId="ListNote">
    <w:name w:val="List Note"/>
    <w:basedOn w:val="List"/>
    <w:rsid w:val="0087102C"/>
    <w:pPr>
      <w:pBdr>
        <w:top w:val="single" w:sz="6" w:space="2" w:color="918585"/>
        <w:bottom w:val="single" w:sz="6" w:space="2" w:color="918585"/>
      </w:pBdr>
      <w:tabs>
        <w:tab w:val="left" w:pos="1021"/>
      </w:tabs>
      <w:ind w:firstLine="0"/>
    </w:pPr>
  </w:style>
  <w:style w:type="paragraph" w:customStyle="1" w:styleId="Warning">
    <w:name w:val="Warning"/>
    <w:basedOn w:val="BodyText"/>
    <w:rsid w:val="0087102C"/>
    <w:pPr>
      <w:shd w:val="clear" w:color="auto" w:fill="D9D9D9"/>
      <w:tabs>
        <w:tab w:val="left" w:pos="992"/>
      </w:tabs>
      <w:ind w:left="119" w:right="119"/>
    </w:pPr>
    <w:rPr>
      <w:sz w:val="20"/>
    </w:rPr>
  </w:style>
  <w:style w:type="paragraph" w:customStyle="1" w:styleId="MarginIcons">
    <w:name w:val="Margin Icons"/>
    <w:basedOn w:val="BodyText"/>
    <w:rsid w:val="008710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102C"/>
    <w:rPr>
      <w:rFonts w:ascii="Courier New" w:hAnsi="Courier New"/>
    </w:rPr>
  </w:style>
  <w:style w:type="paragraph" w:customStyle="1" w:styleId="NoteBullet">
    <w:name w:val="Note Bullet"/>
    <w:basedOn w:val="Note"/>
    <w:rsid w:val="0087102C"/>
    <w:pPr>
      <w:tabs>
        <w:tab w:val="clear" w:pos="680"/>
      </w:tabs>
      <w:spacing w:before="60" w:after="60"/>
    </w:pPr>
  </w:style>
  <w:style w:type="paragraph" w:customStyle="1" w:styleId="SubHeading2">
    <w:name w:val="SubHeading2"/>
    <w:basedOn w:val="HeadingBase"/>
    <w:rsid w:val="0087102C"/>
    <w:pPr>
      <w:spacing w:before="240" w:after="60"/>
    </w:pPr>
    <w:rPr>
      <w:sz w:val="20"/>
    </w:rPr>
  </w:style>
  <w:style w:type="paragraph" w:customStyle="1" w:styleId="SubHeading1">
    <w:name w:val="SubHeading1"/>
    <w:basedOn w:val="HeadingBase"/>
    <w:rsid w:val="0087102C"/>
    <w:pPr>
      <w:spacing w:before="240" w:after="60"/>
    </w:pPr>
    <w:rPr>
      <w:color w:val="918585"/>
      <w:sz w:val="22"/>
    </w:rPr>
  </w:style>
  <w:style w:type="paragraph" w:customStyle="1" w:styleId="SideHeading">
    <w:name w:val="Side Heading"/>
    <w:basedOn w:val="HeadingBase"/>
    <w:rsid w:val="008710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102C"/>
    <w:pPr>
      <w:numPr>
        <w:numId w:val="12"/>
      </w:numPr>
    </w:pPr>
  </w:style>
  <w:style w:type="paragraph" w:styleId="PlainText">
    <w:name w:val="Plain Text"/>
    <w:basedOn w:val="Normal"/>
    <w:link w:val="PlainTextChar"/>
    <w:rsid w:val="0087102C"/>
    <w:rPr>
      <w:sz w:val="20"/>
    </w:rPr>
  </w:style>
  <w:style w:type="character" w:customStyle="1" w:styleId="PlainTextChar">
    <w:name w:val="Plain Text Char"/>
    <w:basedOn w:val="DefaultParagraphFont"/>
    <w:link w:val="PlainText"/>
    <w:rsid w:val="0087102C"/>
    <w:rPr>
      <w:rFonts w:ascii="Courier New" w:eastAsia="Times New Roman" w:hAnsi="Courier New" w:cs="Times New Roman"/>
      <w:sz w:val="20"/>
      <w:szCs w:val="20"/>
      <w:lang w:eastAsia="en-US"/>
    </w:rPr>
  </w:style>
  <w:style w:type="character" w:customStyle="1" w:styleId="MenuOption">
    <w:name w:val="Menu Option"/>
    <w:basedOn w:val="DefaultParagraphFont"/>
    <w:rsid w:val="0087102C"/>
    <w:rPr>
      <w:b/>
      <w:smallCaps/>
    </w:rPr>
  </w:style>
  <w:style w:type="paragraph" w:customStyle="1" w:styleId="TableListNumber">
    <w:name w:val="Table List Number"/>
    <w:basedOn w:val="ListNumber"/>
    <w:rsid w:val="0087102C"/>
    <w:pPr>
      <w:numPr>
        <w:numId w:val="0"/>
      </w:numPr>
    </w:pPr>
  </w:style>
  <w:style w:type="paragraph" w:styleId="TOC4">
    <w:name w:val="toc 4"/>
    <w:basedOn w:val="TOCBase"/>
    <w:next w:val="Normal"/>
    <w:semiHidden/>
    <w:rsid w:val="0087102C"/>
    <w:pPr>
      <w:tabs>
        <w:tab w:val="right" w:leader="dot" w:pos="9071"/>
      </w:tabs>
      <w:ind w:left="1701"/>
    </w:pPr>
  </w:style>
  <w:style w:type="paragraph" w:customStyle="1" w:styleId="ListAlpha">
    <w:name w:val="List Alpha"/>
    <w:basedOn w:val="List"/>
    <w:rsid w:val="0087102C"/>
    <w:pPr>
      <w:numPr>
        <w:numId w:val="9"/>
      </w:numPr>
    </w:pPr>
  </w:style>
  <w:style w:type="paragraph" w:customStyle="1" w:styleId="ListAlpha2">
    <w:name w:val="List Alpha 2"/>
    <w:basedOn w:val="List2"/>
    <w:rsid w:val="0087102C"/>
    <w:pPr>
      <w:numPr>
        <w:numId w:val="8"/>
      </w:numPr>
    </w:pPr>
  </w:style>
  <w:style w:type="paragraph" w:styleId="List2">
    <w:name w:val="List 2"/>
    <w:basedOn w:val="BodyText"/>
    <w:rsid w:val="0087102C"/>
    <w:pPr>
      <w:tabs>
        <w:tab w:val="left" w:pos="680"/>
      </w:tabs>
      <w:spacing w:before="60" w:after="60"/>
      <w:ind w:left="680" w:hanging="340"/>
    </w:pPr>
  </w:style>
  <w:style w:type="paragraph" w:styleId="List3">
    <w:name w:val="List 3"/>
    <w:basedOn w:val="BodyText"/>
    <w:rsid w:val="0087102C"/>
    <w:pPr>
      <w:tabs>
        <w:tab w:val="left" w:pos="1021"/>
      </w:tabs>
      <w:spacing w:before="60" w:after="60"/>
      <w:ind w:left="1020" w:hanging="340"/>
    </w:pPr>
  </w:style>
  <w:style w:type="paragraph" w:styleId="List4">
    <w:name w:val="List 4"/>
    <w:basedOn w:val="BodyText"/>
    <w:rsid w:val="0087102C"/>
    <w:pPr>
      <w:tabs>
        <w:tab w:val="left" w:pos="1361"/>
      </w:tabs>
      <w:spacing w:before="60" w:after="60"/>
      <w:ind w:left="1361" w:hanging="340"/>
    </w:pPr>
  </w:style>
  <w:style w:type="paragraph" w:styleId="List5">
    <w:name w:val="List 5"/>
    <w:basedOn w:val="BodyText"/>
    <w:rsid w:val="0087102C"/>
    <w:pPr>
      <w:tabs>
        <w:tab w:val="left" w:pos="1701"/>
      </w:tabs>
      <w:spacing w:before="60" w:after="60"/>
      <w:ind w:left="1701" w:hanging="340"/>
    </w:pPr>
  </w:style>
  <w:style w:type="paragraph" w:styleId="ListBullet3">
    <w:name w:val="List Bullet 3"/>
    <w:basedOn w:val="List3"/>
    <w:rsid w:val="0087102C"/>
    <w:pPr>
      <w:numPr>
        <w:numId w:val="15"/>
      </w:numPr>
      <w:tabs>
        <w:tab w:val="clear" w:pos="1021"/>
      </w:tabs>
      <w:ind w:left="1037" w:hanging="357"/>
    </w:pPr>
  </w:style>
  <w:style w:type="paragraph" w:styleId="ListBullet4">
    <w:name w:val="List Bullet 4"/>
    <w:basedOn w:val="List4"/>
    <w:rsid w:val="0087102C"/>
    <w:pPr>
      <w:numPr>
        <w:numId w:val="3"/>
      </w:numPr>
    </w:pPr>
  </w:style>
  <w:style w:type="paragraph" w:styleId="ListBullet5">
    <w:name w:val="List Bullet 5"/>
    <w:basedOn w:val="List5"/>
    <w:rsid w:val="0087102C"/>
    <w:pPr>
      <w:numPr>
        <w:numId w:val="4"/>
      </w:numPr>
    </w:pPr>
  </w:style>
  <w:style w:type="paragraph" w:styleId="ListContinue2">
    <w:name w:val="List Continue 2"/>
    <w:basedOn w:val="List2"/>
    <w:rsid w:val="0087102C"/>
    <w:pPr>
      <w:ind w:firstLine="0"/>
    </w:pPr>
  </w:style>
  <w:style w:type="paragraph" w:styleId="ListContinue3">
    <w:name w:val="List Continue 3"/>
    <w:basedOn w:val="List3"/>
    <w:rsid w:val="0087102C"/>
    <w:pPr>
      <w:ind w:left="1021" w:firstLine="0"/>
    </w:pPr>
  </w:style>
  <w:style w:type="paragraph" w:styleId="ListContinue4">
    <w:name w:val="List Continue 4"/>
    <w:basedOn w:val="List4"/>
    <w:rsid w:val="0087102C"/>
    <w:pPr>
      <w:ind w:firstLine="0"/>
    </w:pPr>
  </w:style>
  <w:style w:type="paragraph" w:styleId="ListContinue5">
    <w:name w:val="List Continue 5"/>
    <w:basedOn w:val="List5"/>
    <w:rsid w:val="0087102C"/>
    <w:pPr>
      <w:ind w:firstLine="0"/>
    </w:pPr>
  </w:style>
  <w:style w:type="paragraph" w:styleId="ListNumber3">
    <w:name w:val="List Number 3"/>
    <w:basedOn w:val="List3"/>
    <w:rsid w:val="0087102C"/>
    <w:pPr>
      <w:numPr>
        <w:numId w:val="5"/>
      </w:numPr>
    </w:pPr>
  </w:style>
  <w:style w:type="paragraph" w:styleId="ListNumber4">
    <w:name w:val="List Number 4"/>
    <w:basedOn w:val="List4"/>
    <w:rsid w:val="0087102C"/>
    <w:pPr>
      <w:numPr>
        <w:numId w:val="6"/>
      </w:numPr>
    </w:pPr>
  </w:style>
  <w:style w:type="paragraph" w:styleId="ListNumber5">
    <w:name w:val="List Number 5"/>
    <w:basedOn w:val="List5"/>
    <w:rsid w:val="0087102C"/>
    <w:pPr>
      <w:numPr>
        <w:numId w:val="7"/>
      </w:numPr>
    </w:pPr>
  </w:style>
  <w:style w:type="paragraph" w:styleId="BlockText">
    <w:name w:val="Block Text"/>
    <w:basedOn w:val="Normal"/>
    <w:rsid w:val="0087102C"/>
    <w:pPr>
      <w:spacing w:after="120"/>
      <w:ind w:left="1440" w:right="1440"/>
    </w:pPr>
  </w:style>
  <w:style w:type="character" w:customStyle="1" w:styleId="Subscript">
    <w:name w:val="Subscript"/>
    <w:basedOn w:val="DefaultParagraphFont"/>
    <w:rsid w:val="0087102C"/>
    <w:rPr>
      <w:sz w:val="16"/>
      <w:vertAlign w:val="subscript"/>
    </w:rPr>
  </w:style>
  <w:style w:type="character" w:customStyle="1" w:styleId="Superscript">
    <w:name w:val="Superscript"/>
    <w:basedOn w:val="DefaultParagraphFont"/>
    <w:rsid w:val="0087102C"/>
    <w:rPr>
      <w:sz w:val="16"/>
      <w:vertAlign w:val="superscript"/>
    </w:rPr>
  </w:style>
  <w:style w:type="character" w:customStyle="1" w:styleId="Symbols">
    <w:name w:val="Symbols"/>
    <w:basedOn w:val="DefaultParagraphFont"/>
    <w:rsid w:val="0087102C"/>
    <w:rPr>
      <w:rFonts w:ascii="Symbol" w:hAnsi="Symbol"/>
    </w:rPr>
  </w:style>
  <w:style w:type="character" w:customStyle="1" w:styleId="MenuOptions">
    <w:name w:val="Menu Options"/>
    <w:basedOn w:val="DefaultParagraphFont"/>
    <w:rsid w:val="0087102C"/>
    <w:rPr>
      <w:rFonts w:ascii="Arial Narrow" w:hAnsi="Arial Narrow"/>
      <w:smallCaps/>
    </w:rPr>
  </w:style>
  <w:style w:type="character" w:customStyle="1" w:styleId="Buttons">
    <w:name w:val="Buttons"/>
    <w:basedOn w:val="DefaultParagraphFont"/>
    <w:rsid w:val="0087102C"/>
    <w:rPr>
      <w:b/>
    </w:rPr>
  </w:style>
  <w:style w:type="character" w:customStyle="1" w:styleId="Underlined">
    <w:name w:val="Underlined"/>
    <w:basedOn w:val="DefaultParagraphFont"/>
    <w:rsid w:val="0087102C"/>
    <w:rPr>
      <w:u w:val="single"/>
    </w:rPr>
  </w:style>
  <w:style w:type="paragraph" w:customStyle="1" w:styleId="TableBodyTextRight">
    <w:name w:val="Table Body Text Right"/>
    <w:basedOn w:val="TableBodyText"/>
    <w:rsid w:val="0087102C"/>
    <w:pPr>
      <w:widowControl w:val="0"/>
      <w:autoSpaceDE w:val="0"/>
      <w:autoSpaceDN w:val="0"/>
      <w:adjustRightInd w:val="0"/>
      <w:jc w:val="right"/>
    </w:pPr>
    <w:rPr>
      <w:rFonts w:cs="Arial"/>
      <w:szCs w:val="18"/>
    </w:rPr>
  </w:style>
  <w:style w:type="paragraph" w:customStyle="1" w:styleId="CopyrightText">
    <w:name w:val="Copyright Text"/>
    <w:basedOn w:val="BodyText"/>
    <w:rsid w:val="0087102C"/>
    <w:rPr>
      <w:sz w:val="18"/>
    </w:rPr>
  </w:style>
  <w:style w:type="paragraph" w:customStyle="1" w:styleId="BodySmallRight">
    <w:name w:val="Body Small Right"/>
    <w:basedOn w:val="BodyTextRight"/>
    <w:rsid w:val="0087102C"/>
    <w:rPr>
      <w:sz w:val="18"/>
      <w:szCs w:val="18"/>
    </w:rPr>
  </w:style>
  <w:style w:type="paragraph" w:customStyle="1" w:styleId="MarginEdition">
    <w:name w:val="Margin Edition"/>
    <w:basedOn w:val="MarginNote"/>
    <w:rsid w:val="0087102C"/>
    <w:pPr>
      <w:spacing w:before="0" w:after="0"/>
    </w:pPr>
    <w:rPr>
      <w:rFonts w:ascii="Times New Roman" w:hAnsi="Times New Roman"/>
      <w:color w:val="999999"/>
    </w:rPr>
  </w:style>
  <w:style w:type="paragraph" w:customStyle="1" w:styleId="Spacer">
    <w:name w:val="Spacer"/>
    <w:basedOn w:val="Normal"/>
    <w:rsid w:val="0087102C"/>
    <w:rPr>
      <w:sz w:val="2"/>
      <w:szCs w:val="2"/>
    </w:rPr>
  </w:style>
  <w:style w:type="character" w:customStyle="1" w:styleId="Small">
    <w:name w:val="Small"/>
    <w:basedOn w:val="DefaultParagraphFont"/>
    <w:rsid w:val="0087102C"/>
    <w:rPr>
      <w:sz w:val="16"/>
    </w:rPr>
  </w:style>
  <w:style w:type="paragraph" w:customStyle="1" w:styleId="WideTable">
    <w:name w:val="Wide Table"/>
    <w:basedOn w:val="Normal"/>
    <w:rsid w:val="0087102C"/>
    <w:pPr>
      <w:ind w:left="-1418"/>
    </w:pPr>
    <w:rPr>
      <w:sz w:val="2"/>
      <w:szCs w:val="2"/>
    </w:rPr>
  </w:style>
  <w:style w:type="character" w:styleId="PageNumber">
    <w:name w:val="page number"/>
    <w:basedOn w:val="DefaultParagraphFont"/>
    <w:rsid w:val="0087102C"/>
  </w:style>
  <w:style w:type="paragraph" w:styleId="Quote">
    <w:name w:val="Quote"/>
    <w:basedOn w:val="Heading1"/>
    <w:link w:val="QuoteChar"/>
    <w:qFormat/>
    <w:rsid w:val="0087102C"/>
    <w:rPr>
      <w:b w:val="0"/>
      <w:sz w:val="72"/>
      <w:szCs w:val="72"/>
      <w:lang w:val="en-NZ"/>
    </w:rPr>
  </w:style>
  <w:style w:type="character" w:customStyle="1" w:styleId="QuoteChar">
    <w:name w:val="Quote Char"/>
    <w:basedOn w:val="DefaultParagraphFont"/>
    <w:link w:val="Quote"/>
    <w:rsid w:val="008710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102C"/>
    <w:pPr>
      <w:pageBreakBefore/>
    </w:pPr>
  </w:style>
  <w:style w:type="paragraph" w:customStyle="1" w:styleId="Border">
    <w:name w:val="Border"/>
    <w:basedOn w:val="Normal"/>
    <w:qFormat/>
    <w:rsid w:val="008710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102C"/>
    <w:rPr>
      <w:b/>
      <w:bCs/>
      <w:i/>
      <w:iCs/>
      <w:color w:val="auto"/>
    </w:rPr>
  </w:style>
  <w:style w:type="paragraph" w:styleId="IntenseQuote">
    <w:name w:val="Intense Quote"/>
    <w:basedOn w:val="Normal"/>
    <w:next w:val="Normal"/>
    <w:link w:val="IntenseQuoteChar"/>
    <w:uiPriority w:val="30"/>
    <w:qFormat/>
    <w:rsid w:val="008710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10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102C"/>
    <w:rPr>
      <w:smallCaps/>
      <w:color w:val="auto"/>
      <w:u w:val="single"/>
    </w:rPr>
  </w:style>
  <w:style w:type="character" w:styleId="IntenseReference">
    <w:name w:val="Intense Reference"/>
    <w:basedOn w:val="DefaultParagraphFont"/>
    <w:uiPriority w:val="32"/>
    <w:qFormat/>
    <w:rsid w:val="0087102C"/>
    <w:rPr>
      <w:b/>
      <w:bCs/>
      <w:smallCaps/>
      <w:color w:val="auto"/>
      <w:spacing w:val="5"/>
      <w:u w:val="single"/>
    </w:rPr>
  </w:style>
  <w:style w:type="paragraph" w:customStyle="1" w:styleId="2ColumnHeading">
    <w:name w:val="2Column Heading"/>
    <w:basedOn w:val="BodyText"/>
    <w:qFormat/>
    <w:rsid w:val="0087102C"/>
    <w:pPr>
      <w:spacing w:after="60"/>
      <w:ind w:left="-2268"/>
    </w:pPr>
    <w:rPr>
      <w:b/>
    </w:rPr>
  </w:style>
  <w:style w:type="paragraph" w:customStyle="1" w:styleId="Heading1TOC">
    <w:name w:val="Heading1 TOC"/>
    <w:basedOn w:val="Normal"/>
    <w:qFormat/>
    <w:rsid w:val="0087102C"/>
    <w:pPr>
      <w:spacing w:before="240" w:after="120"/>
    </w:pPr>
    <w:rPr>
      <w:rFonts w:ascii="Times New Roman" w:hAnsi="Times New Roman"/>
      <w:b/>
      <w:sz w:val="32"/>
    </w:rPr>
  </w:style>
  <w:style w:type="paragraph" w:customStyle="1" w:styleId="Heading2TOC">
    <w:name w:val="Heading2 TOC"/>
    <w:basedOn w:val="Normal"/>
    <w:qFormat/>
    <w:rsid w:val="0087102C"/>
    <w:pPr>
      <w:spacing w:before="240" w:after="60"/>
    </w:pPr>
    <w:rPr>
      <w:rFonts w:ascii="Times New Roman" w:hAnsi="Times New Roman"/>
      <w:b/>
      <w:sz w:val="28"/>
    </w:rPr>
  </w:style>
  <w:style w:type="character" w:customStyle="1" w:styleId="Underline">
    <w:name w:val="Underline"/>
    <w:basedOn w:val="DefaultParagraphFont"/>
    <w:qFormat/>
    <w:rsid w:val="0087102C"/>
    <w:rPr>
      <w:u w:val="single"/>
    </w:rPr>
  </w:style>
  <w:style w:type="character" w:customStyle="1" w:styleId="BoldandItalics">
    <w:name w:val="Bold and Italics"/>
    <w:qFormat/>
    <w:rsid w:val="0087102C"/>
    <w:rPr>
      <w:b/>
      <w:i/>
      <w:u w:val="none"/>
    </w:rPr>
  </w:style>
  <w:style w:type="paragraph" w:styleId="BalloonText">
    <w:name w:val="Balloon Text"/>
    <w:basedOn w:val="Normal"/>
    <w:link w:val="BalloonTextChar"/>
    <w:rsid w:val="0087102C"/>
    <w:rPr>
      <w:rFonts w:ascii="Tahoma" w:hAnsi="Tahoma" w:cs="Tahoma"/>
      <w:sz w:val="16"/>
      <w:szCs w:val="16"/>
    </w:rPr>
  </w:style>
  <w:style w:type="character" w:customStyle="1" w:styleId="BalloonTextChar">
    <w:name w:val="Balloon Text Char"/>
    <w:basedOn w:val="DefaultParagraphFont"/>
    <w:link w:val="BalloonText"/>
    <w:rsid w:val="008710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10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10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102C"/>
    <w:rPr>
      <w:b/>
      <w:color w:val="660033"/>
      <w:spacing w:val="0"/>
    </w:rPr>
  </w:style>
  <w:style w:type="paragraph" w:customStyle="1" w:styleId="Nameditemlist">
    <w:name w:val="Named item list"/>
    <w:basedOn w:val="BodyText"/>
    <w:qFormat/>
    <w:rsid w:val="008710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2458</Words>
  <Characters>15300</Characters>
  <Application>Microsoft Office Word</Application>
  <DocSecurity>0</DocSecurity>
  <Lines>653</Lines>
  <Paragraphs>274</Paragraphs>
  <ScaleCrop>false</ScaleCrop>
  <Company>Author-it Software Corporation Ltd.</Company>
  <LinksUpToDate>false</LinksUpToDate>
  <CharactersWithSpaces>17541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UETTDRIS12B Install and maintain poles/structures and associated hardware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2012-10-11T19:37:00Z</dcterms:created>
  <dcterms:modified xsi:type="dcterms:W3CDTF">2012-10-11T19:37:00Z</dcterms:modified>
</cp:coreProperties>
</file>