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72F" w:rsidP="007B172F">
      <w:pPr>
        <w:pStyle w:val="Title"/>
      </w:pPr>
      <w:bookmarkStart w:id="0" w:name="_GoBack"/>
      <w:bookmarkEnd w:id="0"/>
      <w:r>
        <w:fldChar w:fldCharType="begin"/>
      </w:r>
      <w:r>
        <w:instrText xml:space="preserve"> TITLE   \* MERGEFORMAT </w:instrText>
      </w:r>
      <w:r>
        <w:fldChar w:fldCharType="separate"/>
      </w:r>
      <w:r>
        <w:t>UETTDRIS04B Perform high voltage field switching operation to a given schedule</w:t>
      </w:r>
      <w:r>
        <w:fldChar w:fldCharType="end"/>
      </w:r>
    </w:p>
    <w:p w:rsidR="007B172F" w:rsidP="007B172F">
      <w:pPr>
        <w:pStyle w:val="Version"/>
        <w:sectPr w:rsidSect="00ED35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3500" w:rsidP="00ED3500">
      <w:pPr>
        <w:pStyle w:val="SuperHeading"/>
      </w:pPr>
      <w:r w:rsidRPr="00ED3500">
        <w:t>UETTDRIS04B Perform high voltage field switching operation to a given schedule</w:t>
      </w:r>
    </w:p>
    <w:p w:rsidR="00000000" w:rsidRPr="00ED3500" w:rsidP="00ED3500">
      <w:pPr>
        <w:pStyle w:val="Heading1"/>
      </w:pPr>
      <w:bookmarkStart w:id="1" w:name="O_275466"/>
      <w:bookmarkEnd w:id="1"/>
      <w:r w:rsidRPr="00ED3500">
        <w:t>Modification History</w:t>
      </w:r>
    </w:p>
    <w:p w:rsidR="00000000" w:rsidRPr="00ED3500" w:rsidP="00ED3500">
      <w:pPr>
        <w:pStyle w:val="BodyText"/>
      </w:pPr>
      <w:r w:rsidRPr="00ED3500">
        <w:t>Not Applicable</w:t>
      </w:r>
    </w:p>
    <w:p w:rsidR="00000000" w:rsidRPr="00ED3500" w:rsidP="00ED3500">
      <w:pPr>
        <w:pStyle w:val="AllowPageBreak"/>
      </w:pPr>
    </w:p>
    <w:p w:rsidR="00000000" w:rsidRPr="00ED3500" w:rsidP="00ED3500">
      <w:pPr>
        <w:pStyle w:val="Heading1"/>
      </w:pPr>
      <w:bookmarkStart w:id="2" w:name="O_231410"/>
      <w:bookmarkEnd w:id="2"/>
      <w:r w:rsidRPr="00ED3500">
        <w:t>Unit Descriptor</w:t>
      </w:r>
    </w:p>
    <w:tbl>
      <w:tblPr>
        <w:tblW w:w="0" w:type="auto"/>
        <w:tblLayout w:type="fixed"/>
        <w:tblCellMar>
          <w:left w:w="62" w:type="dxa"/>
          <w:right w:w="62" w:type="dxa"/>
        </w:tblCellMar>
        <w:tblLook w:val="0000"/>
      </w:tblPr>
      <w:tblGrid>
        <w:gridCol w:w="2758"/>
        <w:gridCol w:w="5882"/>
      </w:tblGrid>
      <w:tr w:rsidTr="007B172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1</w:t>
            </w:r>
            <w:r w:rsidRPr="00ED3500">
              <w:t xml:space="preserve">) </w:t>
            </w:r>
          </w:p>
          <w:p w:rsidR="00000000" w:rsidP="00ED3500">
            <w:pPr>
              <w:pStyle w:val="BodyText"/>
              <w:rPr>
                <w:lang w:val="en-NZ"/>
              </w:rPr>
            </w:pPr>
            <w:r w:rsidRPr="00ED3500">
              <w:rPr>
                <w:rStyle w:val="SpecialBold"/>
              </w:rPr>
              <w:t>1</w:t>
            </w:r>
            <w:r w:rsidRPr="00ED3500">
              <w:t>.</w:t>
            </w:r>
            <w:r w:rsidRPr="00ED3500">
              <w:rPr>
                <w:rStyle w:val="SpecialBold"/>
              </w:rPr>
              <w:t>1</w:t>
            </w:r>
            <w:r w:rsidRPr="00ED3500">
              <w:t xml:space="preserve">) </w:t>
            </w:r>
            <w:r w:rsidRPr="00ED3500">
              <w:rPr>
                <w:rStyle w:val="SpecialBold"/>
              </w:rPr>
              <w:t>Descriptor</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t>This Competency Standard Unit covers the carrying out of high voltage switching operations involving the operation of circuit breaking and isolation devices from a given switching schedule and according to enterprise procedures. It also encompasses the pro</w:t>
            </w:r>
            <w:r w:rsidRPr="00ED3500">
              <w:t>cess of; communicating with the Switching Control Officer or Electrical Control Officer, isolating the electrical equipment and the line or work site, as well as proving that the area is de-energised and earthed, issuing/accepting electrical permits and th</w:t>
            </w:r>
            <w:r w:rsidRPr="00ED3500">
              <w:t xml:space="preserve">e returning of the affected circuits to service. </w:t>
            </w:r>
          </w:p>
        </w:tc>
      </w:tr>
    </w:tbl>
    <w:p w:rsidR="007B172F" w:rsidP="00ED3500">
      <w:pPr>
        <w:pStyle w:val="BodyText"/>
      </w:pPr>
    </w:p>
    <w:p w:rsidR="007B172F" w:rsidP="00ED3500">
      <w:pPr>
        <w:pStyle w:val="BodyText"/>
      </w:pPr>
    </w:p>
    <w:p w:rsidR="00000000" w:rsidRPr="00ED3500" w:rsidP="00ED3500">
      <w:pPr>
        <w:pStyle w:val="Heading1"/>
      </w:pPr>
      <w:bookmarkStart w:id="3" w:name="O_231415"/>
      <w:bookmarkEnd w:id="3"/>
      <w:r w:rsidRPr="00ED3500">
        <w:t>Application of the Unit</w:t>
      </w:r>
    </w:p>
    <w:tbl>
      <w:tblPr>
        <w:tblW w:w="0" w:type="auto"/>
        <w:tblLayout w:type="fixed"/>
        <w:tblCellMar>
          <w:left w:w="62" w:type="dxa"/>
          <w:right w:w="62" w:type="dxa"/>
        </w:tblCellMar>
        <w:tblLook w:val="0000"/>
      </w:tblPr>
      <w:tblGrid>
        <w:gridCol w:w="2758"/>
        <w:gridCol w:w="5882"/>
      </w:tblGrid>
      <w:tr w:rsidTr="007B172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rPr>
                <w:rStyle w:val="SpecialBold"/>
              </w:rPr>
              <w:t>4</w:t>
            </w:r>
            <w:r w:rsidRPr="00ED3500">
              <w:t>)</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t>This Competency Standard Unit is intended to augment formally acquired competencies. It is suitable for employment-based programs und</w:t>
            </w:r>
            <w:r w:rsidRPr="00ED3500">
              <w:t>er an approved contract of training.</w:t>
            </w:r>
          </w:p>
        </w:tc>
      </w:tr>
    </w:tbl>
    <w:p w:rsidR="007B172F" w:rsidP="00ED3500">
      <w:pPr>
        <w:pStyle w:val="BodyText"/>
      </w:pPr>
    </w:p>
    <w:p w:rsidR="007B172F" w:rsidP="00ED3500">
      <w:pPr>
        <w:pStyle w:val="BodyText"/>
      </w:pPr>
    </w:p>
    <w:p w:rsidR="00000000" w:rsidRPr="00ED3500" w:rsidP="00ED3500">
      <w:pPr>
        <w:pStyle w:val="Heading1"/>
      </w:pPr>
      <w:bookmarkStart w:id="4" w:name="O_231411"/>
      <w:bookmarkEnd w:id="4"/>
      <w:r w:rsidRPr="00ED3500">
        <w:t>Licensing/Regulatory Information</w:t>
      </w:r>
    </w:p>
    <w:tbl>
      <w:tblPr>
        <w:tblW w:w="0" w:type="auto"/>
        <w:tblLayout w:type="fixed"/>
        <w:tblCellMar>
          <w:left w:w="62" w:type="dxa"/>
          <w:right w:w="62" w:type="dxa"/>
        </w:tblCellMar>
        <w:tblLook w:val="0000"/>
      </w:tblPr>
      <w:tblGrid>
        <w:gridCol w:w="8640"/>
      </w:tblGrid>
      <w:tr w:rsidTr="007B172F">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rPr>
                <w:rStyle w:val="SpecialBold"/>
              </w:rPr>
              <w:t>1</w:t>
            </w:r>
            <w:r w:rsidRPr="00ED3500">
              <w:t>.</w:t>
            </w:r>
            <w:r w:rsidRPr="00ED3500">
              <w:rPr>
                <w:rStyle w:val="SpecialBold"/>
              </w:rPr>
              <w:t>2</w:t>
            </w:r>
            <w:r w:rsidRPr="00ED3500">
              <w:t xml:space="preserve">) </w:t>
            </w:r>
            <w:r w:rsidRPr="00ED3500">
              <w:rPr>
                <w:rStyle w:val="SpecialBold"/>
              </w:rPr>
              <w:t>License to practice</w:t>
            </w:r>
          </w:p>
        </w:tc>
      </w:tr>
      <w:tr w:rsidTr="007B172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t xml:space="preserve">The skills and knowledge described in this unit may require a licence/registration to practice in the work place subject to regulations for </w:t>
            </w:r>
            <w:r w:rsidRPr="00ED3500">
              <w:t>undertaking of electrical work. Practice in workplace and during training is also subject to regulations directly related to Occupational Health and Safety, electricity/telecommunications/gas/water industry safety and compliance, industrial relations, envi</w:t>
            </w:r>
            <w:r w:rsidRPr="00ED3500">
              <w:t>ronmental protection, anti discrimination and training. Commonwealth, State/Territory or Local Government legislation and regulations may exist that limits the age of operating certain equipment.</w:t>
            </w:r>
          </w:p>
        </w:tc>
      </w:tr>
    </w:tbl>
    <w:p w:rsidR="007B172F" w:rsidP="00ED3500">
      <w:pPr>
        <w:pStyle w:val="BodyText"/>
      </w:pPr>
    </w:p>
    <w:p w:rsidR="007B172F" w:rsidP="00ED3500">
      <w:pPr>
        <w:pStyle w:val="BodyText"/>
      </w:pPr>
    </w:p>
    <w:p w:rsidR="00000000" w:rsidRPr="00ED3500" w:rsidP="00ED3500">
      <w:pPr>
        <w:pStyle w:val="Heading1"/>
      </w:pPr>
      <w:bookmarkStart w:id="5" w:name="O_231412"/>
      <w:bookmarkEnd w:id="5"/>
      <w:r w:rsidRPr="00ED3500">
        <w:t>Pre-Requisites</w:t>
      </w:r>
    </w:p>
    <w:tbl>
      <w:tblPr>
        <w:tblW w:w="0" w:type="auto"/>
        <w:tblLayout w:type="fixed"/>
        <w:tblCellMar>
          <w:left w:w="62" w:type="dxa"/>
          <w:right w:w="62" w:type="dxa"/>
        </w:tblCellMar>
        <w:tblLook w:val="0000"/>
      </w:tblPr>
      <w:tblGrid>
        <w:gridCol w:w="2758"/>
        <w:gridCol w:w="735"/>
        <w:gridCol w:w="2022"/>
        <w:gridCol w:w="3125"/>
      </w:tblGrid>
      <w:tr w:rsidTr="007B172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Prerequisite Unit</w:t>
            </w:r>
            <w:r w:rsidRPr="00ED3500">
              <w:t>(</w:t>
            </w:r>
            <w:r w:rsidRPr="00ED3500">
              <w:rPr>
                <w:rStyle w:val="SpecialBold"/>
              </w:rPr>
              <w:t>s</w:t>
            </w:r>
            <w:r w:rsidRPr="00ED3500">
              <w:t>)</w:t>
            </w:r>
          </w:p>
        </w:tc>
        <w:tc>
          <w:tcPr>
            <w:tcW w:w="5882" w:type="dxa"/>
            <w:gridSpan w:val="3"/>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rPr>
                <w:rStyle w:val="SpecialBold"/>
              </w:rPr>
              <w:t>2</w:t>
            </w:r>
            <w:r w:rsidRPr="00ED3500">
              <w:t xml:space="preserve">) </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ED3500">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rPr>
                <w:rStyle w:val="SpecialBold"/>
              </w:rPr>
              <w:t>2</w:t>
            </w:r>
            <w:r w:rsidRPr="00ED3500">
              <w:t>.</w:t>
            </w:r>
            <w:r w:rsidRPr="00ED3500">
              <w:rPr>
                <w:rStyle w:val="SpecialBold"/>
              </w:rPr>
              <w:t>1</w:t>
            </w:r>
            <w:r w:rsidRPr="00ED3500">
              <w:t xml:space="preserve">) </w:t>
            </w:r>
            <w:r w:rsidRPr="00ED3500">
              <w:rPr>
                <w:rStyle w:val="SpecialBold"/>
              </w:rPr>
              <w:t>Competencies</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Granting of competency in this unit shall be made only after competency in the following unit(s) has/have been confirmed:.</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UETTDRCJ03B</w:t>
            </w:r>
          </w:p>
        </w:tc>
        <w:tc>
          <w:tcPr>
            <w:tcW w:w="3125"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Install and maintain de-energised HV underground paper insulated cables</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or</w:t>
            </w:r>
          </w:p>
        </w:tc>
        <w:tc>
          <w:tcPr>
            <w:tcW w:w="2022"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UETTDRCJ07B</w:t>
            </w:r>
          </w:p>
        </w:tc>
        <w:tc>
          <w:tcPr>
            <w:tcW w:w="3125"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Install and maintain de-energised HV underground polymeric insulated cables</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or</w:t>
            </w:r>
          </w:p>
        </w:tc>
        <w:tc>
          <w:tcPr>
            <w:tcW w:w="2022"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UETTDRIS02B</w:t>
            </w:r>
          </w:p>
        </w:tc>
        <w:tc>
          <w:tcPr>
            <w:tcW w:w="3125"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Maintain electrical equipment (network infrastructure)</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or</w:t>
            </w:r>
          </w:p>
        </w:tc>
        <w:tc>
          <w:tcPr>
            <w:tcW w:w="2022"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UETTDRIS14B</w:t>
            </w:r>
          </w:p>
        </w:tc>
        <w:tc>
          <w:tcPr>
            <w:tcW w:w="3125"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Install and maintain overhead conductors and cables (poles and structures)</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or</w:t>
            </w:r>
          </w:p>
        </w:tc>
        <w:tc>
          <w:tcPr>
            <w:tcW w:w="2022"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UETTDRTP09B</w:t>
            </w:r>
          </w:p>
        </w:tc>
        <w:tc>
          <w:tcPr>
            <w:tcW w:w="3125"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Install and maintain overhead conductors and cables (towers)</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t>For the full prerequisite chain details for this unit please refer to Table 3 in Volume 1, Part 2</w:t>
            </w:r>
          </w:p>
        </w:tc>
      </w:tr>
    </w:tbl>
    <w:p w:rsidR="007B172F" w:rsidP="00ED3500">
      <w:pPr>
        <w:pStyle w:val="BodyText"/>
      </w:pPr>
    </w:p>
    <w:p w:rsidR="007B172F" w:rsidP="00ED3500">
      <w:pPr>
        <w:pStyle w:val="BodyText"/>
      </w:pPr>
    </w:p>
    <w:p w:rsidR="00000000" w:rsidRPr="00ED3500" w:rsidP="00ED3500">
      <w:pPr>
        <w:pStyle w:val="Heading1"/>
      </w:pPr>
      <w:bookmarkStart w:id="6" w:name="O_231414"/>
      <w:bookmarkEnd w:id="6"/>
      <w:r w:rsidRPr="00ED3500">
        <w:t>Employability Skills Information</w:t>
      </w:r>
    </w:p>
    <w:tbl>
      <w:tblPr>
        <w:tblW w:w="0" w:type="auto"/>
        <w:tblLayout w:type="fixed"/>
        <w:tblCellMar>
          <w:left w:w="62" w:type="dxa"/>
          <w:right w:w="62" w:type="dxa"/>
        </w:tblCellMar>
        <w:tblLook w:val="0000"/>
      </w:tblPr>
      <w:tblGrid>
        <w:gridCol w:w="2758"/>
        <w:gridCol w:w="5882"/>
      </w:tblGrid>
      <w:tr w:rsidTr="007B172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3</w:t>
            </w:r>
            <w:r w:rsidRPr="00ED3500">
              <w:t>)</w:t>
            </w:r>
          </w:p>
          <w:p w:rsidR="00000000" w:rsidRPr="00ED3500" w:rsidP="00ED3500">
            <w:pPr>
              <w:pStyle w:val="BodyText"/>
            </w:pPr>
            <w:r w:rsidRPr="00ED350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D3500">
              <w:t>requirements.</w:t>
            </w:r>
          </w:p>
        </w:tc>
      </w:tr>
    </w:tbl>
    <w:p w:rsidR="007B172F" w:rsidP="00ED3500">
      <w:pPr>
        <w:pStyle w:val="BodyText"/>
      </w:pPr>
    </w:p>
    <w:p w:rsidR="007B172F" w:rsidP="00ED3500">
      <w:pPr>
        <w:pStyle w:val="BodyText"/>
      </w:pPr>
    </w:p>
    <w:p w:rsidR="00000000" w:rsidRPr="00ED3500" w:rsidP="00ED3500">
      <w:pPr>
        <w:pStyle w:val="Heading1"/>
      </w:pPr>
      <w:bookmarkStart w:id="7" w:name="O_293512"/>
      <w:bookmarkEnd w:id="7"/>
      <w:r w:rsidRPr="00ED3500">
        <w:t>Elements and Performance Criteria Pre-Content</w:t>
      </w:r>
    </w:p>
    <w:tbl>
      <w:tblPr>
        <w:tblW w:w="0" w:type="auto"/>
        <w:tblLayout w:type="fixed"/>
        <w:tblCellMar>
          <w:left w:w="62" w:type="dxa"/>
          <w:right w:w="62" w:type="dxa"/>
        </w:tblCellMar>
        <w:tblLook w:val="0000"/>
      </w:tblPr>
      <w:tblGrid>
        <w:gridCol w:w="2758"/>
        <w:gridCol w:w="5882"/>
      </w:tblGrid>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rPr>
                <w:rStyle w:val="SpecialBold"/>
              </w:rPr>
              <w:t>6</w:t>
            </w:r>
            <w:r w:rsidRPr="00ED3500">
              <w:t xml:space="preserve">) </w:t>
            </w:r>
            <w:r w:rsidRPr="00ED3500">
              <w:rPr>
                <w:rStyle w:val="SpecialBold"/>
              </w:rPr>
              <w:t>Elements</w:t>
            </w:r>
            <w:r w:rsidRPr="00ED3500">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t>Performance Criteria describe the required performance needed to demonstrate achievement of the element. Assessment of performance is to be consistent with the evidence guide.</w:t>
            </w:r>
          </w:p>
        </w:tc>
      </w:tr>
    </w:tbl>
    <w:p w:rsidR="00000000" w:rsidRPr="00ED3500" w:rsidP="00ED3500">
      <w:pPr>
        <w:pStyle w:val="BodyText"/>
      </w:pPr>
    </w:p>
    <w:p w:rsidR="00000000" w:rsidRPr="00ED3500" w:rsidP="00ED3500">
      <w:pPr>
        <w:pStyle w:val="AllowPageBreak"/>
      </w:pPr>
    </w:p>
    <w:p w:rsidR="00000000" w:rsidRPr="00ED3500" w:rsidP="00ED3500">
      <w:pPr>
        <w:pStyle w:val="Heading1"/>
      </w:pPr>
      <w:bookmarkStart w:id="8" w:name="O_240180"/>
      <w:bookmarkEnd w:id="8"/>
      <w:r w:rsidRPr="00ED3500">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7B172F">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rPr>
                <w:rStyle w:val="SpecialBold"/>
              </w:rPr>
              <w:t>PERFORMANCE CRITER</w:t>
            </w:r>
            <w:r w:rsidRPr="00ED3500">
              <w:rPr>
                <w:rStyle w:val="SpecialBold"/>
              </w:rPr>
              <w:t>IA</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1</w:t>
            </w:r>
          </w:p>
        </w:tc>
        <w:tc>
          <w:tcPr>
            <w:tcW w:w="2344"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Prepare to undertake HV switching procedures to a given schedule</w:t>
            </w: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1.1</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Switching and work schedule(s), including drawings, plans, requirements, established procedures, and material lists, are received, analysed and confirmed, if nece</w:t>
            </w:r>
            <w:r w:rsidRPr="00ED3500">
              <w:t>ssary, by site inspection.</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1.2</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Relevant requirements and established procedures for the work are communicated to all personnel and identified for all work sites.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1.3</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OHS policies and procedures related to requirements and established procedures for H</w:t>
            </w:r>
            <w:r w:rsidRPr="00ED3500">
              <w:t>V switching are obtained and confirmed for the purposes of the work to be performed and communicated.</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1.4</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Work is prioritised and sequenced following consultation with others for completion within acceptable timeframes and in accordance with established</w:t>
            </w:r>
            <w:r w:rsidRPr="00ED3500">
              <w:t xml:space="preserve"> procedures.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1.5</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Hazards are identified, OHS risks assessed and control measures are prioritised, implemented and monitored including emergency exits kept clear according to established procedures.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1.6</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Relevant authority is obtained to perform work according to requirements and/or established procedures.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1.7</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Resources including personnel, equipment, tools and personal protective equipment required for the job are obtained and confirmed in working orde</w:t>
            </w:r>
            <w:r w:rsidRPr="00ED3500">
              <w:t>r.</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1.8</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Relevant personnel at worksite are confirmed current in First Aid and other related work procedures according to requirements.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1.9</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Liaison and communication issues with other/authorised personnel, authorities, clients and land owners are resol</w:t>
            </w:r>
            <w:r w:rsidRPr="00ED3500">
              <w:t>ved to carry out work where necessary.</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1.10</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Site is prepared according to the work schedule and to minimise risk and damage to property, commerce, and individuals in accordance with established procedures.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1.11</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Personnel participating in the work, including plant operators and contractors, are fully briefed and respective responsibilities confirmed where applicable in accordance with established procedures.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1.12</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Road signs, barriers and warning devices are pos</w:t>
            </w:r>
            <w:r w:rsidRPr="00ED3500">
              <w:t>itioned in accordance with requirements.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2</w:t>
            </w:r>
          </w:p>
        </w:tc>
        <w:tc>
          <w:tcPr>
            <w:tcW w:w="2344"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Carry out HV switching procedures to a given schedule</w:t>
            </w: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2.1</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 xml:space="preserve">OHS and sustainable energy principles and practices to reduce the incidents of accidents and minimise waste are monitored and followed in accordance with </w:t>
            </w:r>
            <w:r w:rsidRPr="00ED3500">
              <w:t>requirements and/or established procedures.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2.2</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Lifting, climbing, working in confined spaces and aloft, and use of power tools/equipment, techniques and practices are safely followed and, currency according to requirements confirmed.</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2.3</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Essential knowledge and associated skills are applied for the safe undertaking of HV switching procedures to a given schedule to ensure completion in an agreed timeframe and, to quality standards with a minimum of waste according to requirements.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2.4</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Co</w:t>
            </w:r>
            <w:r w:rsidRPr="00ED3500">
              <w:t>mmunications with Switching Control Officer are established and maintained throughout the isolation operation according to established procedures.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2.5</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Electrical equipment and associated circuits line/network or work site to be switched including parall</w:t>
            </w:r>
            <w:r w:rsidRPr="00ED3500">
              <w:t>elling is isolated and proved de-energised using appropriate devices and earthed where required according to requirements and established procedures.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2.6</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 xml:space="preserve">Hazard warnings and safety signs are recognised and hazards and assessed OHS risks are reported to </w:t>
            </w:r>
            <w:r w:rsidRPr="00ED3500">
              <w:t>the immediate authorised persons for directions according to established procedures.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2.7</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Unplanned events occurring during HV switching procedures to a given schedule are responded to and undertaken within the scope of established procedures.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2.8</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Relevant permits are prepared and issued in accordance with established procedures.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2.9</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Known solutions to a variety of problems are applied using acquired essential knowledge and associated skills.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2.10</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On going checks of quality of the work are und</w:t>
            </w:r>
            <w:r w:rsidRPr="00ED3500">
              <w:t>ertaken in accordance with instructions and established procedures.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3</w:t>
            </w:r>
          </w:p>
        </w:tc>
        <w:tc>
          <w:tcPr>
            <w:tcW w:w="2344"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Complete HV switching procedures to a given schedule</w:t>
            </w: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3.1</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Work undertaken is checked against works schedule for conformance with requirements and anomalies reported in acc</w:t>
            </w:r>
            <w:r w:rsidRPr="00ED3500">
              <w:t>ordance with established procedures.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3.2</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Accidents and/or injuries are reported in accordance with requirements/established procedures, where applicable.</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3.3</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Work site is rehabilitated, cleaned up and made safe in accordance with established procedur</w:t>
            </w:r>
            <w:r w:rsidRPr="00ED3500">
              <w:t>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3.4</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Tools, equipment and any surplus resources and materials are, where appropriate, cleaned, checked and returned to storage in accordance with established procedures.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3.5</w:t>
            </w:r>
          </w:p>
        </w:tc>
        <w:tc>
          <w:tcPr>
            <w:tcW w:w="496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Relevant permit(s) are signed off, safety devices are removed, and the sy</w:t>
            </w:r>
            <w:r w:rsidRPr="00ED3500">
              <w:t>stem is re-energised and returned to service in accordance with requirements/established procedures.</w:t>
            </w:r>
          </w:p>
        </w:tc>
      </w:tr>
      <w:tr w:rsidTr="007B172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3.6</w:t>
            </w:r>
          </w:p>
        </w:tc>
        <w:tc>
          <w:tcPr>
            <w:tcW w:w="4963"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t xml:space="preserve">Works completion records, reports, as installed /modified drawing and/or documentation and information are finalised and processed and appropriate </w:t>
            </w:r>
            <w:r w:rsidRPr="00ED3500">
              <w:t>personnel and authority notified.</w:t>
            </w:r>
          </w:p>
        </w:tc>
      </w:tr>
    </w:tbl>
    <w:p w:rsidR="007B172F" w:rsidP="00ED3500">
      <w:pPr>
        <w:pStyle w:val="BodyText"/>
      </w:pPr>
    </w:p>
    <w:p w:rsidR="007B172F" w:rsidP="00ED3500">
      <w:pPr>
        <w:pStyle w:val="BodyText"/>
      </w:pPr>
    </w:p>
    <w:p w:rsidR="00000000" w:rsidRPr="00ED3500" w:rsidP="00ED3500">
      <w:pPr>
        <w:pStyle w:val="Heading1"/>
      </w:pPr>
      <w:bookmarkStart w:id="9" w:name="O_263971"/>
      <w:bookmarkEnd w:id="9"/>
      <w:r w:rsidRPr="00ED3500">
        <w:t>Required Skills and Knowledge</w:t>
      </w:r>
    </w:p>
    <w:tbl>
      <w:tblPr>
        <w:tblW w:w="0" w:type="auto"/>
        <w:tblLayout w:type="fixed"/>
        <w:tblCellMar>
          <w:left w:w="62" w:type="dxa"/>
          <w:right w:w="62" w:type="dxa"/>
        </w:tblCellMar>
        <w:tblLook w:val="0000"/>
      </w:tblPr>
      <w:tblGrid>
        <w:gridCol w:w="2758"/>
        <w:gridCol w:w="1103"/>
        <w:gridCol w:w="4779"/>
      </w:tblGrid>
      <w:tr w:rsidTr="007B172F">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rPr>
                <w:rStyle w:val="SpecialBold"/>
              </w:rPr>
              <w:t>REQUIRED SKILLS AND KNOWLEDGE</w:t>
            </w:r>
          </w:p>
        </w:tc>
      </w:tr>
      <w:tr w:rsidTr="007B172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rPr>
                <w:rStyle w:val="SpecialBold"/>
              </w:rPr>
              <w:t>7</w:t>
            </w:r>
            <w:r w:rsidRPr="00ED3500">
              <w:t xml:space="preserve">) </w:t>
            </w:r>
            <w:r w:rsidRPr="00ED3500">
              <w:rPr>
                <w:rStyle w:val="SpecialBold"/>
              </w:rPr>
              <w:t>Essential Knowledge and Associated Skills</w:t>
            </w:r>
            <w:r w:rsidRPr="00ED3500">
              <w:t xml:space="preserve"> (</w:t>
            </w:r>
            <w:r w:rsidRPr="00ED3500">
              <w:rPr>
                <w:rStyle w:val="SpecialBold"/>
              </w:rPr>
              <w:t>EKAS</w:t>
            </w:r>
            <w:r w:rsidRPr="00ED3500">
              <w:t>): This describes the essential skills and knowledge and their level, required for this unit.</w:t>
            </w:r>
          </w:p>
        </w:tc>
      </w:tr>
      <w:tr w:rsidTr="007B172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t>Evidence shall show that knowledge has been acquired of performing high voltage field switching to a given schedule.</w:t>
            </w:r>
          </w:p>
          <w:p w:rsidR="00000000" w:rsidRPr="00ED3500" w:rsidP="00ED3500">
            <w:pPr>
              <w:pStyle w:val="BodyText"/>
            </w:pPr>
            <w:r w:rsidRPr="00ED3500">
              <w:t xml:space="preserve">All knowledge and skills detailed in this </w:t>
            </w:r>
            <w:r w:rsidRPr="00ED3500">
              <w:t>unit should be contextualised to current industry practices and technologies.</w:t>
            </w:r>
          </w:p>
          <w:p w:rsidR="00000000" w:rsidP="00ED3500">
            <w:pPr>
              <w:pStyle w:val="BodyText"/>
              <w:rPr>
                <w:lang w:val="en-NZ"/>
              </w:rPr>
            </w:pPr>
            <w:r w:rsidRPr="00ED3500">
              <w:t>The extent of the essential knowledge and associated skills (EKAS) required is given in Volume 2 - Part 2.2 EKAS. It forms an integral part of this unit.</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 xml:space="preserve">T2.4.3 </w:t>
            </w:r>
          </w:p>
        </w:tc>
        <w:tc>
          <w:tcPr>
            <w:tcW w:w="477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High voltage</w:t>
            </w:r>
            <w:r w:rsidRPr="00ED3500">
              <w:t xml:space="preserve"> switching principles</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 xml:space="preserve">T2.4.4 </w:t>
            </w:r>
          </w:p>
        </w:tc>
        <w:tc>
          <w:tcPr>
            <w:tcW w:w="477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High voltage fault switching principles</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 xml:space="preserve">T2.4.5 </w:t>
            </w:r>
          </w:p>
        </w:tc>
        <w:tc>
          <w:tcPr>
            <w:tcW w:w="477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High voltage distribution transformer principles</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 xml:space="preserve">T2.4.6 </w:t>
            </w:r>
          </w:p>
        </w:tc>
        <w:tc>
          <w:tcPr>
            <w:tcW w:w="477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High voltage SWER system</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 xml:space="preserve">T2.4.7 </w:t>
            </w:r>
          </w:p>
        </w:tc>
        <w:tc>
          <w:tcPr>
            <w:tcW w:w="477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Feeder automation system</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T2.4.8</w:t>
            </w:r>
          </w:p>
        </w:tc>
        <w:tc>
          <w:tcPr>
            <w:tcW w:w="4779"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System switchi</w:t>
            </w:r>
            <w:r w:rsidRPr="00ED3500">
              <w:t>ng operations and authorisation procedures  HV</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T2.4.11</w:t>
            </w:r>
          </w:p>
        </w:tc>
        <w:tc>
          <w:tcPr>
            <w:tcW w:w="4779"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t>High voltage overhead and substation switching principles</w:t>
            </w:r>
          </w:p>
        </w:tc>
      </w:tr>
    </w:tbl>
    <w:p w:rsidR="007B172F" w:rsidP="00ED3500">
      <w:pPr>
        <w:pStyle w:val="BodyText"/>
      </w:pPr>
    </w:p>
    <w:p w:rsidR="007B172F" w:rsidP="00ED3500">
      <w:pPr>
        <w:pStyle w:val="BodyText"/>
      </w:pPr>
    </w:p>
    <w:p w:rsidR="00000000" w:rsidRPr="00ED3500" w:rsidP="00ED3500">
      <w:pPr>
        <w:pStyle w:val="Heading1"/>
      </w:pPr>
      <w:bookmarkStart w:id="10" w:name="O_248163"/>
      <w:bookmarkEnd w:id="10"/>
      <w:r w:rsidRPr="00ED3500">
        <w:t>Evidence Guide</w:t>
      </w:r>
    </w:p>
    <w:tbl>
      <w:tblPr>
        <w:tblW w:w="0" w:type="auto"/>
        <w:tblLayout w:type="fixed"/>
        <w:tblCellMar>
          <w:left w:w="62" w:type="dxa"/>
          <w:right w:w="62" w:type="dxa"/>
        </w:tblCellMar>
        <w:tblLook w:val="0000"/>
      </w:tblPr>
      <w:tblGrid>
        <w:gridCol w:w="2207"/>
        <w:gridCol w:w="735"/>
        <w:gridCol w:w="919"/>
        <w:gridCol w:w="1654"/>
        <w:gridCol w:w="3125"/>
      </w:tblGrid>
      <w:tr w:rsidTr="007B172F">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rPr>
                <w:rStyle w:val="SpecialBold"/>
              </w:rPr>
              <w:t>EVIDENCE GUIDE</w:t>
            </w:r>
          </w:p>
        </w:tc>
      </w:tr>
      <w:tr w:rsidTr="007B172F">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9</w:t>
            </w:r>
            <w:r w:rsidRPr="00ED3500">
              <w:t>) This provides essential advice for assessment of the unit of competency and must be read in conjunction with the Performance Criteria and the range statement of the unit of competency and the Training Package Assessment Guidelines.</w:t>
            </w:r>
          </w:p>
          <w:p w:rsidR="00000000" w:rsidP="00ED3500">
            <w:pPr>
              <w:pStyle w:val="BodyText"/>
              <w:rPr>
                <w:lang w:val="en-NZ"/>
              </w:rPr>
            </w:pPr>
            <w:r w:rsidRPr="00ED3500">
              <w:t>The Evidence Guide for</w:t>
            </w:r>
            <w:r w:rsidRPr="00ED3500">
              <w:t>ms an integral part of this Competency Standard Unit and shall be used in conjunction with all component parts of this unit and, performed in accordance with the Assessment Guidelines of this Training Package.</w:t>
            </w:r>
          </w:p>
        </w:tc>
      </w:tr>
      <w:tr w:rsidTr="007B172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9</w:t>
            </w:r>
            <w:r w:rsidRPr="00ED3500">
              <w:t>.</w:t>
            </w:r>
            <w:r w:rsidRPr="00ED3500">
              <w:rPr>
                <w:rStyle w:val="SpecialBold"/>
              </w:rPr>
              <w:t>1</w:t>
            </w:r>
            <w:r w:rsidRPr="00ED3500">
              <w:t xml:space="preserve">) </w:t>
            </w:r>
          </w:p>
          <w:p w:rsidR="00000000" w:rsidRPr="00ED3500" w:rsidP="00ED3500">
            <w:pPr>
              <w:pStyle w:val="BodyText"/>
            </w:pPr>
            <w:r w:rsidRPr="00ED3500">
              <w:t>Longitudinal competency development approaches to assessment, such as Profiling, require data to be reliably gathered in a form that can be consistently interpreted over time. This approach is best utilised in Apprenticeship programs and reduces assessment</w:t>
            </w:r>
            <w:r w:rsidRPr="00ED350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D3500">
              <w:t>tency in a realistically simulated work environment. It is recognised that, in some circumstances, assessment in part or full can occur outside the workplace. However, it must be in accord with Industry and, Regulatory policy in this regard.</w:t>
            </w:r>
          </w:p>
          <w:p w:rsidR="00000000" w:rsidRPr="00ED3500" w:rsidP="00ED3500">
            <w:pPr>
              <w:pStyle w:val="BodyText"/>
            </w:pPr>
            <w:r w:rsidRPr="00ED3500">
              <w:t>Methods chosen</w:t>
            </w:r>
            <w:r w:rsidRPr="00ED3500">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ED3500">
              <w:t>equired and the critical nature of the competencies being assessed.</w:t>
            </w:r>
          </w:p>
          <w:p w:rsidR="00000000" w:rsidRPr="00ED3500" w:rsidP="00ED3500">
            <w:pPr>
              <w:pStyle w:val="BodyText"/>
            </w:pPr>
            <w:r w:rsidRPr="00ED3500">
              <w:t>The critical safety nature of working with electricity, electrical equipment, gas or any other hazardous substance/material carries risk in deeming a person competent. Hence, sources of ev</w:t>
            </w:r>
            <w:r w:rsidRPr="00ED3500">
              <w:t>idence need to be 'rich' in nature so as to minimise error in judgment.</w:t>
            </w:r>
          </w:p>
          <w:p w:rsidR="00000000" w:rsidP="00ED3500">
            <w:pPr>
              <w:pStyle w:val="BodyText"/>
              <w:rPr>
                <w:lang w:val="en-NZ"/>
              </w:rPr>
            </w:pPr>
            <w:r w:rsidRPr="00ED3500">
              <w:t>Activities associated with normal every day work have a bearing on the decision as to how much and how detailed the data gathered will contribute to its 'richness'. Some skills are mor</w:t>
            </w:r>
            <w:r w:rsidRPr="00ED3500">
              <w:t>e critical to safety and operational requirements while the same skills may be more or less frequently practiced. These points are raised for the assessors to consider when choosing an assessment method and developing assessment instruments. Sample assessm</w:t>
            </w:r>
            <w:r w:rsidRPr="00ED3500">
              <w:t>ent instruments are included for Assessors in the Assessment Guidelines of this Training Package.</w:t>
            </w:r>
          </w:p>
        </w:tc>
      </w:tr>
      <w:tr w:rsidTr="007B172F">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 xml:space="preserve">Critical aspects of evidence required to demonstrate competency </w:t>
            </w:r>
            <w:r w:rsidRPr="00ED3500">
              <w:rPr>
                <w:rStyle w:val="SpecialBold"/>
              </w:rPr>
              <w:t>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9</w:t>
            </w:r>
            <w:r w:rsidRPr="00ED3500">
              <w:t>.</w:t>
            </w:r>
            <w:r w:rsidRPr="00ED3500">
              <w:rPr>
                <w:rStyle w:val="SpecialBold"/>
              </w:rPr>
              <w:t>2</w:t>
            </w:r>
            <w:r w:rsidRPr="00ED3500">
              <w:t xml:space="preserve">) </w:t>
            </w:r>
          </w:p>
          <w:p w:rsidR="00000000" w:rsidP="00ED3500">
            <w:pPr>
              <w:pStyle w:val="BodyText"/>
              <w:rPr>
                <w:lang w:val="en-NZ"/>
              </w:rPr>
            </w:pPr>
            <w:r w:rsidRPr="00ED3500">
              <w:t>Before the critical aspects of evidence are considered all prerequisites shall be met.</w:t>
            </w:r>
          </w:p>
        </w:tc>
      </w:tr>
      <w:tr w:rsidTr="007B172F">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t>Evidence for competence in this unit shall be considered holistically. Each element and associated Performance Criteria shall be demonstrated on at least two occasi</w:t>
            </w:r>
            <w:r w:rsidRPr="00ED3500">
              <w:t>ons in accordance with the "Assessment Guidelines - UET09". Evidence shall also comprise:</w:t>
            </w:r>
          </w:p>
          <w:p w:rsidR="00000000" w:rsidP="00ED3500">
            <w:pPr>
              <w:pStyle w:val="ListBullet"/>
              <w:rPr>
                <w:lang w:val="en-NZ"/>
              </w:rPr>
            </w:pPr>
            <w:r w:rsidRPr="00ED3500">
              <w:t>A representative body of Performance Criteria demonstrated within the timeframes typically expected of the discipline, work function and industrial environment. In pa</w:t>
            </w:r>
            <w:r w:rsidRPr="00ED3500">
              <w:t>rticular this shall incorporate evidence that shows a candidate is able to:</w:t>
            </w:r>
          </w:p>
        </w:tc>
      </w:tr>
      <w:tr w:rsidTr="007B172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ED3500" w:rsidP="00ED3500">
            <w:pPr>
              <w:pStyle w:val="ListBullet2"/>
            </w:pPr>
            <w:r w:rsidRPr="00ED3500">
              <w:t>Implement Occupational Health and Safety workplace procedures and practices including the use of risk control measures as specified in the Performance Criteria and range; and</w:t>
            </w:r>
          </w:p>
          <w:p w:rsidR="00000000" w:rsidRPr="00ED3500" w:rsidP="00ED3500">
            <w:pPr>
              <w:pStyle w:val="ListBullet2"/>
            </w:pPr>
            <w:r w:rsidRPr="00ED3500">
              <w:t>Apply sustainable energy principles and practices as specified in the Performance Criteria and range; and</w:t>
            </w:r>
          </w:p>
          <w:p w:rsidR="00000000" w:rsidRPr="00ED3500" w:rsidP="00ED3500">
            <w:pPr>
              <w:pStyle w:val="ListBullet2"/>
            </w:pPr>
            <w:r w:rsidRPr="00ED3500">
              <w:t>Demonstrate an understanding of the essential knowledge and associated skills as described in this unit to such an extent that the learner's performa</w:t>
            </w:r>
            <w:r w:rsidRPr="00ED3500">
              <w:t>nce outcome is reported in accordance with the preferred approach; namely a percentile graded result, where required by the regulated environment; and</w:t>
            </w:r>
          </w:p>
          <w:p w:rsidR="00000000" w:rsidRPr="00ED3500" w:rsidP="00ED3500">
            <w:pPr>
              <w:pStyle w:val="ListBullet2"/>
            </w:pPr>
            <w:r w:rsidRPr="00ED3500">
              <w:t>Demonstrate an appropriate level of employability skills; and</w:t>
            </w:r>
          </w:p>
          <w:p w:rsidR="00000000" w:rsidP="00ED3500">
            <w:pPr>
              <w:pStyle w:val="ListBullet2"/>
              <w:rPr>
                <w:lang w:val="en-NZ"/>
              </w:rPr>
            </w:pPr>
            <w:r w:rsidRPr="00ED3500">
              <w:t>Conduct work observing the relevant Anti Di</w:t>
            </w:r>
            <w:r w:rsidRPr="00ED3500">
              <w:t>scrimination legislation, regulations, policies and workplace procedures; and</w:t>
            </w:r>
          </w:p>
        </w:tc>
      </w:tr>
      <w:tr w:rsidTr="007B172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ED3500">
            <w:pPr>
              <w:pStyle w:val="ListBullet"/>
              <w:rPr>
                <w:lang w:val="en-NZ"/>
              </w:rPr>
            </w:pPr>
            <w:r w:rsidRPr="00ED3500">
              <w:t>Demonstrated performance across a representative range of contexts from the prescribed items below:</w:t>
            </w:r>
          </w:p>
        </w:tc>
      </w:tr>
      <w:tr w:rsidTr="007B172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ED3500">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500">
            <w:pPr>
              <w:pStyle w:val="BodyText"/>
              <w:rPr>
                <w:lang w:val="en-NZ"/>
              </w:rPr>
            </w:pPr>
            <w:r w:rsidRPr="00ED3500">
              <w:rPr>
                <w:rStyle w:val="SpecialBold"/>
              </w:rPr>
              <w:t>Range of tools</w:t>
            </w:r>
            <w:r w:rsidRPr="00ED3500">
              <w:t>/</w:t>
            </w:r>
            <w:r w:rsidRPr="00ED3500">
              <w:rPr>
                <w:rStyle w:val="SpecialBold"/>
              </w:rPr>
              <w:t>equipment</w:t>
            </w:r>
            <w:r w:rsidRPr="00ED3500">
              <w:t>/</w:t>
            </w:r>
            <w:r w:rsidRPr="00ED3500">
              <w:rPr>
                <w:rStyle w:val="SpecialBold"/>
              </w:rPr>
              <w:t>materials</w:t>
            </w:r>
            <w:r w:rsidRPr="00ED3500">
              <w:t>/</w:t>
            </w:r>
            <w:r w:rsidRPr="00ED3500">
              <w:rPr>
                <w:rStyle w:val="SpecialBold"/>
              </w:rPr>
              <w:t>procedures</w:t>
            </w:r>
            <w:r w:rsidRPr="00ED3500">
              <w:t>/</w:t>
            </w:r>
            <w:r w:rsidRPr="00ED3500">
              <w:rPr>
                <w:rStyle w:val="SpecialBold"/>
              </w:rPr>
              <w:t>workplaces</w:t>
            </w:r>
            <w:r w:rsidRPr="00ED3500">
              <w:t>/</w:t>
            </w:r>
            <w:r w:rsidRPr="00ED3500">
              <w:rPr>
                <w:rStyle w:val="SpecialBold"/>
              </w:rPr>
              <w:t>other variables</w:t>
            </w:r>
          </w:p>
        </w:tc>
      </w:tr>
      <w:tr w:rsidTr="007B172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ED3500">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500" w:rsidP="00ED3500">
            <w:pPr>
              <w:pStyle w:val="BodyText"/>
            </w:pPr>
            <w:r w:rsidRPr="00ED3500">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500" w:rsidP="00ED3500">
            <w:pPr>
              <w:pStyle w:val="BodyText"/>
            </w:pPr>
            <w:r w:rsidRPr="00ED3500">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500">
            <w:pPr>
              <w:pStyle w:val="BodyText"/>
              <w:rPr>
                <w:lang w:val="en-NZ"/>
              </w:rPr>
            </w:pPr>
            <w:r w:rsidRPr="00ED3500">
              <w:rPr>
                <w:rStyle w:val="SpecialBold"/>
              </w:rPr>
              <w:t>Item List</w:t>
            </w:r>
          </w:p>
        </w:tc>
      </w:tr>
      <w:tr w:rsidTr="007B172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500">
            <w:pPr>
              <w:pStyle w:val="BodyText"/>
              <w:rPr>
                <w:lang w:val="en-NZ"/>
              </w:rPr>
            </w:pPr>
            <w:r w:rsidRPr="00ED3500">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500">
            <w:pPr>
              <w:pStyle w:val="BodyText"/>
              <w:rPr>
                <w:lang w:val="en-NZ"/>
              </w:rPr>
            </w:pPr>
            <w:r w:rsidRPr="00ED3500">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500" w:rsidP="00ED3500">
            <w:pPr>
              <w:pStyle w:val="BodyText"/>
            </w:pPr>
            <w:r w:rsidRPr="00ED3500">
              <w:t>Approvals/clearances</w:t>
            </w:r>
          </w:p>
          <w:p w:rsidR="00000000" w:rsidP="00ED3500">
            <w:pPr>
              <w:pStyle w:val="BodyText"/>
              <w:rPr>
                <w:lang w:val="en-NZ"/>
              </w:rPr>
            </w:pPr>
            <w:r w:rsidRPr="00ED3500">
              <w:t>Access permits</w:t>
            </w:r>
          </w:p>
        </w:tc>
      </w:tr>
      <w:tr w:rsidTr="007B172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500">
            <w:pPr>
              <w:pStyle w:val="BodyText"/>
              <w:rPr>
                <w:lang w:val="en-NZ"/>
              </w:rPr>
            </w:pPr>
            <w:r w:rsidRPr="00ED3500">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500">
            <w:pPr>
              <w:pStyle w:val="BodyText"/>
              <w:rPr>
                <w:lang w:val="en-NZ"/>
              </w:rPr>
            </w:pPr>
            <w:r w:rsidRPr="00ED3500">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500" w:rsidP="00ED3500">
            <w:pPr>
              <w:pStyle w:val="BodyText"/>
            </w:pPr>
            <w:r w:rsidRPr="00ED3500">
              <w:t>HV operating sticks</w:t>
            </w:r>
          </w:p>
          <w:p w:rsidR="00000000" w:rsidRPr="00ED3500" w:rsidP="00ED3500">
            <w:pPr>
              <w:pStyle w:val="BodyText"/>
            </w:pPr>
            <w:r w:rsidRPr="00ED3500">
              <w:t>HV operating earths</w:t>
            </w:r>
          </w:p>
          <w:p w:rsidR="00000000" w:rsidP="00ED3500">
            <w:pPr>
              <w:pStyle w:val="BodyText"/>
              <w:rPr>
                <w:lang w:val="en-NZ"/>
              </w:rPr>
            </w:pPr>
            <w:r w:rsidRPr="00ED3500">
              <w:t>HV detectors</w:t>
            </w:r>
          </w:p>
        </w:tc>
      </w:tr>
      <w:tr w:rsidTr="007B172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500">
            <w:pPr>
              <w:pStyle w:val="BodyText"/>
              <w:rPr>
                <w:lang w:val="en-NZ"/>
              </w:rPr>
            </w:pPr>
            <w:r w:rsidRPr="00ED3500">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500">
            <w:pPr>
              <w:pStyle w:val="BodyText"/>
              <w:rPr>
                <w:lang w:val="en-NZ"/>
              </w:rPr>
            </w:pPr>
            <w:r w:rsidRPr="00ED3500">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500" w:rsidP="00ED3500">
            <w:pPr>
              <w:pStyle w:val="BodyText"/>
            </w:pPr>
            <w:r w:rsidRPr="00ED3500">
              <w:t>HV phasing sticks</w:t>
            </w:r>
          </w:p>
          <w:p w:rsidR="00000000" w:rsidP="00ED3500">
            <w:pPr>
              <w:pStyle w:val="BodyText"/>
              <w:rPr>
                <w:lang w:val="en-NZ"/>
              </w:rPr>
            </w:pPr>
            <w:r w:rsidRPr="00ED3500">
              <w:t>HV ground mounted equipment isolating handles and earths</w:t>
            </w:r>
          </w:p>
        </w:tc>
      </w:tr>
      <w:tr w:rsidTr="007B172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500">
            <w:pPr>
              <w:pStyle w:val="BodyText"/>
              <w:rPr>
                <w:lang w:val="en-NZ"/>
              </w:rPr>
            </w:pPr>
            <w:r w:rsidRPr="00ED3500">
              <w:t>D</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500">
            <w:pPr>
              <w:pStyle w:val="BodyText"/>
              <w:rPr>
                <w:lang w:val="en-NZ"/>
              </w:rPr>
            </w:pPr>
            <w:r w:rsidRPr="00ED3500">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500" w:rsidP="00ED3500">
            <w:pPr>
              <w:pStyle w:val="BodyText"/>
            </w:pPr>
            <w:r w:rsidRPr="00ED3500">
              <w:t>HV links</w:t>
            </w:r>
          </w:p>
          <w:p w:rsidR="00000000" w:rsidRPr="00ED3500" w:rsidP="00ED3500">
            <w:pPr>
              <w:pStyle w:val="BodyText"/>
            </w:pPr>
            <w:r w:rsidRPr="00ED3500">
              <w:t>Air break switches</w:t>
            </w:r>
          </w:p>
          <w:p w:rsidR="00000000" w:rsidP="00ED3500">
            <w:pPr>
              <w:pStyle w:val="BodyText"/>
              <w:rPr>
                <w:lang w:val="en-NZ"/>
              </w:rPr>
            </w:pPr>
            <w:r w:rsidRPr="00ED3500">
              <w:t>Fuses</w:t>
            </w:r>
          </w:p>
        </w:tc>
      </w:tr>
      <w:tr w:rsidTr="007B172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500">
            <w:pPr>
              <w:pStyle w:val="BodyText"/>
              <w:rPr>
                <w:lang w:val="en-NZ"/>
              </w:rPr>
            </w:pPr>
            <w:r w:rsidRPr="00ED3500">
              <w:t>E</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500">
            <w:pPr>
              <w:pStyle w:val="BodyText"/>
              <w:rPr>
                <w:lang w:val="en-NZ"/>
              </w:rPr>
            </w:pPr>
            <w:r w:rsidRPr="00ED3500">
              <w:t>At least three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500" w:rsidP="00ED3500">
            <w:pPr>
              <w:pStyle w:val="BodyText"/>
            </w:pPr>
            <w:r w:rsidRPr="00ED3500">
              <w:t>Reclosers</w:t>
            </w:r>
          </w:p>
          <w:p w:rsidR="00000000" w:rsidRPr="00ED3500" w:rsidP="00ED3500">
            <w:pPr>
              <w:pStyle w:val="BodyText"/>
            </w:pPr>
            <w:r w:rsidRPr="00ED3500">
              <w:t>Ring main units</w:t>
            </w:r>
          </w:p>
          <w:p w:rsidR="00000000" w:rsidRPr="00ED3500" w:rsidP="00ED3500">
            <w:pPr>
              <w:pStyle w:val="BodyText"/>
            </w:pPr>
            <w:r w:rsidRPr="00ED3500">
              <w:t>Circuit breakers</w:t>
            </w:r>
          </w:p>
          <w:p w:rsidR="00000000" w:rsidRPr="00ED3500" w:rsidP="00ED3500">
            <w:pPr>
              <w:pStyle w:val="BodyText"/>
            </w:pPr>
            <w:r w:rsidRPr="00ED3500">
              <w:t>Isolators</w:t>
            </w:r>
          </w:p>
          <w:p w:rsidR="00000000" w:rsidRPr="00ED3500" w:rsidP="00ED3500">
            <w:pPr>
              <w:pStyle w:val="BodyText"/>
            </w:pPr>
            <w:r w:rsidRPr="00ED3500">
              <w:t>Earth switches</w:t>
            </w:r>
          </w:p>
          <w:p w:rsidR="00000000" w:rsidP="00ED3500">
            <w:pPr>
              <w:pStyle w:val="BodyText"/>
              <w:rPr>
                <w:lang w:val="en-NZ"/>
              </w:rPr>
            </w:pPr>
            <w:r w:rsidRPr="00ED3500">
              <w:t>Sectionalisers</w:t>
            </w:r>
          </w:p>
        </w:tc>
      </w:tr>
      <w:tr w:rsidTr="007B172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500">
            <w:pPr>
              <w:pStyle w:val="BodyText"/>
              <w:rPr>
                <w:lang w:val="en-NZ"/>
              </w:rPr>
            </w:pPr>
            <w:r w:rsidRPr="00ED3500">
              <w:t>F</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500">
            <w:pPr>
              <w:pStyle w:val="BodyText"/>
              <w:rPr>
                <w:lang w:val="en-NZ"/>
              </w:rPr>
            </w:pPr>
            <w:r w:rsidRPr="00ED3500">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500">
            <w:pPr>
              <w:pStyle w:val="BodyText"/>
              <w:rPr>
                <w:lang w:val="en-NZ"/>
              </w:rPr>
            </w:pPr>
            <w:r w:rsidRPr="00ED3500">
              <w:t xml:space="preserve">Dealing with an unplanned event by drawing on essential knowledge and associated skills to provide appropriate solutions incorporated in the </w:t>
            </w:r>
            <w:r w:rsidRPr="00ED3500">
              <w:t>holistic assessment with the above listed items.</w:t>
            </w:r>
          </w:p>
        </w:tc>
      </w:tr>
      <w:tr w:rsidTr="007B172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9</w:t>
            </w:r>
            <w:r w:rsidRPr="00ED3500">
              <w:t>.</w:t>
            </w:r>
            <w:r w:rsidRPr="00ED3500">
              <w:rPr>
                <w:rStyle w:val="SpecialBold"/>
              </w:rPr>
              <w:t>3</w:t>
            </w:r>
            <w:r w:rsidRPr="00ED3500">
              <w:t xml:space="preserve">) </w:t>
            </w:r>
          </w:p>
          <w:p w:rsidR="00000000" w:rsidRPr="00ED3500" w:rsidP="00ED3500">
            <w:pPr>
              <w:pStyle w:val="BodyText"/>
            </w:pPr>
            <w:r w:rsidRPr="00ED3500">
              <w:t>This unit should be assessed as it relates to normal work practice using procedures, information and resources typical of a workplace. This should incl</w:t>
            </w:r>
            <w:r w:rsidRPr="00ED3500">
              <w:t>ude:</w:t>
            </w:r>
          </w:p>
          <w:p w:rsidR="00000000" w:rsidRPr="00ED3500" w:rsidP="00ED3500">
            <w:pPr>
              <w:pStyle w:val="ListBullet"/>
            </w:pPr>
            <w:r w:rsidRPr="00ED3500">
              <w:t>OHS policy and work procedures and instructions.</w:t>
            </w:r>
          </w:p>
          <w:p w:rsidR="00000000" w:rsidP="00ED3500">
            <w:pPr>
              <w:pStyle w:val="ListBullet"/>
              <w:rPr>
                <w:lang w:val="en-NZ"/>
              </w:rPr>
            </w:pPr>
            <w:r w:rsidRPr="00ED3500">
              <w:t xml:space="preserve">Suitable work environment, facilities, equipment and materials to undertake actual performance of HV field switching to a given schedule. </w:t>
            </w:r>
          </w:p>
        </w:tc>
      </w:tr>
      <w:tr w:rsidTr="007B172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In addition to the resources listed above, in Context of and specific resources for assessment, evidence should show demonstrated competency working below ground, in limited spaces, with different structural/construction types and method and in a variety o</w:t>
            </w:r>
            <w:r w:rsidRPr="00ED3500">
              <w:t xml:space="preserve">f environments. </w:t>
            </w:r>
          </w:p>
        </w:tc>
      </w:tr>
      <w:tr w:rsidTr="007B172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9</w:t>
            </w:r>
            <w:r w:rsidRPr="00ED3500">
              <w:t>.</w:t>
            </w:r>
            <w:r w:rsidRPr="00ED3500">
              <w:rPr>
                <w:rStyle w:val="SpecialBold"/>
              </w:rPr>
              <w:t>4</w:t>
            </w:r>
            <w:r w:rsidRPr="00ED3500">
              <w:t xml:space="preserve">) </w:t>
            </w:r>
          </w:p>
          <w:p w:rsidR="00000000" w:rsidRPr="00ED3500" w:rsidP="00ED3500">
            <w:pPr>
              <w:pStyle w:val="BodyText"/>
            </w:pPr>
            <w:r w:rsidRPr="00ED3500">
              <w:t>This Competency Standard Unit shall be assessed by methods given in Volume 1, Part 3 "Assessment Guidelines".</w:t>
            </w:r>
          </w:p>
          <w:p w:rsidR="00000000" w:rsidP="00ED3500">
            <w:pPr>
              <w:pStyle w:val="BodyText"/>
              <w:rPr>
                <w:lang w:val="en-NZ"/>
              </w:rPr>
            </w:pPr>
            <w:r w:rsidRPr="00ED3500">
              <w:t>Note:</w:t>
            </w:r>
            <w:r w:rsidRPr="00ED3500">
              <w:br/>
              <w:t>Competent performance with inherent safe working practices is expected in the Industry to wh</w:t>
            </w:r>
            <w:r w:rsidRPr="00ED3500">
              <w:t xml:space="preserve">ich this Competency Standard Unit applies. This requires that the specified essential knowledge and associated skills are assessed in a structured environment which is primarily intended for learning/assessment and incorporates all necessary equipment and </w:t>
            </w:r>
            <w:r w:rsidRPr="00ED3500">
              <w:t>facilities for learners to develop and demonstrate the essential knowledge and associated skills described in this unit.</w:t>
            </w:r>
          </w:p>
        </w:tc>
      </w:tr>
      <w:tr w:rsidTr="007B172F">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rPr>
                <w:rStyle w:val="SpecialBold"/>
              </w:rPr>
              <w:t>9</w:t>
            </w:r>
            <w:r w:rsidRPr="00ED3500">
              <w:t>.</w:t>
            </w:r>
            <w:r w:rsidRPr="00ED3500">
              <w:rPr>
                <w:rStyle w:val="SpecialBold"/>
              </w:rPr>
              <w:t>5</w:t>
            </w:r>
            <w:r w:rsidRPr="00ED3500">
              <w:t>)</w:t>
            </w:r>
          </w:p>
        </w:tc>
      </w:tr>
      <w:tr w:rsidTr="007B172F">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t>There are no concurrent assessment recommendations for this unit.</w:t>
            </w:r>
          </w:p>
        </w:tc>
      </w:tr>
    </w:tbl>
    <w:p w:rsidR="007B172F" w:rsidP="00ED3500">
      <w:pPr>
        <w:pStyle w:val="BodyText"/>
      </w:pPr>
    </w:p>
    <w:p w:rsidR="007B172F" w:rsidP="00ED3500">
      <w:pPr>
        <w:pStyle w:val="BodyText"/>
      </w:pPr>
    </w:p>
    <w:p w:rsidR="00000000" w:rsidRPr="00ED3500" w:rsidP="00ED3500">
      <w:pPr>
        <w:pStyle w:val="Heading1"/>
      </w:pPr>
      <w:bookmarkStart w:id="11" w:name="O_256147"/>
      <w:bookmarkEnd w:id="11"/>
      <w:r w:rsidRPr="00ED3500">
        <w:t>Range Statement</w:t>
      </w:r>
    </w:p>
    <w:tbl>
      <w:tblPr>
        <w:tblW w:w="0" w:type="auto"/>
        <w:tblLayout w:type="fixed"/>
        <w:tblCellMar>
          <w:left w:w="62" w:type="dxa"/>
          <w:right w:w="62" w:type="dxa"/>
        </w:tblCellMar>
        <w:tblLook w:val="0000"/>
      </w:tblPr>
      <w:tblGrid>
        <w:gridCol w:w="2207"/>
        <w:gridCol w:w="6433"/>
      </w:tblGrid>
      <w:tr w:rsidTr="007B172F">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rPr>
                <w:rStyle w:val="SpecialBold"/>
              </w:rPr>
              <w:t>RANGE STATEMENT</w:t>
            </w:r>
          </w:p>
        </w:tc>
      </w:tr>
      <w:tr w:rsidTr="007B172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rPr>
                <w:rStyle w:val="SpecialBold"/>
              </w:rPr>
              <w:t>8</w:t>
            </w:r>
            <w:r w:rsidRPr="00ED3500">
              <w:t xml:space="preserve">) This relates to the unit of competency as a whole providing the range of contexts and conditions </w:t>
            </w:r>
            <w:r w:rsidRPr="00ED3500">
              <w:t>to which the Performance Criteria apply. It allows for different work environments and situations that will affect performance.</w:t>
            </w:r>
          </w:p>
        </w:tc>
      </w:tr>
      <w:tr w:rsidTr="007B172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t>This Competency Standard Unit shall/may be demonstrated in relation to the carrying out of high voltage switching operations i</w:t>
            </w:r>
            <w:r w:rsidRPr="00ED3500">
              <w:t>nvolving the operation of circuit breaking and isolation devices from a given switching schedule.</w:t>
            </w:r>
          </w:p>
          <w:p w:rsidR="00000000" w:rsidRPr="00ED3500" w:rsidP="00ED3500">
            <w:pPr>
              <w:pStyle w:val="BodyText"/>
            </w:pPr>
            <w:r w:rsidRPr="00ED3500">
              <w:t>Switching operations are confined to those performed in field situations, not in system control rooms or substations and may include electrical load transfer.</w:t>
            </w:r>
          </w:p>
          <w:p w:rsidR="00000000" w:rsidRPr="00ED3500" w:rsidP="00ED3500">
            <w:pPr>
              <w:pStyle w:val="BodyText"/>
            </w:pPr>
            <w:r w:rsidRPr="00ED3500">
              <w:t>Switchgear includes reclosers, ring main units, circuit breakers, isolators, earth switches, sectionalisers, HV links, air break switches, live line clamps, and fuses.</w:t>
            </w:r>
          </w:p>
          <w:p w:rsidR="00000000" w:rsidRPr="00ED3500" w:rsidP="00ED3500">
            <w:pPr>
              <w:pStyle w:val="BodyText"/>
            </w:pPr>
            <w:r w:rsidRPr="00ED3500">
              <w:t>Specialist tools may include HV phasing sticks, HV link sticks, HV live-line clamp oper</w:t>
            </w:r>
            <w:r w:rsidRPr="00ED3500">
              <w:t>ating sticks, HV ground transformer isolating handles and associated earths, HV overhead operating earths and HV detectors.</w:t>
            </w:r>
          </w:p>
          <w:p w:rsidR="00000000" w:rsidRPr="00ED3500" w:rsidP="00ED3500">
            <w:pPr>
              <w:pStyle w:val="BodyText"/>
            </w:pPr>
            <w:r w:rsidRPr="00ED3500">
              <w:t>Switching program/schedule including necessary detail, e.g. structure, switch or equipment number; locations; HV feeder; outage time</w:t>
            </w:r>
            <w:r w:rsidRPr="00ED3500">
              <w:t xml:space="preserve">s; works plan/order; </w:t>
            </w:r>
          </w:p>
          <w:p w:rsidR="00000000" w:rsidP="00ED3500">
            <w:pPr>
              <w:pStyle w:val="BodyText"/>
              <w:rPr>
                <w:lang w:val="en-NZ"/>
              </w:rPr>
            </w:pPr>
            <w:r w:rsidRPr="00ED3500">
              <w:t>The following constants and variables included in the element/Performance Criteria in this unit are fully described in the Definitions Section 1 of this volume and form an integral part of the Range Statement of this unit:</w:t>
            </w:r>
          </w:p>
        </w:tc>
      </w:tr>
      <w:tr w:rsidTr="007B172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ED3500" w:rsidP="00ED3500">
            <w:pPr>
              <w:pStyle w:val="ListBullet"/>
            </w:pPr>
            <w:r w:rsidRPr="00ED3500">
              <w:t>Appropri</w:t>
            </w:r>
            <w:r w:rsidRPr="00ED3500">
              <w:t>ate and relevant persons (see Personnel)</w:t>
            </w:r>
          </w:p>
          <w:p w:rsidR="00000000" w:rsidRPr="00ED3500" w:rsidP="00ED3500">
            <w:pPr>
              <w:pStyle w:val="ListBullet"/>
            </w:pPr>
            <w:r w:rsidRPr="00ED3500">
              <w:t>Appropriate authorities</w:t>
            </w:r>
          </w:p>
          <w:p w:rsidR="00000000" w:rsidRPr="00ED3500" w:rsidP="00ED3500">
            <w:pPr>
              <w:pStyle w:val="ListBullet"/>
            </w:pPr>
            <w:r w:rsidRPr="00ED3500">
              <w:t>Appropriate work platform</w:t>
            </w:r>
          </w:p>
          <w:p w:rsidR="00000000" w:rsidRPr="00ED3500" w:rsidP="00ED3500">
            <w:pPr>
              <w:pStyle w:val="ListBullet"/>
            </w:pPr>
            <w:r w:rsidRPr="00ED3500">
              <w:t>Assessing risk</w:t>
            </w:r>
          </w:p>
          <w:p w:rsidR="00000000" w:rsidRPr="00ED3500" w:rsidP="00ED3500">
            <w:pPr>
              <w:pStyle w:val="ListBullet"/>
            </w:pPr>
            <w:r w:rsidRPr="00ED3500">
              <w:t>Assessment</w:t>
            </w:r>
          </w:p>
          <w:p w:rsidR="00000000" w:rsidRPr="00ED3500" w:rsidP="00ED3500">
            <w:pPr>
              <w:pStyle w:val="ListBullet"/>
            </w:pPr>
            <w:r w:rsidRPr="00ED3500">
              <w:t>Authorisation</w:t>
            </w:r>
          </w:p>
          <w:p w:rsidR="00000000" w:rsidRPr="00ED3500" w:rsidP="00ED3500">
            <w:pPr>
              <w:pStyle w:val="ListBullet"/>
            </w:pPr>
            <w:r w:rsidRPr="00ED3500">
              <w:t>Confined space</w:t>
            </w:r>
          </w:p>
          <w:p w:rsidR="00000000" w:rsidRPr="00ED3500" w:rsidP="00ED3500">
            <w:pPr>
              <w:pStyle w:val="ListBullet"/>
            </w:pPr>
            <w:r w:rsidRPr="00ED3500">
              <w:t>Diagnostic, testing and restoration</w:t>
            </w:r>
          </w:p>
          <w:p w:rsidR="00000000" w:rsidRPr="00ED3500" w:rsidP="00ED3500">
            <w:pPr>
              <w:pStyle w:val="ListBullet"/>
            </w:pPr>
            <w:r w:rsidRPr="00ED3500">
              <w:t>Documenting detail work events, record keeping and or storage of information</w:t>
            </w:r>
          </w:p>
          <w:p w:rsidR="00000000" w:rsidRPr="00ED3500" w:rsidP="00ED3500">
            <w:pPr>
              <w:pStyle w:val="ListBullet"/>
            </w:pPr>
            <w:r w:rsidRPr="00ED3500">
              <w:t>Drawings and specifications</w:t>
            </w:r>
          </w:p>
          <w:p w:rsidR="00000000" w:rsidRPr="00ED3500" w:rsidP="00ED3500">
            <w:pPr>
              <w:pStyle w:val="ListBullet"/>
            </w:pPr>
            <w:r w:rsidRPr="00ED3500">
              <w:t>Emergency</w:t>
            </w:r>
          </w:p>
          <w:p w:rsidR="00000000" w:rsidRPr="00ED3500" w:rsidP="00ED3500">
            <w:pPr>
              <w:pStyle w:val="ListBullet"/>
            </w:pPr>
            <w:r w:rsidRPr="00ED3500">
              <w:t>Environmental and sustainable energy procedures</w:t>
            </w:r>
          </w:p>
          <w:p w:rsidR="00000000" w:rsidRPr="00ED3500" w:rsidP="00ED3500">
            <w:pPr>
              <w:pStyle w:val="ListBullet"/>
            </w:pPr>
            <w:r w:rsidRPr="00ED3500">
              <w:t>Environmental legislation</w:t>
            </w:r>
          </w:p>
          <w:p w:rsidR="00000000" w:rsidRPr="00ED3500" w:rsidP="00ED3500">
            <w:pPr>
              <w:pStyle w:val="ListBullet"/>
            </w:pPr>
            <w:r w:rsidRPr="00ED3500">
              <w:t>Environmental management documentation</w:t>
            </w:r>
          </w:p>
          <w:p w:rsidR="00000000" w:rsidRPr="00ED3500" w:rsidP="00ED3500">
            <w:pPr>
              <w:pStyle w:val="ListBullet"/>
            </w:pPr>
            <w:r w:rsidRPr="00ED3500">
              <w:t>Established procedures</w:t>
            </w:r>
          </w:p>
          <w:p w:rsidR="00000000" w:rsidRPr="00ED3500" w:rsidP="00ED3500">
            <w:pPr>
              <w:pStyle w:val="ListBullet"/>
            </w:pPr>
            <w:r w:rsidRPr="00ED3500">
              <w:t xml:space="preserve">Fall </w:t>
            </w:r>
            <w:r w:rsidRPr="00ED3500">
              <w:t>prevention</w:t>
            </w:r>
          </w:p>
          <w:p w:rsidR="00000000" w:rsidRPr="00ED3500" w:rsidP="00ED3500">
            <w:pPr>
              <w:pStyle w:val="ListBullet"/>
            </w:pPr>
            <w:r w:rsidRPr="00ED3500">
              <w:t>Hazards</w:t>
            </w:r>
          </w:p>
          <w:p w:rsidR="00000000" w:rsidRPr="00ED3500" w:rsidP="00ED3500">
            <w:pPr>
              <w:pStyle w:val="ListBullet"/>
            </w:pPr>
            <w:r w:rsidRPr="00ED3500">
              <w:t>Identifying hazards</w:t>
            </w:r>
          </w:p>
          <w:p w:rsidR="00000000" w:rsidRPr="00ED3500" w:rsidP="00ED3500">
            <w:pPr>
              <w:pStyle w:val="ListBullet"/>
            </w:pPr>
            <w:r w:rsidRPr="00ED3500">
              <w:t>Inspect</w:t>
            </w:r>
          </w:p>
          <w:p w:rsidR="00000000" w:rsidRPr="00ED3500" w:rsidP="00ED3500">
            <w:pPr>
              <w:pStyle w:val="ListBullet"/>
            </w:pPr>
            <w:r w:rsidRPr="00ED3500">
              <w:t>Legislation</w:t>
            </w:r>
          </w:p>
          <w:p w:rsidR="00000000" w:rsidRPr="00ED3500" w:rsidP="00ED3500">
            <w:pPr>
              <w:pStyle w:val="ListBullet"/>
            </w:pPr>
            <w:r w:rsidRPr="00ED3500">
              <w:t>MSDS</w:t>
            </w:r>
          </w:p>
          <w:p w:rsidR="00000000" w:rsidRPr="00ED3500" w:rsidP="00ED3500">
            <w:pPr>
              <w:pStyle w:val="ListBullet"/>
            </w:pPr>
            <w:r w:rsidRPr="00ED3500">
              <w:t>Notification</w:t>
            </w:r>
          </w:p>
          <w:p w:rsidR="00000000" w:rsidRPr="00ED3500" w:rsidP="00ED3500">
            <w:pPr>
              <w:pStyle w:val="ListBullet"/>
            </w:pPr>
            <w:r w:rsidRPr="00ED3500">
              <w:t>OHS practices</w:t>
            </w:r>
          </w:p>
          <w:p w:rsidR="00000000" w:rsidRPr="00ED3500" w:rsidP="00ED3500">
            <w:pPr>
              <w:pStyle w:val="ListBullet"/>
            </w:pPr>
            <w:r w:rsidRPr="00ED3500">
              <w:t>OHS issues</w:t>
            </w:r>
          </w:p>
          <w:p w:rsidR="00000000" w:rsidRPr="00ED3500" w:rsidP="00ED3500">
            <w:pPr>
              <w:pStyle w:val="ListBullet"/>
            </w:pPr>
            <w:r w:rsidRPr="00ED3500">
              <w:t>Permits and/or permits to work</w:t>
            </w:r>
          </w:p>
          <w:p w:rsidR="00000000" w:rsidRPr="00ED3500" w:rsidP="00ED3500">
            <w:pPr>
              <w:pStyle w:val="ListBullet"/>
            </w:pPr>
            <w:r w:rsidRPr="00ED3500">
              <w:t>Personnel</w:t>
            </w:r>
          </w:p>
          <w:p w:rsidR="00000000" w:rsidRPr="00ED3500" w:rsidP="00ED3500">
            <w:pPr>
              <w:pStyle w:val="ListBullet"/>
            </w:pPr>
            <w:r w:rsidRPr="00ED3500">
              <w:t>Quality assurance systems</w:t>
            </w:r>
          </w:p>
          <w:p w:rsidR="00000000" w:rsidRPr="00ED3500" w:rsidP="00ED3500">
            <w:pPr>
              <w:pStyle w:val="ListBullet"/>
            </w:pPr>
            <w:r w:rsidRPr="00ED3500">
              <w:t>Requirements</w:t>
            </w:r>
          </w:p>
          <w:p w:rsidR="00000000" w:rsidRPr="00ED3500" w:rsidP="00ED3500">
            <w:pPr>
              <w:pStyle w:val="ListBullet"/>
            </w:pPr>
            <w:r w:rsidRPr="00ED3500">
              <w:t>Testing procedures</w:t>
            </w:r>
          </w:p>
          <w:p w:rsidR="00000000" w:rsidRPr="00ED3500" w:rsidP="00ED3500">
            <w:pPr>
              <w:pStyle w:val="ListBullet"/>
            </w:pPr>
            <w:r w:rsidRPr="00ED3500">
              <w:t>Work clearance systems</w:t>
            </w:r>
          </w:p>
        </w:tc>
      </w:tr>
    </w:tbl>
    <w:p w:rsidR="007B172F" w:rsidP="00ED3500">
      <w:pPr>
        <w:pStyle w:val="BodyText"/>
      </w:pPr>
    </w:p>
    <w:p w:rsidR="007B172F" w:rsidP="00ED3500">
      <w:pPr>
        <w:pStyle w:val="BodyText"/>
      </w:pPr>
    </w:p>
    <w:p w:rsidR="00000000" w:rsidRPr="00ED3500" w:rsidP="00ED3500">
      <w:pPr>
        <w:pStyle w:val="Heading1"/>
      </w:pPr>
      <w:bookmarkStart w:id="12" w:name="O_297160"/>
      <w:bookmarkEnd w:id="12"/>
      <w:r w:rsidRPr="00ED3500">
        <w:t>Unit Sector(s)</w:t>
      </w:r>
    </w:p>
    <w:p w:rsidR="00000000" w:rsidRPr="00ED3500" w:rsidP="00ED3500">
      <w:pPr>
        <w:pStyle w:val="BodyText"/>
      </w:pPr>
      <w:r w:rsidRPr="00ED3500">
        <w:t>Not Applicable</w:t>
      </w:r>
    </w:p>
    <w:p w:rsidR="00000000" w:rsidRPr="00ED3500" w:rsidP="00ED3500">
      <w:pPr>
        <w:pStyle w:val="AllowPageBreak"/>
      </w:pPr>
    </w:p>
    <w:p w:rsidR="00000000" w:rsidRPr="00ED3500" w:rsidP="00ED3500">
      <w:pPr>
        <w:pStyle w:val="Heading1"/>
      </w:pPr>
      <w:bookmarkStart w:id="13" w:name="O_231413"/>
      <w:bookmarkEnd w:id="13"/>
      <w:r w:rsidRPr="00ED3500">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7B172F">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2</w:t>
            </w:r>
            <w:r w:rsidRPr="00ED3500">
              <w:t>.</w:t>
            </w:r>
            <w:r w:rsidRPr="00ED3500">
              <w:rPr>
                <w:rStyle w:val="SpecialBold"/>
              </w:rPr>
              <w:t>2</w:t>
            </w:r>
            <w:r w:rsidRPr="00ED3500">
              <w:t xml:space="preserve">) </w:t>
            </w:r>
            <w:r w:rsidRPr="00ED3500">
              <w:rPr>
                <w:rStyle w:val="SpecialBold"/>
              </w:rPr>
              <w:t>Literacy and numeracy skills</w:t>
            </w:r>
          </w:p>
          <w:p w:rsidR="00000000" w:rsidP="00ED3500">
            <w:pPr>
              <w:pStyle w:val="BodyText"/>
              <w:rPr>
                <w:lang w:val="en-NZ"/>
              </w:rPr>
            </w:pPr>
            <w:r w:rsidRPr="00ED3500">
              <w:t>Participants are best equipped to achieve this unit if they have reading, writing and numeracy skills indicated by the following scales. Desc</w:t>
            </w:r>
            <w:r w:rsidRPr="00ED3500">
              <w:t>ription of each scale is given in Volume 2, Part 3 "Literacy and Numeracy"</w:t>
            </w:r>
          </w:p>
        </w:tc>
      </w:tr>
      <w:tr w:rsidTr="007B172F">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Reading</w:t>
            </w:r>
          </w:p>
        </w:tc>
        <w:tc>
          <w:tcPr>
            <w:tcW w:w="1207"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3</w:t>
            </w:r>
          </w:p>
        </w:tc>
        <w:tc>
          <w:tcPr>
            <w:tcW w:w="1776"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Writing</w:t>
            </w:r>
          </w:p>
        </w:tc>
        <w:tc>
          <w:tcPr>
            <w:tcW w:w="1207"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3</w:t>
            </w:r>
          </w:p>
        </w:tc>
        <w:tc>
          <w:tcPr>
            <w:tcW w:w="1758"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t>Numeracy</w:t>
            </w:r>
          </w:p>
        </w:tc>
        <w:tc>
          <w:tcPr>
            <w:tcW w:w="1207"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t>3</w:t>
            </w:r>
          </w:p>
        </w:tc>
      </w:tr>
    </w:tbl>
    <w:p w:rsidR="007B172F" w:rsidP="00ED3500">
      <w:pPr>
        <w:pStyle w:val="BodyText"/>
      </w:pPr>
    </w:p>
    <w:p w:rsidR="007B172F" w:rsidP="00ED3500">
      <w:pPr>
        <w:pStyle w:val="BodyText"/>
      </w:pPr>
    </w:p>
    <w:p w:rsidR="00000000" w:rsidRPr="00ED3500" w:rsidP="00ED3500">
      <w:pPr>
        <w:pStyle w:val="Heading1"/>
      </w:pPr>
      <w:bookmarkStart w:id="14" w:name="O_231416"/>
      <w:bookmarkEnd w:id="14"/>
      <w:r w:rsidRPr="00ED3500">
        <w:t>Competency Field</w:t>
      </w:r>
    </w:p>
    <w:tbl>
      <w:tblPr>
        <w:tblW w:w="0" w:type="auto"/>
        <w:tblLayout w:type="fixed"/>
        <w:tblCellMar>
          <w:left w:w="62" w:type="dxa"/>
          <w:right w:w="62" w:type="dxa"/>
        </w:tblCellMar>
        <w:tblLook w:val="0000"/>
      </w:tblPr>
      <w:tblGrid>
        <w:gridCol w:w="2758"/>
        <w:gridCol w:w="5882"/>
      </w:tblGrid>
      <w:tr w:rsidTr="007B172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ED3500">
            <w:pPr>
              <w:pStyle w:val="BodyText"/>
              <w:rPr>
                <w:lang w:val="en-NZ"/>
              </w:rPr>
            </w:pPr>
            <w:r w:rsidRPr="00ED3500">
              <w:rPr>
                <w:rStyle w:val="SpecialBold"/>
              </w:rPr>
              <w:t>5</w:t>
            </w:r>
            <w:r w:rsidRPr="00ED3500">
              <w:t>)</w:t>
            </w:r>
          </w:p>
        </w:tc>
      </w:tr>
      <w:tr w:rsidTr="007B172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ED3500" w:rsidP="00ED3500">
            <w:pPr>
              <w:pStyle w:val="BodyText"/>
            </w:pPr>
            <w:r w:rsidRPr="00ED3500">
              <w:t>Industry Specific Cross-Discipline Units</w:t>
            </w:r>
          </w:p>
        </w:tc>
      </w:tr>
    </w:tbl>
    <w:p w:rsidR="007B172F" w:rsidP="00ED3500">
      <w:pPr>
        <w:pStyle w:val="BodyText"/>
      </w:pPr>
    </w:p>
    <w:p w:rsidR="007B172F" w:rsidP="00ED3500">
      <w:pPr>
        <w:pStyle w:val="BodyText"/>
      </w:pPr>
    </w:p>
    <w:p w:rsidR="00000000" w:rsidRPr="00ED3500" w:rsidP="00ED3500"/>
    <w:sectPr w:rsidSect="00ED35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5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72F" w:rsidP="007B17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5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72F" w:rsidP="00ED35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B172F" w:rsidP="00ED35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B172F" w:rsidP="00ED35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5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500" w:rsidRPr="007B172F" w:rsidP="007B17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5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72F" w:rsidRPr="002D2AF8" w:rsidP="00ED3500">
    <w:pPr>
      <w:pStyle w:val="Header"/>
      <w:framePr w:wrap="around"/>
    </w:pPr>
    <w:r>
      <w:fldChar w:fldCharType="begin"/>
    </w:r>
    <w:r>
      <w:instrText xml:space="preserve"> TITLE   \* MERGEFORMAT </w:instrText>
    </w:r>
    <w:r>
      <w:fldChar w:fldCharType="separate"/>
    </w:r>
    <w:r>
      <w:t>UETTDRIS04B Perform high voltage field switching operation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B172F" w:rsidP="00ED35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1C05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68B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EA6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5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500"/>
    <w:pPr>
      <w:spacing w:before="360" w:after="60"/>
      <w:outlineLvl w:val="0"/>
    </w:pPr>
    <w:rPr>
      <w:sz w:val="32"/>
    </w:rPr>
  </w:style>
  <w:style w:type="paragraph" w:styleId="Heading2">
    <w:name w:val="heading 2"/>
    <w:basedOn w:val="HeadingBase"/>
    <w:next w:val="BodyText"/>
    <w:link w:val="Heading2Char"/>
    <w:qFormat/>
    <w:rsid w:val="00ED3500"/>
    <w:pPr>
      <w:keepLines/>
      <w:spacing w:before="240" w:after="120"/>
      <w:outlineLvl w:val="1"/>
    </w:pPr>
    <w:rPr>
      <w:sz w:val="28"/>
      <w:szCs w:val="40"/>
    </w:rPr>
  </w:style>
  <w:style w:type="paragraph" w:styleId="Heading3">
    <w:name w:val="heading 3"/>
    <w:basedOn w:val="HeadingBase"/>
    <w:next w:val="BodyText"/>
    <w:link w:val="Heading3Char"/>
    <w:qFormat/>
    <w:rsid w:val="00ED3500"/>
    <w:pPr>
      <w:spacing w:before="180" w:after="120"/>
      <w:outlineLvl w:val="2"/>
    </w:pPr>
    <w:rPr>
      <w:spacing w:val="-10"/>
      <w:kern w:val="32"/>
    </w:rPr>
  </w:style>
  <w:style w:type="paragraph" w:styleId="Heading4">
    <w:name w:val="heading 4"/>
    <w:basedOn w:val="HeadingBase"/>
    <w:next w:val="BodyText"/>
    <w:link w:val="Heading4Char"/>
    <w:qFormat/>
    <w:rsid w:val="00ED3500"/>
    <w:pPr>
      <w:spacing w:before="160" w:after="120"/>
      <w:outlineLvl w:val="3"/>
    </w:pPr>
    <w:rPr>
      <w:sz w:val="22"/>
    </w:rPr>
  </w:style>
  <w:style w:type="paragraph" w:styleId="Heading5">
    <w:name w:val="heading 5"/>
    <w:basedOn w:val="HeadingBase"/>
    <w:next w:val="Normal"/>
    <w:link w:val="Heading5Char"/>
    <w:qFormat/>
    <w:rsid w:val="00ED3500"/>
    <w:pPr>
      <w:spacing w:before="80"/>
      <w:outlineLvl w:val="4"/>
    </w:pPr>
    <w:rPr>
      <w:color w:val="918585"/>
      <w:sz w:val="20"/>
    </w:rPr>
  </w:style>
  <w:style w:type="paragraph" w:styleId="Heading6">
    <w:name w:val="heading 6"/>
    <w:basedOn w:val="HeadingBase"/>
    <w:next w:val="Normal"/>
    <w:link w:val="Heading6Char"/>
    <w:qFormat/>
    <w:rsid w:val="00ED3500"/>
    <w:pPr>
      <w:spacing w:before="60"/>
      <w:outlineLvl w:val="5"/>
    </w:pPr>
    <w:rPr>
      <w:color w:val="918585"/>
      <w:sz w:val="20"/>
    </w:rPr>
  </w:style>
  <w:style w:type="paragraph" w:styleId="Heading7">
    <w:name w:val="heading 7"/>
    <w:basedOn w:val="Normal"/>
    <w:next w:val="Normal"/>
    <w:link w:val="Heading7Char"/>
    <w:qFormat/>
    <w:rsid w:val="00ED3500"/>
    <w:pPr>
      <w:ind w:left="720"/>
      <w:outlineLvl w:val="6"/>
    </w:pPr>
    <w:rPr>
      <w:i/>
    </w:rPr>
  </w:style>
  <w:style w:type="paragraph" w:styleId="Heading8">
    <w:name w:val="heading 8"/>
    <w:basedOn w:val="Normal"/>
    <w:next w:val="Normal"/>
    <w:link w:val="Heading8Char"/>
    <w:qFormat/>
    <w:rsid w:val="00ED3500"/>
    <w:pPr>
      <w:ind w:left="720"/>
      <w:outlineLvl w:val="7"/>
    </w:pPr>
    <w:rPr>
      <w:i/>
    </w:rPr>
  </w:style>
  <w:style w:type="paragraph" w:styleId="Heading9">
    <w:name w:val="heading 9"/>
    <w:basedOn w:val="Normal"/>
    <w:next w:val="Normal"/>
    <w:link w:val="Heading9Char"/>
    <w:qFormat/>
    <w:rsid w:val="00ED3500"/>
    <w:pPr>
      <w:ind w:left="720"/>
      <w:outlineLvl w:val="8"/>
    </w:pPr>
    <w:rPr>
      <w:i/>
    </w:rPr>
  </w:style>
  <w:style w:type="character" w:default="1" w:styleId="DefaultParagraphFont">
    <w:name w:val="Default Paragraph Font"/>
    <w:uiPriority w:val="1"/>
    <w:unhideWhenUsed/>
    <w:rsid w:val="00ED35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500"/>
  </w:style>
  <w:style w:type="character" w:customStyle="1" w:styleId="Heading1Char">
    <w:name w:val="Heading 1 Char"/>
    <w:basedOn w:val="DefaultParagraphFont"/>
    <w:link w:val="Heading1"/>
    <w:rsid w:val="00ED3500"/>
    <w:rPr>
      <w:rFonts w:ascii="Times New Roman" w:eastAsia="Times New Roman" w:hAnsi="Times New Roman" w:cs="Times New Roman"/>
      <w:b/>
      <w:sz w:val="32"/>
      <w:szCs w:val="20"/>
      <w:lang w:eastAsia="en-US"/>
    </w:rPr>
  </w:style>
  <w:style w:type="paragraph" w:styleId="BodyText">
    <w:name w:val="Body Text"/>
    <w:basedOn w:val="Normal"/>
    <w:link w:val="BodyTextChar"/>
    <w:rsid w:val="00ED35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3500"/>
    <w:rPr>
      <w:rFonts w:ascii="Times New Roman" w:eastAsia="Times New Roman" w:hAnsi="Times New Roman" w:cs="Times New Roman"/>
      <w:sz w:val="24"/>
      <w:lang w:eastAsia="en-US"/>
    </w:rPr>
  </w:style>
  <w:style w:type="paragraph" w:styleId="Footer">
    <w:name w:val="footer"/>
    <w:basedOn w:val="Normal"/>
    <w:link w:val="FooterChar"/>
    <w:rsid w:val="00ED35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500"/>
    <w:rPr>
      <w:rFonts w:ascii="Times New Roman" w:eastAsia="Times New Roman" w:hAnsi="Times New Roman" w:cs="Times New Roman"/>
      <w:sz w:val="16"/>
      <w:lang w:eastAsia="en-US"/>
    </w:rPr>
  </w:style>
  <w:style w:type="paragraph" w:styleId="ListBullet">
    <w:name w:val="List Bullet"/>
    <w:basedOn w:val="List"/>
    <w:rsid w:val="00ED3500"/>
    <w:pPr>
      <w:numPr>
        <w:numId w:val="13"/>
      </w:numPr>
      <w:tabs>
        <w:tab w:val="clear" w:pos="340"/>
      </w:tabs>
      <w:spacing w:before="40" w:after="40"/>
    </w:pPr>
  </w:style>
  <w:style w:type="character" w:customStyle="1" w:styleId="SpecialBold">
    <w:name w:val="Special Bold"/>
    <w:basedOn w:val="DefaultParagraphFont"/>
    <w:rsid w:val="00ED3500"/>
    <w:rPr>
      <w:b/>
      <w:spacing w:val="0"/>
    </w:rPr>
  </w:style>
  <w:style w:type="paragraph" w:styleId="ListBullet2">
    <w:name w:val="List Bullet 2"/>
    <w:basedOn w:val="List2"/>
    <w:rsid w:val="00ED3500"/>
    <w:pPr>
      <w:numPr>
        <w:numId w:val="14"/>
      </w:numPr>
      <w:tabs>
        <w:tab w:val="clear" w:pos="680"/>
      </w:tabs>
    </w:pPr>
  </w:style>
  <w:style w:type="paragraph" w:customStyle="1" w:styleId="SuperHeading">
    <w:name w:val="SuperHeading"/>
    <w:basedOn w:val="Normal"/>
    <w:rsid w:val="00ED3500"/>
    <w:pPr>
      <w:spacing w:before="240" w:after="120"/>
      <w:outlineLvl w:val="0"/>
    </w:pPr>
    <w:rPr>
      <w:rFonts w:ascii="Times New Roman" w:hAnsi="Times New Roman"/>
      <w:b/>
      <w:sz w:val="28"/>
    </w:rPr>
  </w:style>
  <w:style w:type="paragraph" w:customStyle="1" w:styleId="AllowPageBreak">
    <w:name w:val="AllowPageBreak"/>
    <w:rsid w:val="00ED35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35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5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35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35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5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5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5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500"/>
    <w:rPr>
      <w:rFonts w:ascii="Courier New" w:eastAsia="Times New Roman" w:hAnsi="Courier New" w:cs="Times New Roman"/>
      <w:i/>
      <w:szCs w:val="20"/>
      <w:lang w:eastAsia="en-US"/>
    </w:rPr>
  </w:style>
  <w:style w:type="paragraph" w:customStyle="1" w:styleId="HeadingBase">
    <w:name w:val="Heading Base"/>
    <w:rsid w:val="00ED35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500"/>
    <w:pPr>
      <w:tabs>
        <w:tab w:val="right" w:leader="dot" w:pos="9072"/>
      </w:tabs>
      <w:ind w:left="567"/>
    </w:pPr>
    <w:rPr>
      <w:szCs w:val="22"/>
    </w:rPr>
  </w:style>
  <w:style w:type="paragraph" w:customStyle="1" w:styleId="TOCBase">
    <w:name w:val="TOC Base"/>
    <w:rsid w:val="00ED35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500"/>
    <w:pPr>
      <w:tabs>
        <w:tab w:val="right" w:leader="dot" w:pos="9072"/>
      </w:tabs>
      <w:spacing w:before="40" w:after="40"/>
      <w:ind w:left="284"/>
    </w:pPr>
    <w:rPr>
      <w:rFonts w:ascii="Times New Roman" w:hAnsi="Times New Roman"/>
    </w:rPr>
  </w:style>
  <w:style w:type="paragraph" w:styleId="TOC1">
    <w:name w:val="toc 1"/>
    <w:basedOn w:val="TOCBase"/>
    <w:next w:val="Normal"/>
    <w:rsid w:val="00ED35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3500"/>
    <w:pPr>
      <w:spacing w:before="5040"/>
      <w:jc w:val="center"/>
    </w:pPr>
    <w:rPr>
      <w:sz w:val="48"/>
      <w:szCs w:val="72"/>
      <w:lang w:val="en-US"/>
    </w:rPr>
  </w:style>
  <w:style w:type="character" w:customStyle="1" w:styleId="TitleChar">
    <w:name w:val="Title Char"/>
    <w:basedOn w:val="DefaultParagraphFont"/>
    <w:link w:val="Title"/>
    <w:rsid w:val="00ED35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500"/>
    <w:pPr>
      <w:tabs>
        <w:tab w:val="left" w:pos="3600"/>
        <w:tab w:val="left" w:pos="3958"/>
      </w:tabs>
    </w:pPr>
  </w:style>
  <w:style w:type="paragraph" w:styleId="List">
    <w:name w:val="List"/>
    <w:basedOn w:val="BodyText"/>
    <w:next w:val="BodyText"/>
    <w:rsid w:val="00ED3500"/>
    <w:pPr>
      <w:tabs>
        <w:tab w:val="left" w:pos="340"/>
      </w:tabs>
      <w:spacing w:before="60" w:after="60"/>
      <w:ind w:left="340" w:hanging="340"/>
    </w:pPr>
  </w:style>
  <w:style w:type="paragraph" w:customStyle="1" w:styleId="Note">
    <w:name w:val="Note"/>
    <w:basedOn w:val="BodyText"/>
    <w:rsid w:val="00ED35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3500"/>
    <w:pPr>
      <w:framePr w:wrap="auto" w:hAnchor="text" w:y="6049"/>
    </w:pPr>
    <w:rPr>
      <w:color w:val="000000"/>
      <w:sz w:val="40"/>
    </w:rPr>
  </w:style>
  <w:style w:type="paragraph" w:customStyle="1" w:styleId="TOCTitle">
    <w:name w:val="TOCTitle"/>
    <w:basedOn w:val="Heading1"/>
    <w:rsid w:val="00ED3500"/>
    <w:pPr>
      <w:spacing w:after="240"/>
      <w:jc w:val="center"/>
      <w:outlineLvl w:val="9"/>
    </w:pPr>
    <w:rPr>
      <w:caps/>
    </w:rPr>
  </w:style>
  <w:style w:type="paragraph" w:customStyle="1" w:styleId="Version">
    <w:name w:val="Version"/>
    <w:rsid w:val="00ED35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3500"/>
    <w:pPr>
      <w:keepNext w:val="0"/>
      <w:tabs>
        <w:tab w:val="right" w:pos="4176"/>
      </w:tabs>
      <w:ind w:left="198" w:hanging="198"/>
    </w:pPr>
    <w:rPr>
      <w:rFonts w:ascii="Garamond" w:hAnsi="Garamond"/>
    </w:rPr>
  </w:style>
  <w:style w:type="paragraph" w:styleId="IndexHeading">
    <w:name w:val="index heading"/>
    <w:basedOn w:val="Normal"/>
    <w:next w:val="Index1"/>
    <w:semiHidden/>
    <w:rsid w:val="00ED3500"/>
    <w:pPr>
      <w:spacing w:before="120" w:after="120"/>
    </w:pPr>
    <w:rPr>
      <w:rFonts w:ascii="Arial" w:hAnsi="Arial"/>
      <w:b/>
      <w:color w:val="918585"/>
      <w:sz w:val="24"/>
    </w:rPr>
  </w:style>
  <w:style w:type="paragraph" w:styleId="Header">
    <w:name w:val="header"/>
    <w:basedOn w:val="Normal"/>
    <w:link w:val="HeaderChar"/>
    <w:rsid w:val="00ED35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500"/>
    <w:rPr>
      <w:rFonts w:ascii="Times New Roman" w:eastAsia="Times New Roman" w:hAnsi="Times New Roman" w:cs="Times New Roman"/>
      <w:sz w:val="16"/>
      <w:szCs w:val="20"/>
      <w:lang w:val="en-GB" w:eastAsia="en-US"/>
    </w:rPr>
  </w:style>
  <w:style w:type="paragraph" w:customStyle="1" w:styleId="Chapter">
    <w:name w:val="Chapter"/>
    <w:basedOn w:val="Normal"/>
    <w:rsid w:val="00ED3500"/>
    <w:pPr>
      <w:spacing w:before="240"/>
    </w:pPr>
    <w:rPr>
      <w:rFonts w:ascii="Times New Roman" w:hAnsi="Times New Roman"/>
      <w:smallCaps/>
      <w:spacing w:val="80"/>
      <w:sz w:val="28"/>
    </w:rPr>
  </w:style>
  <w:style w:type="paragraph" w:customStyle="1" w:styleId="InChapter">
    <w:name w:val="InChapter"/>
    <w:basedOn w:val="Heading3"/>
    <w:rsid w:val="00ED3500"/>
    <w:pPr>
      <w:spacing w:after="240"/>
      <w:outlineLvl w:val="9"/>
    </w:pPr>
    <w:rPr>
      <w:noProof/>
    </w:rPr>
  </w:style>
  <w:style w:type="paragraph" w:styleId="Index2">
    <w:name w:val="index 2"/>
    <w:basedOn w:val="Normal"/>
    <w:next w:val="Normal"/>
    <w:semiHidden/>
    <w:rsid w:val="00ED3500"/>
    <w:pPr>
      <w:tabs>
        <w:tab w:val="right" w:pos="4176"/>
      </w:tabs>
      <w:ind w:left="568" w:hanging="284"/>
    </w:pPr>
    <w:rPr>
      <w:rFonts w:ascii="Garamond" w:hAnsi="Garamond"/>
    </w:rPr>
  </w:style>
  <w:style w:type="paragraph" w:customStyle="1" w:styleId="Byline">
    <w:name w:val="Byline"/>
    <w:rsid w:val="00ED35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500"/>
    <w:pPr>
      <w:tabs>
        <w:tab w:val="clear" w:pos="3600"/>
        <w:tab w:val="clear" w:pos="3958"/>
      </w:tabs>
      <w:jc w:val="right"/>
    </w:pPr>
  </w:style>
  <w:style w:type="character" w:styleId="Emphasis">
    <w:name w:val="Emphasis"/>
    <w:basedOn w:val="DefaultParagraphFont"/>
    <w:qFormat/>
    <w:rsid w:val="00ED3500"/>
    <w:rPr>
      <w:i/>
    </w:rPr>
  </w:style>
  <w:style w:type="paragraph" w:styleId="Caption">
    <w:name w:val="caption"/>
    <w:basedOn w:val="BodyText"/>
    <w:next w:val="Normal"/>
    <w:qFormat/>
    <w:rsid w:val="00ED3500"/>
    <w:pPr>
      <w:framePr w:w="2268" w:hSpace="181" w:vSpace="181" w:wrap="around" w:vAnchor="text" w:hAnchor="page" w:x="1135" w:y="285" w:anchorLock="1"/>
    </w:pPr>
    <w:rPr>
      <w:i/>
    </w:rPr>
  </w:style>
  <w:style w:type="paragraph" w:customStyle="1" w:styleId="MiniTOCTitle">
    <w:name w:val="MiniTOCTitle"/>
    <w:basedOn w:val="Heading4"/>
    <w:rsid w:val="00ED3500"/>
    <w:pPr>
      <w:spacing w:before="240"/>
      <w:outlineLvl w:val="9"/>
    </w:pPr>
    <w:rPr>
      <w:noProof/>
      <w:sz w:val="24"/>
    </w:rPr>
  </w:style>
  <w:style w:type="paragraph" w:customStyle="1" w:styleId="MiniTOCItem">
    <w:name w:val="MiniTOCItem"/>
    <w:basedOn w:val="ListBullet"/>
    <w:rsid w:val="00ED3500"/>
    <w:pPr>
      <w:numPr>
        <w:numId w:val="0"/>
      </w:numPr>
      <w:tabs>
        <w:tab w:val="right" w:leader="dot" w:pos="6521"/>
      </w:tabs>
      <w:spacing w:before="0" w:after="0"/>
    </w:pPr>
  </w:style>
  <w:style w:type="paragraph" w:customStyle="1" w:styleId="TOFTitle">
    <w:name w:val="TOFTitle"/>
    <w:basedOn w:val="TOCTitle"/>
    <w:rsid w:val="00ED3500"/>
  </w:style>
  <w:style w:type="paragraph" w:styleId="TableofFigures">
    <w:name w:val="table of figures"/>
    <w:basedOn w:val="Normal"/>
    <w:next w:val="Normal"/>
    <w:semiHidden/>
    <w:rsid w:val="00ED3500"/>
    <w:pPr>
      <w:tabs>
        <w:tab w:val="right" w:leader="dot" w:pos="9072"/>
      </w:tabs>
      <w:ind w:left="970" w:hanging="403"/>
    </w:pPr>
    <w:rPr>
      <w:rFonts w:ascii="Times New Roman" w:hAnsi="Times New Roman"/>
      <w:b/>
    </w:rPr>
  </w:style>
  <w:style w:type="paragraph" w:styleId="ListNumber">
    <w:name w:val="List Number"/>
    <w:basedOn w:val="List"/>
    <w:rsid w:val="00ED3500"/>
    <w:pPr>
      <w:numPr>
        <w:numId w:val="11"/>
      </w:numPr>
    </w:pPr>
  </w:style>
  <w:style w:type="character" w:customStyle="1" w:styleId="WingdingSymbols">
    <w:name w:val="Wingding Symbols"/>
    <w:rsid w:val="00ED3500"/>
    <w:rPr>
      <w:rFonts w:ascii="Wingdings" w:hAnsi="Wingdings"/>
    </w:rPr>
  </w:style>
  <w:style w:type="paragraph" w:customStyle="1" w:styleId="TableHeading">
    <w:name w:val="Table Heading"/>
    <w:basedOn w:val="HeadingBase"/>
    <w:rsid w:val="00ED3500"/>
    <w:pPr>
      <w:keepLines/>
      <w:pBdr>
        <w:bottom w:val="single" w:sz="6" w:space="1" w:color="918585"/>
      </w:pBdr>
      <w:spacing w:before="240"/>
    </w:pPr>
  </w:style>
  <w:style w:type="character" w:customStyle="1" w:styleId="HotSpot">
    <w:name w:val="HotSpot"/>
    <w:rsid w:val="00ED3500"/>
    <w:rPr>
      <w:color w:val="0033CC"/>
      <w:u w:val="none"/>
    </w:rPr>
  </w:style>
  <w:style w:type="paragraph" w:customStyle="1" w:styleId="BodyTextRight">
    <w:name w:val="Body Text Right"/>
    <w:basedOn w:val="BodyText"/>
    <w:rsid w:val="00ED3500"/>
    <w:pPr>
      <w:spacing w:before="0" w:after="0"/>
      <w:jc w:val="right"/>
    </w:pPr>
  </w:style>
  <w:style w:type="paragraph" w:styleId="Index3">
    <w:name w:val="index 3"/>
    <w:basedOn w:val="ListNumber2"/>
    <w:next w:val="Normal"/>
    <w:semiHidden/>
    <w:rsid w:val="00ED3500"/>
    <w:pPr>
      <w:numPr>
        <w:numId w:val="0"/>
      </w:numPr>
      <w:tabs>
        <w:tab w:val="right" w:leader="dot" w:pos="4176"/>
      </w:tabs>
    </w:pPr>
  </w:style>
  <w:style w:type="paragraph" w:styleId="ListNumber2">
    <w:name w:val="List Number 2"/>
    <w:basedOn w:val="List2"/>
    <w:rsid w:val="00ED3500"/>
    <w:pPr>
      <w:numPr>
        <w:numId w:val="10"/>
      </w:numPr>
      <w:tabs>
        <w:tab w:val="clear" w:pos="1060"/>
      </w:tabs>
    </w:pPr>
  </w:style>
  <w:style w:type="paragraph" w:customStyle="1" w:styleId="MarginNote">
    <w:name w:val="Margin Note"/>
    <w:basedOn w:val="BodyText"/>
    <w:rsid w:val="00ED35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5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5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500"/>
    <w:rPr>
      <w:sz w:val="32"/>
    </w:rPr>
  </w:style>
  <w:style w:type="paragraph" w:customStyle="1" w:styleId="HeadingProcedure">
    <w:name w:val="Heading Procedure"/>
    <w:basedOn w:val="HeadingBase"/>
    <w:next w:val="Normal"/>
    <w:rsid w:val="00ED3500"/>
    <w:pPr>
      <w:tabs>
        <w:tab w:val="left" w:pos="0"/>
      </w:tabs>
      <w:spacing w:before="120" w:after="60"/>
    </w:pPr>
    <w:rPr>
      <w:i/>
      <w:color w:val="918585"/>
      <w:sz w:val="22"/>
    </w:rPr>
  </w:style>
  <w:style w:type="paragraph" w:customStyle="1" w:styleId="TableBodyText">
    <w:name w:val="Table Body Text"/>
    <w:basedOn w:val="BodyText"/>
    <w:rsid w:val="00ED3500"/>
    <w:pPr>
      <w:spacing w:before="60" w:after="60"/>
    </w:pPr>
  </w:style>
  <w:style w:type="paragraph" w:styleId="ListContinue">
    <w:name w:val="List Continue"/>
    <w:basedOn w:val="List"/>
    <w:rsid w:val="00ED3500"/>
    <w:pPr>
      <w:ind w:firstLine="0"/>
    </w:pPr>
  </w:style>
  <w:style w:type="paragraph" w:customStyle="1" w:styleId="ListNote">
    <w:name w:val="List Note"/>
    <w:basedOn w:val="List"/>
    <w:rsid w:val="00ED3500"/>
    <w:pPr>
      <w:pBdr>
        <w:top w:val="single" w:sz="6" w:space="2" w:color="918585"/>
        <w:bottom w:val="single" w:sz="6" w:space="2" w:color="918585"/>
      </w:pBdr>
      <w:tabs>
        <w:tab w:val="left" w:pos="1021"/>
      </w:tabs>
      <w:ind w:firstLine="0"/>
    </w:pPr>
  </w:style>
  <w:style w:type="paragraph" w:customStyle="1" w:styleId="Warning">
    <w:name w:val="Warning"/>
    <w:basedOn w:val="BodyText"/>
    <w:rsid w:val="00ED3500"/>
    <w:pPr>
      <w:shd w:val="clear" w:color="auto" w:fill="D9D9D9"/>
      <w:tabs>
        <w:tab w:val="left" w:pos="992"/>
      </w:tabs>
      <w:ind w:left="119" w:right="119"/>
    </w:pPr>
    <w:rPr>
      <w:sz w:val="20"/>
    </w:rPr>
  </w:style>
  <w:style w:type="paragraph" w:customStyle="1" w:styleId="MarginIcons">
    <w:name w:val="Margin Icons"/>
    <w:basedOn w:val="BodyText"/>
    <w:rsid w:val="00ED35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500"/>
    <w:rPr>
      <w:rFonts w:ascii="Courier New" w:hAnsi="Courier New"/>
    </w:rPr>
  </w:style>
  <w:style w:type="paragraph" w:customStyle="1" w:styleId="NoteBullet">
    <w:name w:val="Note Bullet"/>
    <w:basedOn w:val="Note"/>
    <w:rsid w:val="00ED3500"/>
    <w:pPr>
      <w:tabs>
        <w:tab w:val="clear" w:pos="680"/>
      </w:tabs>
      <w:spacing w:before="60" w:after="60"/>
    </w:pPr>
  </w:style>
  <w:style w:type="paragraph" w:customStyle="1" w:styleId="SubHeading2">
    <w:name w:val="SubHeading2"/>
    <w:basedOn w:val="HeadingBase"/>
    <w:rsid w:val="00ED3500"/>
    <w:pPr>
      <w:spacing w:before="240" w:after="60"/>
    </w:pPr>
    <w:rPr>
      <w:sz w:val="20"/>
    </w:rPr>
  </w:style>
  <w:style w:type="paragraph" w:customStyle="1" w:styleId="SubHeading1">
    <w:name w:val="SubHeading1"/>
    <w:basedOn w:val="HeadingBase"/>
    <w:rsid w:val="00ED3500"/>
    <w:pPr>
      <w:spacing w:before="240" w:after="60"/>
    </w:pPr>
    <w:rPr>
      <w:color w:val="918585"/>
      <w:sz w:val="22"/>
    </w:rPr>
  </w:style>
  <w:style w:type="paragraph" w:customStyle="1" w:styleId="SideHeading">
    <w:name w:val="Side Heading"/>
    <w:basedOn w:val="HeadingBase"/>
    <w:rsid w:val="00ED35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500"/>
    <w:pPr>
      <w:numPr>
        <w:numId w:val="12"/>
      </w:numPr>
    </w:pPr>
  </w:style>
  <w:style w:type="paragraph" w:styleId="PlainText">
    <w:name w:val="Plain Text"/>
    <w:basedOn w:val="Normal"/>
    <w:link w:val="PlainTextChar"/>
    <w:rsid w:val="00ED3500"/>
    <w:rPr>
      <w:sz w:val="20"/>
    </w:rPr>
  </w:style>
  <w:style w:type="character" w:customStyle="1" w:styleId="PlainTextChar">
    <w:name w:val="Plain Text Char"/>
    <w:basedOn w:val="DefaultParagraphFont"/>
    <w:link w:val="PlainText"/>
    <w:rsid w:val="00ED3500"/>
    <w:rPr>
      <w:rFonts w:ascii="Courier New" w:eastAsia="Times New Roman" w:hAnsi="Courier New" w:cs="Times New Roman"/>
      <w:sz w:val="20"/>
      <w:szCs w:val="20"/>
      <w:lang w:eastAsia="en-US"/>
    </w:rPr>
  </w:style>
  <w:style w:type="character" w:customStyle="1" w:styleId="MenuOption">
    <w:name w:val="Menu Option"/>
    <w:basedOn w:val="DefaultParagraphFont"/>
    <w:rsid w:val="00ED3500"/>
    <w:rPr>
      <w:b/>
      <w:smallCaps/>
    </w:rPr>
  </w:style>
  <w:style w:type="paragraph" w:customStyle="1" w:styleId="TableListNumber">
    <w:name w:val="Table List Number"/>
    <w:basedOn w:val="ListNumber"/>
    <w:rsid w:val="00ED3500"/>
    <w:pPr>
      <w:numPr>
        <w:numId w:val="0"/>
      </w:numPr>
    </w:pPr>
  </w:style>
  <w:style w:type="paragraph" w:styleId="TOC4">
    <w:name w:val="toc 4"/>
    <w:basedOn w:val="TOCBase"/>
    <w:next w:val="Normal"/>
    <w:semiHidden/>
    <w:rsid w:val="00ED3500"/>
    <w:pPr>
      <w:tabs>
        <w:tab w:val="right" w:leader="dot" w:pos="9071"/>
      </w:tabs>
      <w:ind w:left="1701"/>
    </w:pPr>
  </w:style>
  <w:style w:type="paragraph" w:customStyle="1" w:styleId="ListAlpha">
    <w:name w:val="List Alpha"/>
    <w:basedOn w:val="List"/>
    <w:rsid w:val="00ED3500"/>
    <w:pPr>
      <w:numPr>
        <w:numId w:val="9"/>
      </w:numPr>
    </w:pPr>
  </w:style>
  <w:style w:type="paragraph" w:customStyle="1" w:styleId="ListAlpha2">
    <w:name w:val="List Alpha 2"/>
    <w:basedOn w:val="List2"/>
    <w:rsid w:val="00ED3500"/>
    <w:pPr>
      <w:numPr>
        <w:numId w:val="8"/>
      </w:numPr>
    </w:pPr>
  </w:style>
  <w:style w:type="paragraph" w:styleId="List2">
    <w:name w:val="List 2"/>
    <w:basedOn w:val="BodyText"/>
    <w:rsid w:val="00ED3500"/>
    <w:pPr>
      <w:tabs>
        <w:tab w:val="left" w:pos="680"/>
      </w:tabs>
      <w:spacing w:before="60" w:after="60"/>
      <w:ind w:left="680" w:hanging="340"/>
    </w:pPr>
  </w:style>
  <w:style w:type="paragraph" w:styleId="List3">
    <w:name w:val="List 3"/>
    <w:basedOn w:val="BodyText"/>
    <w:rsid w:val="00ED3500"/>
    <w:pPr>
      <w:tabs>
        <w:tab w:val="left" w:pos="1021"/>
      </w:tabs>
      <w:spacing w:before="60" w:after="60"/>
      <w:ind w:left="1020" w:hanging="340"/>
    </w:pPr>
  </w:style>
  <w:style w:type="paragraph" w:styleId="List4">
    <w:name w:val="List 4"/>
    <w:basedOn w:val="BodyText"/>
    <w:rsid w:val="00ED3500"/>
    <w:pPr>
      <w:tabs>
        <w:tab w:val="left" w:pos="1361"/>
      </w:tabs>
      <w:spacing w:before="60" w:after="60"/>
      <w:ind w:left="1361" w:hanging="340"/>
    </w:pPr>
  </w:style>
  <w:style w:type="paragraph" w:styleId="List5">
    <w:name w:val="List 5"/>
    <w:basedOn w:val="BodyText"/>
    <w:rsid w:val="00ED3500"/>
    <w:pPr>
      <w:tabs>
        <w:tab w:val="left" w:pos="1701"/>
      </w:tabs>
      <w:spacing w:before="60" w:after="60"/>
      <w:ind w:left="1701" w:hanging="340"/>
    </w:pPr>
  </w:style>
  <w:style w:type="paragraph" w:styleId="ListBullet3">
    <w:name w:val="List Bullet 3"/>
    <w:basedOn w:val="List3"/>
    <w:rsid w:val="00ED3500"/>
    <w:pPr>
      <w:numPr>
        <w:numId w:val="15"/>
      </w:numPr>
      <w:tabs>
        <w:tab w:val="clear" w:pos="1021"/>
      </w:tabs>
      <w:ind w:left="1037" w:hanging="357"/>
    </w:pPr>
  </w:style>
  <w:style w:type="paragraph" w:styleId="ListBullet4">
    <w:name w:val="List Bullet 4"/>
    <w:basedOn w:val="List4"/>
    <w:rsid w:val="00ED3500"/>
    <w:pPr>
      <w:numPr>
        <w:numId w:val="3"/>
      </w:numPr>
    </w:pPr>
  </w:style>
  <w:style w:type="paragraph" w:styleId="ListBullet5">
    <w:name w:val="List Bullet 5"/>
    <w:basedOn w:val="List5"/>
    <w:rsid w:val="00ED3500"/>
    <w:pPr>
      <w:numPr>
        <w:numId w:val="4"/>
      </w:numPr>
    </w:pPr>
  </w:style>
  <w:style w:type="paragraph" w:styleId="ListContinue2">
    <w:name w:val="List Continue 2"/>
    <w:basedOn w:val="List2"/>
    <w:rsid w:val="00ED3500"/>
    <w:pPr>
      <w:ind w:firstLine="0"/>
    </w:pPr>
  </w:style>
  <w:style w:type="paragraph" w:styleId="ListContinue3">
    <w:name w:val="List Continue 3"/>
    <w:basedOn w:val="List3"/>
    <w:rsid w:val="00ED3500"/>
    <w:pPr>
      <w:ind w:left="1021" w:firstLine="0"/>
    </w:pPr>
  </w:style>
  <w:style w:type="paragraph" w:styleId="ListContinue4">
    <w:name w:val="List Continue 4"/>
    <w:basedOn w:val="List4"/>
    <w:rsid w:val="00ED3500"/>
    <w:pPr>
      <w:ind w:firstLine="0"/>
    </w:pPr>
  </w:style>
  <w:style w:type="paragraph" w:styleId="ListContinue5">
    <w:name w:val="List Continue 5"/>
    <w:basedOn w:val="List5"/>
    <w:rsid w:val="00ED3500"/>
    <w:pPr>
      <w:ind w:firstLine="0"/>
    </w:pPr>
  </w:style>
  <w:style w:type="paragraph" w:styleId="ListNumber3">
    <w:name w:val="List Number 3"/>
    <w:basedOn w:val="List3"/>
    <w:rsid w:val="00ED3500"/>
    <w:pPr>
      <w:numPr>
        <w:numId w:val="5"/>
      </w:numPr>
    </w:pPr>
  </w:style>
  <w:style w:type="paragraph" w:styleId="ListNumber4">
    <w:name w:val="List Number 4"/>
    <w:basedOn w:val="List4"/>
    <w:rsid w:val="00ED3500"/>
    <w:pPr>
      <w:numPr>
        <w:numId w:val="6"/>
      </w:numPr>
    </w:pPr>
  </w:style>
  <w:style w:type="paragraph" w:styleId="ListNumber5">
    <w:name w:val="List Number 5"/>
    <w:basedOn w:val="List5"/>
    <w:rsid w:val="00ED3500"/>
    <w:pPr>
      <w:numPr>
        <w:numId w:val="7"/>
      </w:numPr>
    </w:pPr>
  </w:style>
  <w:style w:type="paragraph" w:styleId="BlockText">
    <w:name w:val="Block Text"/>
    <w:basedOn w:val="Normal"/>
    <w:rsid w:val="00ED3500"/>
    <w:pPr>
      <w:spacing w:after="120"/>
      <w:ind w:left="1440" w:right="1440"/>
    </w:pPr>
  </w:style>
  <w:style w:type="character" w:customStyle="1" w:styleId="Subscript">
    <w:name w:val="Subscript"/>
    <w:basedOn w:val="DefaultParagraphFont"/>
    <w:rsid w:val="00ED3500"/>
    <w:rPr>
      <w:sz w:val="16"/>
      <w:vertAlign w:val="subscript"/>
    </w:rPr>
  </w:style>
  <w:style w:type="character" w:customStyle="1" w:styleId="Superscript">
    <w:name w:val="Superscript"/>
    <w:basedOn w:val="DefaultParagraphFont"/>
    <w:rsid w:val="00ED3500"/>
    <w:rPr>
      <w:sz w:val="16"/>
      <w:vertAlign w:val="superscript"/>
    </w:rPr>
  </w:style>
  <w:style w:type="character" w:customStyle="1" w:styleId="Symbols">
    <w:name w:val="Symbols"/>
    <w:basedOn w:val="DefaultParagraphFont"/>
    <w:rsid w:val="00ED3500"/>
    <w:rPr>
      <w:rFonts w:ascii="Symbol" w:hAnsi="Symbol"/>
    </w:rPr>
  </w:style>
  <w:style w:type="character" w:customStyle="1" w:styleId="MenuOptions">
    <w:name w:val="Menu Options"/>
    <w:basedOn w:val="DefaultParagraphFont"/>
    <w:rsid w:val="00ED3500"/>
    <w:rPr>
      <w:rFonts w:ascii="Arial Narrow" w:hAnsi="Arial Narrow"/>
      <w:smallCaps/>
    </w:rPr>
  </w:style>
  <w:style w:type="character" w:customStyle="1" w:styleId="Buttons">
    <w:name w:val="Buttons"/>
    <w:basedOn w:val="DefaultParagraphFont"/>
    <w:rsid w:val="00ED3500"/>
    <w:rPr>
      <w:b/>
    </w:rPr>
  </w:style>
  <w:style w:type="character" w:customStyle="1" w:styleId="Underlined">
    <w:name w:val="Underlined"/>
    <w:basedOn w:val="DefaultParagraphFont"/>
    <w:rsid w:val="00ED3500"/>
    <w:rPr>
      <w:u w:val="single"/>
    </w:rPr>
  </w:style>
  <w:style w:type="paragraph" w:customStyle="1" w:styleId="TableBodyTextRight">
    <w:name w:val="Table Body Text Right"/>
    <w:basedOn w:val="TableBodyText"/>
    <w:rsid w:val="00ED3500"/>
    <w:pPr>
      <w:widowControl w:val="0"/>
      <w:autoSpaceDE w:val="0"/>
      <w:autoSpaceDN w:val="0"/>
      <w:adjustRightInd w:val="0"/>
      <w:jc w:val="right"/>
    </w:pPr>
    <w:rPr>
      <w:rFonts w:cs="Arial"/>
      <w:szCs w:val="18"/>
    </w:rPr>
  </w:style>
  <w:style w:type="paragraph" w:customStyle="1" w:styleId="CopyrightText">
    <w:name w:val="Copyright Text"/>
    <w:basedOn w:val="BodyText"/>
    <w:rsid w:val="00ED3500"/>
    <w:rPr>
      <w:sz w:val="18"/>
    </w:rPr>
  </w:style>
  <w:style w:type="paragraph" w:customStyle="1" w:styleId="BodySmallRight">
    <w:name w:val="Body Small Right"/>
    <w:basedOn w:val="BodyTextRight"/>
    <w:rsid w:val="00ED3500"/>
    <w:rPr>
      <w:sz w:val="18"/>
      <w:szCs w:val="18"/>
    </w:rPr>
  </w:style>
  <w:style w:type="paragraph" w:customStyle="1" w:styleId="MarginEdition">
    <w:name w:val="Margin Edition"/>
    <w:basedOn w:val="MarginNote"/>
    <w:rsid w:val="00ED3500"/>
    <w:pPr>
      <w:spacing w:before="0" w:after="0"/>
    </w:pPr>
    <w:rPr>
      <w:rFonts w:ascii="Times New Roman" w:hAnsi="Times New Roman"/>
      <w:color w:val="999999"/>
    </w:rPr>
  </w:style>
  <w:style w:type="paragraph" w:customStyle="1" w:styleId="Spacer">
    <w:name w:val="Spacer"/>
    <w:basedOn w:val="Normal"/>
    <w:rsid w:val="00ED3500"/>
    <w:rPr>
      <w:sz w:val="2"/>
      <w:szCs w:val="2"/>
    </w:rPr>
  </w:style>
  <w:style w:type="character" w:customStyle="1" w:styleId="Small">
    <w:name w:val="Small"/>
    <w:basedOn w:val="DefaultParagraphFont"/>
    <w:rsid w:val="00ED3500"/>
    <w:rPr>
      <w:sz w:val="16"/>
    </w:rPr>
  </w:style>
  <w:style w:type="paragraph" w:customStyle="1" w:styleId="WideTable">
    <w:name w:val="Wide Table"/>
    <w:basedOn w:val="Normal"/>
    <w:rsid w:val="00ED3500"/>
    <w:pPr>
      <w:ind w:left="-1418"/>
    </w:pPr>
    <w:rPr>
      <w:sz w:val="2"/>
      <w:szCs w:val="2"/>
    </w:rPr>
  </w:style>
  <w:style w:type="character" w:styleId="PageNumber">
    <w:name w:val="page number"/>
    <w:basedOn w:val="DefaultParagraphFont"/>
    <w:rsid w:val="00ED3500"/>
  </w:style>
  <w:style w:type="paragraph" w:styleId="Quote">
    <w:name w:val="Quote"/>
    <w:basedOn w:val="Heading1"/>
    <w:link w:val="QuoteChar"/>
    <w:qFormat/>
    <w:rsid w:val="00ED3500"/>
    <w:rPr>
      <w:b w:val="0"/>
      <w:sz w:val="72"/>
      <w:szCs w:val="72"/>
      <w:lang w:val="en-NZ"/>
    </w:rPr>
  </w:style>
  <w:style w:type="character" w:customStyle="1" w:styleId="QuoteChar">
    <w:name w:val="Quote Char"/>
    <w:basedOn w:val="DefaultParagraphFont"/>
    <w:link w:val="Quote"/>
    <w:rsid w:val="00ED35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500"/>
    <w:pPr>
      <w:pageBreakBefore/>
    </w:pPr>
  </w:style>
  <w:style w:type="paragraph" w:customStyle="1" w:styleId="Border">
    <w:name w:val="Border"/>
    <w:basedOn w:val="Normal"/>
    <w:qFormat/>
    <w:rsid w:val="00ED35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500"/>
    <w:rPr>
      <w:b/>
      <w:bCs/>
      <w:i/>
      <w:iCs/>
      <w:color w:val="auto"/>
    </w:rPr>
  </w:style>
  <w:style w:type="paragraph" w:styleId="IntenseQuote">
    <w:name w:val="Intense Quote"/>
    <w:basedOn w:val="Normal"/>
    <w:next w:val="Normal"/>
    <w:link w:val="IntenseQuoteChar"/>
    <w:uiPriority w:val="30"/>
    <w:qFormat/>
    <w:rsid w:val="00ED35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5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500"/>
    <w:rPr>
      <w:smallCaps/>
      <w:color w:val="auto"/>
      <w:u w:val="single"/>
    </w:rPr>
  </w:style>
  <w:style w:type="character" w:styleId="IntenseReference">
    <w:name w:val="Intense Reference"/>
    <w:basedOn w:val="DefaultParagraphFont"/>
    <w:uiPriority w:val="32"/>
    <w:qFormat/>
    <w:rsid w:val="00ED3500"/>
    <w:rPr>
      <w:b/>
      <w:bCs/>
      <w:smallCaps/>
      <w:color w:val="auto"/>
      <w:spacing w:val="5"/>
      <w:u w:val="single"/>
    </w:rPr>
  </w:style>
  <w:style w:type="paragraph" w:customStyle="1" w:styleId="2ColumnHeading">
    <w:name w:val="2Column Heading"/>
    <w:basedOn w:val="BodyText"/>
    <w:qFormat/>
    <w:rsid w:val="00ED3500"/>
    <w:pPr>
      <w:spacing w:after="60"/>
      <w:ind w:left="-2268"/>
    </w:pPr>
    <w:rPr>
      <w:b/>
    </w:rPr>
  </w:style>
  <w:style w:type="paragraph" w:customStyle="1" w:styleId="Heading1TOC">
    <w:name w:val="Heading1 TOC"/>
    <w:basedOn w:val="Normal"/>
    <w:qFormat/>
    <w:rsid w:val="00ED3500"/>
    <w:pPr>
      <w:spacing w:before="240" w:after="120"/>
    </w:pPr>
    <w:rPr>
      <w:rFonts w:ascii="Times New Roman" w:hAnsi="Times New Roman"/>
      <w:b/>
      <w:sz w:val="32"/>
    </w:rPr>
  </w:style>
  <w:style w:type="paragraph" w:customStyle="1" w:styleId="Heading2TOC">
    <w:name w:val="Heading2 TOC"/>
    <w:basedOn w:val="Normal"/>
    <w:qFormat/>
    <w:rsid w:val="00ED3500"/>
    <w:pPr>
      <w:spacing w:before="240" w:after="60"/>
    </w:pPr>
    <w:rPr>
      <w:rFonts w:ascii="Times New Roman" w:hAnsi="Times New Roman"/>
      <w:b/>
      <w:sz w:val="28"/>
    </w:rPr>
  </w:style>
  <w:style w:type="character" w:customStyle="1" w:styleId="Underline">
    <w:name w:val="Underline"/>
    <w:basedOn w:val="DefaultParagraphFont"/>
    <w:qFormat/>
    <w:rsid w:val="00ED3500"/>
    <w:rPr>
      <w:u w:val="single"/>
    </w:rPr>
  </w:style>
  <w:style w:type="character" w:customStyle="1" w:styleId="BoldandItalics">
    <w:name w:val="Bold and Italics"/>
    <w:qFormat/>
    <w:rsid w:val="00ED3500"/>
    <w:rPr>
      <w:b/>
      <w:i/>
      <w:u w:val="none"/>
    </w:rPr>
  </w:style>
  <w:style w:type="paragraph" w:styleId="BalloonText">
    <w:name w:val="Balloon Text"/>
    <w:basedOn w:val="Normal"/>
    <w:link w:val="BalloonTextChar"/>
    <w:rsid w:val="00ED3500"/>
    <w:rPr>
      <w:rFonts w:ascii="Tahoma" w:hAnsi="Tahoma" w:cs="Tahoma"/>
      <w:sz w:val="16"/>
      <w:szCs w:val="16"/>
    </w:rPr>
  </w:style>
  <w:style w:type="character" w:customStyle="1" w:styleId="BalloonTextChar">
    <w:name w:val="Balloon Text Char"/>
    <w:basedOn w:val="DefaultParagraphFont"/>
    <w:link w:val="BalloonText"/>
    <w:rsid w:val="00ED35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5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35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500"/>
    <w:rPr>
      <w:b/>
      <w:color w:val="660033"/>
      <w:spacing w:val="0"/>
    </w:rPr>
  </w:style>
  <w:style w:type="paragraph" w:customStyle="1" w:styleId="Nameditemlist">
    <w:name w:val="Named item list"/>
    <w:basedOn w:val="BodyText"/>
    <w:qFormat/>
    <w:rsid w:val="00ED35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2434</Words>
  <Characters>14933</Characters>
  <Application>Microsoft Office Word</Application>
  <DocSecurity>0</DocSecurity>
  <Lines>621</Lines>
  <Paragraphs>250</Paragraphs>
  <ScaleCrop>false</ScaleCrop>
  <Company>Author-it Software Corporation Ltd.</Company>
  <LinksUpToDate>false</LinksUpToDate>
  <CharactersWithSpaces>17171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UETTDRIS04B Perform high voltage field switching operation to a given schedule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2012-10-11T20:37:00Z</dcterms:created>
  <dcterms:modified xsi:type="dcterms:W3CDTF">2012-10-11T20:37:00Z</dcterms:modified>
</cp:coreProperties>
</file>