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A30" w:rsidP="00215A30">
      <w:pPr>
        <w:pStyle w:val="Title"/>
      </w:pPr>
      <w:r>
        <w:fldChar w:fldCharType="begin"/>
      </w:r>
      <w:r>
        <w:instrText xml:space="preserve"> TITLE   \* MERGEFORMAT </w:instrText>
      </w:r>
      <w:r>
        <w:fldChar w:fldCharType="separate"/>
      </w:r>
      <w:r>
        <w:t>UETTDRIS02B Maintain electrical equipment (Network Infrastructure).</w:t>
      </w:r>
      <w:r>
        <w:fldChar w:fldCharType="end"/>
      </w:r>
    </w:p>
    <w:p w:rsidR="00215A30" w:rsidP="00215A30">
      <w:pPr>
        <w:pStyle w:val="Version"/>
        <w:sectPr w:rsidSect="008D15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5AA" w:rsidP="008D15AA">
      <w:pPr>
        <w:pStyle w:val="SuperHeading"/>
      </w:pPr>
      <w:r w:rsidRPr="008D15AA">
        <w:t>UETTDRIS02B Maintain electrical equipment (Network Infrastructure).</w:t>
      </w:r>
    </w:p>
    <w:p w:rsidR="00000000" w:rsidRPr="008D15AA" w:rsidP="008D15AA">
      <w:pPr>
        <w:pStyle w:val="Heading1"/>
      </w:pPr>
      <w:bookmarkStart w:id="1" w:name="O_275464"/>
      <w:bookmarkEnd w:id="1"/>
      <w:r w:rsidRPr="008D15AA">
        <w:t>Modification History</w:t>
      </w:r>
    </w:p>
    <w:p w:rsidR="00000000" w:rsidRPr="008D15AA" w:rsidP="008D15AA">
      <w:pPr>
        <w:pStyle w:val="BodyText"/>
      </w:pPr>
      <w:r w:rsidRPr="008D15AA">
        <w:t>Not Applicable</w:t>
      </w:r>
    </w:p>
    <w:p w:rsidR="00000000" w:rsidRPr="008D15AA" w:rsidP="008D15AA">
      <w:pPr>
        <w:pStyle w:val="AllowPageBreak"/>
      </w:pPr>
    </w:p>
    <w:p w:rsidR="00000000" w:rsidRPr="008D15AA" w:rsidP="008D15AA">
      <w:pPr>
        <w:pStyle w:val="Heading1"/>
      </w:pPr>
      <w:bookmarkStart w:id="2" w:name="O_231396"/>
      <w:bookmarkEnd w:id="2"/>
      <w:r w:rsidRPr="008D15AA">
        <w:t>Unit Descriptor</w:t>
      </w:r>
    </w:p>
    <w:tbl>
      <w:tblPr>
        <w:tblW w:w="0" w:type="auto"/>
        <w:tblLayout w:type="fixed"/>
        <w:tblCellMar>
          <w:left w:w="62" w:type="dxa"/>
          <w:right w:w="62" w:type="dxa"/>
        </w:tblCellMar>
        <w:tblLook w:val="0000"/>
      </w:tblPr>
      <w:tblGrid>
        <w:gridCol w:w="2758"/>
        <w:gridCol w:w="5882"/>
      </w:tblGrid>
      <w:tr w:rsidTr="00215A3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1</w:t>
            </w:r>
            <w:r w:rsidRPr="008D15AA">
              <w:t xml:space="preserve">) </w:t>
            </w:r>
          </w:p>
          <w:p w:rsidR="00000000" w:rsidP="008D15AA">
            <w:pPr>
              <w:pStyle w:val="BodyText"/>
              <w:rPr>
                <w:lang w:val="en-NZ"/>
              </w:rPr>
            </w:pPr>
            <w:r w:rsidRPr="008D15AA">
              <w:rPr>
                <w:rStyle w:val="SpecialBold"/>
              </w:rPr>
              <w:t>1</w:t>
            </w:r>
            <w:r w:rsidRPr="008D15AA">
              <w:t>.</w:t>
            </w:r>
            <w:r w:rsidRPr="008D15AA">
              <w:rPr>
                <w:rStyle w:val="SpecialBold"/>
              </w:rPr>
              <w:t>1</w:t>
            </w:r>
            <w:r w:rsidRPr="008D15AA">
              <w:t xml:space="preserve">) </w:t>
            </w:r>
            <w:r w:rsidRPr="008D15AA">
              <w:rPr>
                <w:rStyle w:val="SpecialBold"/>
              </w:rPr>
              <w:t>Descriptor</w:t>
            </w:r>
          </w:p>
        </w:tc>
      </w:tr>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This Competency Standard Unit covers the maintenance of electrical equipment and associated hardware, such as fuse switches, drop out switches, sectionalisers, links, surge arrestors, gas filled and or oil filled switches, relevant to the transmission, dis</w:t>
            </w:r>
            <w:r w:rsidRPr="008D15AA">
              <w:t>tribution and rail traction networks and includes the repair and/or replacement of "like for like" electrical equipment and associated hardware as well as the termination and/or connection of this equipment according to requirements and may include samplin</w:t>
            </w:r>
            <w:r w:rsidRPr="008D15AA">
              <w:t>g of insulating oils. It also encompasses the identification of faults, the pre-commissioning tests involving the equipment/system and the interpretation of these tests against agreed specifications. It excludes the energisation of the equipment maintained</w:t>
            </w:r>
            <w:r w:rsidRPr="008D15AA">
              <w:t xml:space="preserve"> in a highly complex, interdependent and interconnected electricity supply Network system, where the affects of unintended consequences on the system are high risk and appropriate personnel effect energisation.</w:t>
            </w:r>
          </w:p>
        </w:tc>
      </w:tr>
    </w:tbl>
    <w:p w:rsidR="00215A30" w:rsidP="008D15AA">
      <w:pPr>
        <w:pStyle w:val="BodyText"/>
      </w:pPr>
    </w:p>
    <w:p w:rsidR="00215A30" w:rsidP="008D15AA">
      <w:pPr>
        <w:pStyle w:val="BodyText"/>
      </w:pPr>
    </w:p>
    <w:p w:rsidR="00000000" w:rsidRPr="008D15AA" w:rsidP="008D15AA">
      <w:pPr>
        <w:pStyle w:val="Heading1"/>
      </w:pPr>
      <w:bookmarkStart w:id="3" w:name="O_231401"/>
      <w:bookmarkEnd w:id="3"/>
      <w:r w:rsidRPr="008D15AA">
        <w:t>Application of the Unit</w:t>
      </w:r>
    </w:p>
    <w:tbl>
      <w:tblPr>
        <w:tblW w:w="0" w:type="auto"/>
        <w:tblLayout w:type="fixed"/>
        <w:tblCellMar>
          <w:left w:w="62" w:type="dxa"/>
          <w:right w:w="62" w:type="dxa"/>
        </w:tblCellMar>
        <w:tblLook w:val="0000"/>
      </w:tblPr>
      <w:tblGrid>
        <w:gridCol w:w="2758"/>
        <w:gridCol w:w="5882"/>
      </w:tblGrid>
      <w:tr w:rsidTr="00215A3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4</w:t>
            </w:r>
            <w:r w:rsidRPr="008D15AA">
              <w:t>)</w:t>
            </w:r>
          </w:p>
        </w:tc>
      </w:tr>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This Competency Standard Unit is intended to augment formally acquired competencies. It is suitable for employment-based programs under an approved contract of training.</w:t>
            </w:r>
          </w:p>
        </w:tc>
      </w:tr>
    </w:tbl>
    <w:p w:rsidR="00215A30" w:rsidP="008D15AA">
      <w:pPr>
        <w:pStyle w:val="BodyText"/>
      </w:pPr>
    </w:p>
    <w:p w:rsidR="00215A30" w:rsidP="008D15AA">
      <w:pPr>
        <w:pStyle w:val="BodyText"/>
      </w:pPr>
    </w:p>
    <w:p w:rsidR="00000000" w:rsidRPr="008D15AA" w:rsidP="008D15AA">
      <w:pPr>
        <w:pStyle w:val="Heading1"/>
      </w:pPr>
      <w:bookmarkStart w:id="4" w:name="O_231397"/>
      <w:bookmarkEnd w:id="4"/>
      <w:r w:rsidRPr="008D15AA">
        <w:t>Licensing/Regulatory Information</w:t>
      </w:r>
    </w:p>
    <w:tbl>
      <w:tblPr>
        <w:tblW w:w="0" w:type="auto"/>
        <w:tblLayout w:type="fixed"/>
        <w:tblCellMar>
          <w:left w:w="62" w:type="dxa"/>
          <w:right w:w="62" w:type="dxa"/>
        </w:tblCellMar>
        <w:tblLook w:val="0000"/>
      </w:tblPr>
      <w:tblGrid>
        <w:gridCol w:w="8640"/>
      </w:tblGrid>
      <w:tr w:rsidTr="00215A3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1</w:t>
            </w:r>
            <w:r w:rsidRPr="008D15AA">
              <w:t>.</w:t>
            </w:r>
            <w:r w:rsidRPr="008D15AA">
              <w:rPr>
                <w:rStyle w:val="SpecialBold"/>
              </w:rPr>
              <w:t>2</w:t>
            </w:r>
            <w:r w:rsidRPr="008D15AA">
              <w:t xml:space="preserve">) </w:t>
            </w:r>
            <w:r w:rsidRPr="008D15AA">
              <w:rPr>
                <w:rStyle w:val="SpecialBold"/>
              </w:rPr>
              <w:t>License to practice</w:t>
            </w:r>
          </w:p>
        </w:tc>
      </w:tr>
      <w:tr w:rsidTr="00215A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 xml:space="preserve">The skills and knowledge described in this unit may require a licence/registration to practice in the work place subject to regulations for undertaking of electrical work. Practice in workplace and during training is also subject to </w:t>
            </w:r>
            <w:r w:rsidRPr="008D15AA">
              <w:t>regulations directly related to Occupational Health and Safety, electricity/telecommunications/gas/water industry safety and compliance, industrial relations, environmental protection, anti discrimination and training. Commonwealth, State/Territory or Loca</w:t>
            </w:r>
            <w:r w:rsidRPr="008D15AA">
              <w:t>l Government legislation and regulations may exist that limits the age of operating certain equipment.</w:t>
            </w:r>
          </w:p>
        </w:tc>
      </w:tr>
    </w:tbl>
    <w:p w:rsidR="00215A30" w:rsidP="008D15AA">
      <w:pPr>
        <w:pStyle w:val="BodyText"/>
      </w:pPr>
    </w:p>
    <w:p w:rsidR="00215A30" w:rsidP="008D15AA">
      <w:pPr>
        <w:pStyle w:val="BodyText"/>
      </w:pPr>
    </w:p>
    <w:p w:rsidR="00000000" w:rsidRPr="008D15AA" w:rsidP="008D15AA">
      <w:pPr>
        <w:pStyle w:val="Heading1"/>
      </w:pPr>
      <w:bookmarkStart w:id="5" w:name="O_231398"/>
      <w:bookmarkEnd w:id="5"/>
      <w:r w:rsidRPr="008D15AA">
        <w:t>Pre-Requisites</w:t>
      </w:r>
    </w:p>
    <w:p w:rsidR="00000000" w:rsidRPr="008D15AA" w:rsidP="008D15AA">
      <w:pPr>
        <w:pStyle w:val="BodyText"/>
      </w:pPr>
      <w:r w:rsidRPr="008D15AA">
        <w:rPr>
          <w:rStyle w:val="SpecialBold"/>
        </w:rPr>
        <w:t>Prerequisite Unit</w:t>
      </w:r>
      <w:r w:rsidRPr="008D15AA">
        <w:t>(</w:t>
      </w:r>
      <w:r w:rsidRPr="008D15AA">
        <w:rPr>
          <w:rStyle w:val="SpecialBold"/>
        </w:rPr>
        <w:t>s</w:t>
      </w:r>
      <w:r w:rsidRPr="008D15AA">
        <w:t>)</w:t>
      </w:r>
    </w:p>
    <w:p w:rsidR="00000000" w:rsidRPr="008D15AA" w:rsidP="008D15AA">
      <w:pPr>
        <w:pStyle w:val="BodyText"/>
      </w:pPr>
      <w:r w:rsidRPr="008D15AA">
        <w:rPr>
          <w:rStyle w:val="SpecialBold"/>
        </w:rPr>
        <w:t>2</w:t>
      </w:r>
      <w:r w:rsidRPr="008D15AA">
        <w:t xml:space="preserve">) </w:t>
      </w:r>
    </w:p>
    <w:p w:rsidR="00000000" w:rsidRPr="008D15AA" w:rsidP="008D15AA">
      <w:pPr>
        <w:pStyle w:val="BodyText"/>
      </w:pPr>
    </w:p>
    <w:p w:rsidR="00000000" w:rsidRPr="008D15AA" w:rsidP="008D15AA">
      <w:pPr>
        <w:pStyle w:val="BodyText"/>
      </w:pPr>
      <w:r w:rsidRPr="008D15AA">
        <w:rPr>
          <w:rStyle w:val="SpecialBold"/>
        </w:rPr>
        <w:t>2</w:t>
      </w:r>
      <w:r w:rsidRPr="008D15AA">
        <w:t>.</w:t>
      </w:r>
      <w:r w:rsidRPr="008D15AA">
        <w:rPr>
          <w:rStyle w:val="SpecialBold"/>
        </w:rPr>
        <w:t>1</w:t>
      </w:r>
      <w:r w:rsidRPr="008D15AA">
        <w:t xml:space="preserve">) </w:t>
      </w:r>
      <w:r w:rsidRPr="008D15AA">
        <w:rPr>
          <w:rStyle w:val="SpecialBold"/>
        </w:rPr>
        <w:t>Competencies</w:t>
      </w:r>
    </w:p>
    <w:p w:rsidR="00000000" w:rsidRPr="008D15AA" w:rsidP="008D15AA">
      <w:pPr>
        <w:pStyle w:val="BodyText"/>
      </w:pPr>
    </w:p>
    <w:tbl>
      <w:tblPr>
        <w:tblW w:w="0" w:type="auto"/>
        <w:tblLayout w:type="fixed"/>
        <w:tblCellMar>
          <w:left w:w="62" w:type="dxa"/>
          <w:right w:w="62" w:type="dxa"/>
        </w:tblCellMar>
        <w:tblLook w:val="0000"/>
      </w:tblPr>
      <w:tblGrid>
        <w:gridCol w:w="1851"/>
        <w:gridCol w:w="3969"/>
      </w:tblGrid>
      <w:tr w:rsidTr="00215A30">
        <w:tblPrEx>
          <w:tblW w:w="0" w:type="auto"/>
          <w:tblLayout w:type="fixed"/>
          <w:tblCellMar>
            <w:left w:w="62" w:type="dxa"/>
            <w:right w:w="62" w:type="dxa"/>
          </w:tblCellMar>
          <w:tblLook w:val="0000"/>
        </w:tblPrEx>
        <w:trPr>
          <w:tblHeader/>
        </w:trPr>
        <w:tc>
          <w:tcPr>
            <w:tcW w:w="1851"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Granting competency in this unit shall be made only after competency in t</w:t>
            </w:r>
            <w:r w:rsidRPr="008D15AA">
              <w:t>he following unit has been confirmed.</w:t>
            </w:r>
          </w:p>
          <w:p w:rsidR="00000000" w:rsidP="008D15AA">
            <w:pPr>
              <w:pStyle w:val="BodyText"/>
              <w:rPr>
                <w:lang w:val="en-NZ"/>
              </w:rPr>
            </w:pPr>
            <w:r w:rsidRPr="008D15AA">
              <w:t>UETTDRIS01B</w:t>
            </w:r>
          </w:p>
        </w:tc>
        <w:tc>
          <w:tcPr>
            <w:tcW w:w="3969"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Install electrical equipment (network infrastructure)</w:t>
            </w:r>
          </w:p>
        </w:tc>
      </w:tr>
    </w:tbl>
    <w:p w:rsidR="00000000" w:rsidRPr="008D15AA" w:rsidP="008D15AA">
      <w:pPr>
        <w:pStyle w:val="BodyText"/>
      </w:pPr>
    </w:p>
    <w:p w:rsidR="00000000" w:rsidRPr="008D15AA" w:rsidP="008D15AA">
      <w:pPr>
        <w:pStyle w:val="BodyText"/>
      </w:pPr>
    </w:p>
    <w:p w:rsidR="00215A30" w:rsidP="008D15AA">
      <w:pPr>
        <w:pStyle w:val="BodyText"/>
      </w:pPr>
      <w:r w:rsidRPr="008D15AA">
        <w:t>For the full prerequisite chain details for this unit please refer to Table 3 in Volume 1, Part 2</w:t>
      </w:r>
    </w:p>
    <w:p w:rsidR="00215A30" w:rsidP="008D15AA">
      <w:pPr>
        <w:pStyle w:val="BodyText"/>
      </w:pPr>
    </w:p>
    <w:p w:rsidR="00000000" w:rsidRPr="008D15AA" w:rsidP="008D15AA">
      <w:pPr>
        <w:pStyle w:val="Heading1"/>
      </w:pPr>
      <w:bookmarkStart w:id="6" w:name="O_231400"/>
      <w:bookmarkEnd w:id="6"/>
      <w:r w:rsidRPr="008D15AA">
        <w:t>Employability Skills Information</w:t>
      </w:r>
    </w:p>
    <w:tbl>
      <w:tblPr>
        <w:tblW w:w="0" w:type="auto"/>
        <w:tblLayout w:type="fixed"/>
        <w:tblCellMar>
          <w:left w:w="62" w:type="dxa"/>
          <w:right w:w="62" w:type="dxa"/>
        </w:tblCellMar>
        <w:tblLook w:val="0000"/>
      </w:tblPr>
      <w:tblGrid>
        <w:gridCol w:w="2758"/>
        <w:gridCol w:w="5882"/>
      </w:tblGrid>
      <w:tr w:rsidTr="00215A3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3</w:t>
            </w:r>
            <w:r w:rsidRPr="008D15AA">
              <w:t>)</w:t>
            </w:r>
          </w:p>
          <w:p w:rsidR="00000000" w:rsidRPr="008D15AA" w:rsidP="008D15AA">
            <w:pPr>
              <w:pStyle w:val="BodyText"/>
            </w:pPr>
            <w:r w:rsidRPr="008D15AA">
              <w:t>The required outcomes described in this unit of competency contain applicable facets of Employability Skills. The Employability Skills Summary of the qualification in which this unit of competency is packaged will assist in identif</w:t>
            </w:r>
            <w:r w:rsidRPr="008D15AA">
              <w:t>ying Employability Skill requirements.</w:t>
            </w:r>
          </w:p>
        </w:tc>
      </w:tr>
    </w:tbl>
    <w:p w:rsidR="00215A30" w:rsidP="008D15AA">
      <w:pPr>
        <w:pStyle w:val="BodyText"/>
      </w:pPr>
    </w:p>
    <w:p w:rsidR="00215A30" w:rsidP="008D15AA">
      <w:pPr>
        <w:pStyle w:val="BodyText"/>
      </w:pPr>
    </w:p>
    <w:p w:rsidR="00000000" w:rsidRPr="008D15AA" w:rsidP="008D15AA">
      <w:pPr>
        <w:pStyle w:val="Heading1"/>
      </w:pPr>
      <w:bookmarkStart w:id="7" w:name="O_293510"/>
      <w:bookmarkEnd w:id="7"/>
      <w:r w:rsidRPr="008D15AA">
        <w:t>Elements and Performance Criteria Pre-Content</w:t>
      </w:r>
    </w:p>
    <w:tbl>
      <w:tblPr>
        <w:tblW w:w="0" w:type="auto"/>
        <w:tblLayout w:type="fixed"/>
        <w:tblCellMar>
          <w:left w:w="62" w:type="dxa"/>
          <w:right w:w="62" w:type="dxa"/>
        </w:tblCellMar>
        <w:tblLook w:val="0000"/>
      </w:tblPr>
      <w:tblGrid>
        <w:gridCol w:w="2758"/>
        <w:gridCol w:w="5882"/>
      </w:tblGrid>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6</w:t>
            </w:r>
            <w:r w:rsidRPr="008D15AA">
              <w:t xml:space="preserve">) </w:t>
            </w:r>
            <w:r w:rsidRPr="008D15AA">
              <w:rPr>
                <w:rStyle w:val="SpecialBold"/>
              </w:rPr>
              <w:t>Elements</w:t>
            </w:r>
            <w:r w:rsidRPr="008D15A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Performance Criteria describe the required performance needed to demonstrate achievement of the element. Assessment of performance is to be consistent with the evidence guide.</w:t>
            </w:r>
          </w:p>
        </w:tc>
      </w:tr>
    </w:tbl>
    <w:p w:rsidR="00000000" w:rsidRPr="008D15AA" w:rsidP="008D15AA">
      <w:pPr>
        <w:pStyle w:val="BodyText"/>
      </w:pPr>
    </w:p>
    <w:p w:rsidR="00000000" w:rsidRPr="008D15AA" w:rsidP="008D15AA">
      <w:pPr>
        <w:pStyle w:val="AllowPageBreak"/>
      </w:pPr>
    </w:p>
    <w:p w:rsidR="00000000" w:rsidRPr="008D15AA" w:rsidP="008D15AA">
      <w:pPr>
        <w:pStyle w:val="Heading1"/>
      </w:pPr>
      <w:bookmarkStart w:id="8" w:name="O_240178"/>
      <w:bookmarkEnd w:id="8"/>
      <w:r w:rsidRPr="008D15A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15A3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PERFORMANCE CRITER</w:t>
            </w:r>
            <w:r w:rsidRPr="008D15AA">
              <w:rPr>
                <w:rStyle w:val="SpecialBold"/>
              </w:rPr>
              <w:t>IA</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w:t>
            </w:r>
          </w:p>
        </w:tc>
        <w:tc>
          <w:tcPr>
            <w:tcW w:w="2344" w:type="dxa"/>
            <w:vMerge w:val="restart"/>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Prepare for the maintenance of electrical equipment (network infrastructure)</w:t>
            </w: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1.1</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 xml:space="preserve">Works schedule(s), including drawings, plans, requirements, established procedures, and material lists, are received, analysed and confirmed, </w:t>
            </w:r>
            <w:r w:rsidRPr="008D15AA">
              <w:t>if necessary, by site inspection.</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1.2</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Relevant requirements and established procedures for the work are communicated to all personnel and identified for all work sites.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1.3</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OHS policies and procedures related to requirements and established procedures the maintenance of electrical equipment (network infrastructure) are obtained and confirmed for the purposes of the work to be performed and communicated.</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1.4</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Work is priorit</w:t>
            </w:r>
            <w:r w:rsidRPr="008D15AA">
              <w:t>ised and sequenced following consultation with others for completion within acceptable timeframes and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1.5</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Hazards are identified, OHS risks assessed and control measures are prioritised, implemented and monitor</w:t>
            </w:r>
            <w:r w:rsidRPr="008D15AA">
              <w:t>ed including emergency exits kept clear according to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1.6</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Relevant work permits are obtained to access and perform work according to requirements and/or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1.7</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Resources including personnel, equipment, tools and personal protective equipment required for the job are obtained and confirmed in working order.</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1.8</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 xml:space="preserve">Relevant personnel at worksite are confirmed current in First Aid, Pole Top Rescue and other related </w:t>
            </w:r>
            <w:r w:rsidRPr="008D15AA">
              <w:t>work procedures according to requirements.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1.9</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Liaison and communication issues with other/authorised personnel, authorities, clients and land owners are resolved to carry out work where necessary.</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1.10</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Site is prepared according to the work schedule and to minimise risk and damage to property, commerce, and individuals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1.11</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Personnel participating in the work, including plant operators and contractors, are fu</w:t>
            </w:r>
            <w:r w:rsidRPr="008D15AA">
              <w:t>lly briefed and respective responsibilities confirmed where applicable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1.12</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Road signs, barriers and warning devices are positioned in accordance with requirements.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w:t>
            </w:r>
          </w:p>
        </w:tc>
        <w:tc>
          <w:tcPr>
            <w:tcW w:w="2344"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Carry out maintenance of electrical equipm</w:t>
            </w:r>
            <w:r w:rsidRPr="008D15AA">
              <w:t>ent (network infrastructure)</w:t>
            </w: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2.1</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OHS and sustainable energy principles and practices to reduce the incidents of accidents and minimise waste are monitored and followed in accordance with requirements and/or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2.2</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Lifting, climbing,</w:t>
            </w:r>
            <w:r w:rsidRPr="008D15AA">
              <w:t xml:space="preserve"> working in confined spaces and aloft, and use of power tools/equipment, techniques and practices are safely followed and, currency according to requirements confirmed.</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2.3</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Essential know</w:t>
            </w:r>
            <w:r w:rsidRPr="008D15AA">
              <w:t>ledge and associated kills are applied in the safe maintenance of electrical equipment (network infrastructure) to ensure completion in an agreed timeframe and, to quality standards with a minimum of waste according to requirements.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2.4</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Maintenance, inc</w:t>
            </w:r>
            <w:r w:rsidRPr="008D15AA">
              <w:t>luding repair and/or replacement of electrical equipment (network infrastructure) is carried out, in accordance with the work schedule and requirements/established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2.5</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 xml:space="preserve">Hazard warnings and safety signs are recognised and hazards and assessed </w:t>
            </w:r>
            <w:r w:rsidRPr="008D15AA">
              <w:t>OHS risks are reported to the immediate authorised persons for directions according to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2.6</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Unplanned events in the maintenance of electrical equipment (network infrastructure) are undertaken within the scope of established proced</w:t>
            </w:r>
            <w:r w:rsidRPr="008D15AA">
              <w:t>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2.7</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Known solutions to a variety of problems are applied using acquired essential knowledge and associated skills.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2.8</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On going checks of quality of the work are undertaken in accordance with instructions and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w:t>
            </w:r>
          </w:p>
        </w:tc>
        <w:tc>
          <w:tcPr>
            <w:tcW w:w="2344" w:type="dxa"/>
            <w:vMerge w:val="restart"/>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Complete the maintenance of electrical equipment (network infrastructure)</w:t>
            </w: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3.1</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Work undertaken is checked/tested against works schedule for conformance with requirements and anomalies reported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3.2</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Accidents and/or injuries are reported in accordance with requirements/established procedures, where applicable.</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3.3</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Work site is rehabilitated, cleaned up and made safe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3.4</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 xml:space="preserve">Tools, equipment and any surplus </w:t>
            </w:r>
            <w:r w:rsidRPr="008D15AA">
              <w:t>resources and materials are, where appropriate, cleaned, checked and returned to storage in accordance with established procedures.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3.5</w:t>
            </w:r>
          </w:p>
        </w:tc>
        <w:tc>
          <w:tcPr>
            <w:tcW w:w="496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Relevant work permit(s) are signed off and, electrical equipment (network infrastructure) is returned to service in accordance with requirements.</w:t>
            </w:r>
          </w:p>
        </w:tc>
      </w:tr>
      <w:tr w:rsidTr="00215A3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3.6</w:t>
            </w:r>
          </w:p>
        </w:tc>
        <w:tc>
          <w:tcPr>
            <w:tcW w:w="4963"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Works completion records, reports, as installed/modified drawing and/or documentation and information a</w:t>
            </w:r>
            <w:r w:rsidRPr="008D15AA">
              <w:t>re finalised and processed and appropriate personnel notified.</w:t>
            </w:r>
          </w:p>
        </w:tc>
      </w:tr>
    </w:tbl>
    <w:p w:rsidR="00215A30" w:rsidP="008D15AA">
      <w:pPr>
        <w:pStyle w:val="BodyText"/>
      </w:pPr>
    </w:p>
    <w:p w:rsidR="00215A30" w:rsidP="008D15AA">
      <w:pPr>
        <w:pStyle w:val="BodyText"/>
      </w:pPr>
    </w:p>
    <w:p w:rsidR="00000000" w:rsidRPr="008D15AA" w:rsidP="008D15AA">
      <w:pPr>
        <w:pStyle w:val="Heading1"/>
      </w:pPr>
      <w:bookmarkStart w:id="9" w:name="O_263969"/>
      <w:bookmarkEnd w:id="9"/>
      <w:r w:rsidRPr="008D15AA">
        <w:t>Required Skills and Knowledge</w:t>
      </w:r>
    </w:p>
    <w:tbl>
      <w:tblPr>
        <w:tblW w:w="0" w:type="auto"/>
        <w:tblLayout w:type="fixed"/>
        <w:tblCellMar>
          <w:left w:w="62" w:type="dxa"/>
          <w:right w:w="62" w:type="dxa"/>
        </w:tblCellMar>
        <w:tblLook w:val="0000"/>
      </w:tblPr>
      <w:tblGrid>
        <w:gridCol w:w="2758"/>
        <w:gridCol w:w="1103"/>
        <w:gridCol w:w="4779"/>
      </w:tblGrid>
      <w:tr w:rsidTr="00215A3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REQUIRED SKILLS AND KNOWLEDGE</w:t>
            </w:r>
          </w:p>
        </w:tc>
      </w:tr>
      <w:tr w:rsidTr="00215A3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7</w:t>
            </w:r>
            <w:r w:rsidRPr="008D15AA">
              <w:t xml:space="preserve">) </w:t>
            </w:r>
            <w:r w:rsidRPr="008D15AA">
              <w:rPr>
                <w:rStyle w:val="SpecialBold"/>
              </w:rPr>
              <w:t>Essential Knowledge and Associated Skills</w:t>
            </w:r>
            <w:r w:rsidRPr="008D15AA">
              <w:t xml:space="preserve"> (</w:t>
            </w:r>
            <w:r w:rsidRPr="008D15AA">
              <w:rPr>
                <w:rStyle w:val="SpecialBold"/>
              </w:rPr>
              <w:t>EKAS</w:t>
            </w:r>
            <w:r w:rsidRPr="008D15AA">
              <w:t>): This describes the essential skills and knowledge and their level, required for this unit.</w:t>
            </w:r>
          </w:p>
        </w:tc>
      </w:tr>
      <w:tr w:rsidTr="00215A3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Evidence shall show that knowledge has been acquired of maintaining electrical equipment (network infrastructure).</w:t>
            </w:r>
          </w:p>
          <w:p w:rsidR="00000000" w:rsidRPr="008D15AA" w:rsidP="008D15AA">
            <w:pPr>
              <w:pStyle w:val="BodyText"/>
            </w:pPr>
            <w:r w:rsidRPr="008D15AA">
              <w:t>All knowledge and skills detailed in this un</w:t>
            </w:r>
            <w:r w:rsidRPr="008D15AA">
              <w:t>it should be contextualised to current industry practices and technologies.</w:t>
            </w:r>
          </w:p>
          <w:p w:rsidR="00000000" w:rsidP="008D15AA">
            <w:pPr>
              <w:pStyle w:val="BodyText"/>
              <w:rPr>
                <w:lang w:val="en-NZ"/>
              </w:rPr>
            </w:pPr>
            <w:r w:rsidRPr="008D15AA">
              <w:t>The extent of the essential knowledge and associated skills (EKAS) required is given in Volume 2 - Part 2.2 EKAS. It forms an integral part of this unit.</w:t>
            </w:r>
          </w:p>
        </w:tc>
      </w:tr>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T2.1.10</w:t>
            </w:r>
          </w:p>
        </w:tc>
        <w:tc>
          <w:tcPr>
            <w:tcW w:w="4779"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 xml:space="preserve">Filtering and </w:t>
            </w:r>
            <w:r w:rsidRPr="008D15AA">
              <w:t xml:space="preserve">sampling of insulating oil </w:t>
            </w:r>
          </w:p>
        </w:tc>
      </w:tr>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T2.7.3.</w:t>
            </w:r>
          </w:p>
        </w:tc>
        <w:tc>
          <w:tcPr>
            <w:tcW w:w="4779"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 xml:space="preserve">Filtering and sampling oil and the environment </w:t>
            </w:r>
          </w:p>
        </w:tc>
      </w:tr>
    </w:tbl>
    <w:p w:rsidR="00215A30" w:rsidP="008D15AA">
      <w:pPr>
        <w:pStyle w:val="BodyText"/>
      </w:pPr>
    </w:p>
    <w:p w:rsidR="00215A30" w:rsidP="008D15AA">
      <w:pPr>
        <w:pStyle w:val="BodyText"/>
      </w:pPr>
    </w:p>
    <w:p w:rsidR="00000000" w:rsidRPr="008D15AA" w:rsidP="008D15AA">
      <w:pPr>
        <w:pStyle w:val="Heading1"/>
      </w:pPr>
      <w:bookmarkStart w:id="10" w:name="O_248161"/>
      <w:bookmarkEnd w:id="10"/>
      <w:r w:rsidRPr="008D15AA">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15A3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EVIDENCE GUIDE</w:t>
            </w:r>
          </w:p>
        </w:tc>
      </w:tr>
      <w:tr w:rsidTr="00215A3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9</w:t>
            </w:r>
            <w:r w:rsidRPr="008D15AA">
              <w:t xml:space="preserve">) This provides essential advice for assessment of the unit of competency and must be read in conjunction </w:t>
            </w:r>
            <w:r w:rsidRPr="008D15AA">
              <w:t>with the Performance Criteria and the range statement of the unit of competency and the Training Package Assessment Guidelines.</w:t>
            </w:r>
          </w:p>
          <w:p w:rsidR="00000000" w:rsidP="008D15AA">
            <w:pPr>
              <w:pStyle w:val="BodyText"/>
              <w:rPr>
                <w:lang w:val="en-NZ"/>
              </w:rPr>
            </w:pPr>
            <w:r w:rsidRPr="008D15AA">
              <w:t>The Evidence Guide forms an integ</w:t>
            </w:r>
            <w:r w:rsidRPr="008D15AA">
              <w:t>ral part of this Competency Standard Unit and shall be used in conjunction with all component parts of this unit and, performed in accordance with the Assessment Guidelines of this Training Package.</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9</w:t>
            </w:r>
            <w:r w:rsidRPr="008D15AA">
              <w:t>.</w:t>
            </w:r>
            <w:r w:rsidRPr="008D15AA">
              <w:rPr>
                <w:rStyle w:val="SpecialBold"/>
              </w:rPr>
              <w:t>1</w:t>
            </w:r>
            <w:r w:rsidRPr="008D15AA">
              <w:t xml:space="preserve">) </w:t>
            </w:r>
          </w:p>
          <w:p w:rsidR="00000000" w:rsidRPr="008D15AA" w:rsidP="008D15AA">
            <w:pPr>
              <w:pStyle w:val="BodyText"/>
            </w:pPr>
            <w:r w:rsidRPr="008D15AA">
              <w:t>Longitudinal competency</w:t>
            </w:r>
            <w:r w:rsidRPr="008D15AA">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8D15AA">
              <w:t>e Industry's preferred model for apprenticeships. However, where summative (or final) assessment is used it is to include the application of the competency in the normal work environment or, at a minimum, the application of the competency in a realisticall</w:t>
            </w:r>
            <w:r w:rsidRPr="008D15AA">
              <w:t>y simulated work environment. It is recognised that, in some circumstances, assessment in part or full can occur outside the workplace. However, it must be in accord with Industry and, Regulatory policy in this regard.</w:t>
            </w:r>
          </w:p>
          <w:p w:rsidR="00000000" w:rsidRPr="008D15AA" w:rsidP="008D15AA">
            <w:pPr>
              <w:pStyle w:val="BodyText"/>
            </w:pPr>
            <w:r w:rsidRPr="008D15AA">
              <w:t>Methods chosen for a particular asses</w:t>
            </w:r>
            <w:r w:rsidRPr="008D15AA">
              <w:t>sment will be influenced by various factors. These include the extent of the assessment, the most effective locations for the assessment activities to take place, access to physical resources, additional safety measures that may be required and the critica</w:t>
            </w:r>
            <w:r w:rsidRPr="008D15AA">
              <w:t>l nature of the competencies being assessed.</w:t>
            </w:r>
          </w:p>
          <w:p w:rsidR="00000000" w:rsidRPr="008D15AA" w:rsidP="008D15AA">
            <w:pPr>
              <w:pStyle w:val="BodyText"/>
            </w:pPr>
            <w:r w:rsidRPr="008D15AA">
              <w:t>The critical safety nature of working with electricity, electrical equipment, gas or any other hazardous substance/material carries risk in deeming a person competent. Hence, sources of evidence need to be 'rich</w:t>
            </w:r>
            <w:r w:rsidRPr="008D15AA">
              <w:t>' in nature so as to minimise error in judgment.</w:t>
            </w:r>
          </w:p>
          <w:p w:rsidR="00000000" w:rsidP="008D15AA">
            <w:pPr>
              <w:pStyle w:val="BodyText"/>
              <w:rPr>
                <w:lang w:val="en-NZ"/>
              </w:rPr>
            </w:pPr>
            <w:r w:rsidRPr="008D15AA">
              <w:t>Activities associated with normal every day work have a bearing on the decision as to how much and how detailed the data gathered will contribute to its 'richness'. Some skills are more critical to safety an</w:t>
            </w:r>
            <w:r w:rsidRPr="008D15AA">
              <w:t>d operational requirements while the same skills may be more or less frequently practiced. These points are raised for the assessors to consider when choosing an assessment method and developing assessment instruments. Sample assessment instruments are inc</w:t>
            </w:r>
            <w:r w:rsidRPr="008D15AA">
              <w:t>luded for Assessors in the Assessment Guidelines of this Training Package.</w:t>
            </w:r>
          </w:p>
        </w:tc>
      </w:tr>
      <w:tr w:rsidTr="00215A3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9</w:t>
            </w:r>
            <w:r w:rsidRPr="008D15AA">
              <w:t>.</w:t>
            </w:r>
            <w:r w:rsidRPr="008D15AA">
              <w:rPr>
                <w:rStyle w:val="SpecialBold"/>
              </w:rPr>
              <w:t>2</w:t>
            </w:r>
            <w:r w:rsidRPr="008D15AA">
              <w:t xml:space="preserve">) </w:t>
            </w:r>
          </w:p>
          <w:p w:rsidR="00000000" w:rsidP="008D15AA">
            <w:pPr>
              <w:pStyle w:val="BodyText"/>
              <w:rPr>
                <w:lang w:val="en-NZ"/>
              </w:rPr>
            </w:pPr>
            <w:r w:rsidRPr="008D15AA">
              <w:t>Before the critical aspects of evidence are considered all prerequisites shall be met.</w:t>
            </w:r>
          </w:p>
        </w:tc>
      </w:tr>
      <w:tr w:rsidTr="00215A3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8D15AA">
            <w:pPr>
              <w:pStyle w:val="ListBullet"/>
              <w:rPr>
                <w:lang w:val="en-NZ"/>
              </w:rPr>
            </w:pPr>
            <w:r w:rsidRPr="008D15AA">
              <w:t>A</w:t>
            </w:r>
            <w:r w:rsidRPr="008D15AA">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ListBullet2"/>
            </w:pPr>
            <w:r w:rsidRPr="008D15AA">
              <w:t>Implement Occupational Health and Safety workplace procedures and practices including the use of risk control measures as specified in the Performance Criteria and range; and</w:t>
            </w:r>
          </w:p>
          <w:p w:rsidR="00000000" w:rsidRPr="008D15AA" w:rsidP="008D15AA">
            <w:pPr>
              <w:pStyle w:val="ListBullet2"/>
            </w:pPr>
            <w:r w:rsidRPr="008D15AA">
              <w:t>Apply sustainable energy principles and practices as specified in the Performance Criteria and range; and</w:t>
            </w:r>
          </w:p>
          <w:p w:rsidR="00000000" w:rsidRPr="008D15AA" w:rsidP="008D15AA">
            <w:pPr>
              <w:pStyle w:val="ListBullet2"/>
            </w:pPr>
            <w:r w:rsidRPr="008D15AA">
              <w:t>Demonstrate an understanding of the essential knowledge and associated skills as described in this unit to such an extent that the learner's performan</w:t>
            </w:r>
            <w:r w:rsidRPr="008D15AA">
              <w:t>ce outcome is reported in accordance with the preferred approach; namely a percentile graded result, where required by the regulated environment; and</w:t>
            </w:r>
          </w:p>
          <w:p w:rsidR="00000000" w:rsidRPr="008D15AA" w:rsidP="008D15AA">
            <w:pPr>
              <w:pStyle w:val="ListBullet2"/>
            </w:pPr>
            <w:r w:rsidRPr="008D15AA">
              <w:t>Demonstrate an appropriate level of employability skills; and</w:t>
            </w:r>
          </w:p>
          <w:p w:rsidR="00000000" w:rsidP="008D15AA">
            <w:pPr>
              <w:pStyle w:val="ListBullet2"/>
              <w:rPr>
                <w:lang w:val="en-NZ"/>
              </w:rPr>
            </w:pPr>
            <w:r w:rsidRPr="008D15AA">
              <w:t>Conduct work observing the relevant Anti Dis</w:t>
            </w:r>
            <w:r w:rsidRPr="008D15AA">
              <w:t>crimination legislation, regulations, policies and workplace procedures; and</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D15AA">
            <w:pPr>
              <w:pStyle w:val="ListBullet"/>
              <w:rPr>
                <w:lang w:val="en-NZ"/>
              </w:rPr>
            </w:pPr>
            <w:r w:rsidRPr="008D15AA">
              <w:t>Demonstrated performance across a representative range of contexts from the prescribed items below:</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D15A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rPr>
                <w:rStyle w:val="SpecialBold"/>
              </w:rPr>
              <w:t>Range of tools</w:t>
            </w:r>
            <w:r w:rsidRPr="008D15AA">
              <w:t>/</w:t>
            </w:r>
            <w:r w:rsidRPr="008D15AA">
              <w:rPr>
                <w:rStyle w:val="SpecialBold"/>
              </w:rPr>
              <w:t>equipment</w:t>
            </w:r>
            <w:r w:rsidRPr="008D15AA">
              <w:t>/</w:t>
            </w:r>
            <w:r w:rsidRPr="008D15AA">
              <w:rPr>
                <w:rStyle w:val="SpecialBold"/>
              </w:rPr>
              <w:t>materials</w:t>
            </w:r>
            <w:r w:rsidRPr="008D15AA">
              <w:t>/</w:t>
            </w:r>
            <w:r w:rsidRPr="008D15AA">
              <w:rPr>
                <w:rStyle w:val="SpecialBold"/>
              </w:rPr>
              <w:t>procedures</w:t>
            </w:r>
            <w:r w:rsidRPr="008D15AA">
              <w:t>/</w:t>
            </w:r>
            <w:r w:rsidRPr="008D15AA">
              <w:rPr>
                <w:rStyle w:val="SpecialBold"/>
              </w:rPr>
              <w:t>workplaces</w:t>
            </w:r>
            <w:r w:rsidRPr="008D15AA">
              <w:t>/</w:t>
            </w:r>
            <w:r w:rsidRPr="008D15AA">
              <w:rPr>
                <w:rStyle w:val="SpecialBold"/>
              </w:rPr>
              <w:t>other variables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D15A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rPr>
                <w:rStyle w:val="SpecialBold"/>
              </w:rPr>
              <w:t>Item List</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Any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t>Fuse switches</w:t>
            </w:r>
          </w:p>
          <w:p w:rsidR="00000000" w:rsidRPr="008D15AA" w:rsidP="008D15AA">
            <w:pPr>
              <w:pStyle w:val="BodyText"/>
            </w:pPr>
            <w:r w:rsidRPr="008D15AA">
              <w:t>Dropout fuses</w:t>
            </w:r>
          </w:p>
          <w:p w:rsidR="00000000" w:rsidRPr="008D15AA" w:rsidP="008D15AA">
            <w:pPr>
              <w:pStyle w:val="BodyText"/>
            </w:pPr>
            <w:r w:rsidRPr="008D15AA">
              <w:t>Sectionalisers</w:t>
            </w:r>
          </w:p>
          <w:p w:rsidR="00000000" w:rsidRPr="008D15AA" w:rsidP="008D15AA">
            <w:pPr>
              <w:pStyle w:val="BodyText"/>
            </w:pPr>
            <w:r w:rsidRPr="008D15AA">
              <w:t>Disconnectors</w:t>
            </w:r>
          </w:p>
          <w:p w:rsidR="00000000" w:rsidRPr="008D15AA" w:rsidP="008D15AA">
            <w:pPr>
              <w:pStyle w:val="BodyText"/>
            </w:pPr>
            <w:r w:rsidRPr="008D15AA">
              <w:t>Links</w:t>
            </w:r>
          </w:p>
          <w:p w:rsidR="00000000" w:rsidRPr="008D15AA" w:rsidP="008D15AA">
            <w:pPr>
              <w:pStyle w:val="BodyText"/>
            </w:pPr>
            <w:r w:rsidRPr="008D15AA">
              <w:t>Fuses</w:t>
            </w:r>
          </w:p>
          <w:p w:rsidR="00000000" w:rsidP="008D15AA">
            <w:pPr>
              <w:pStyle w:val="BodyText"/>
              <w:rPr>
                <w:lang w:val="en-NZ"/>
              </w:rPr>
            </w:pPr>
            <w:r w:rsidRPr="008D15AA">
              <w:t>Surge arrestors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t>Reclosers</w:t>
            </w:r>
          </w:p>
          <w:p w:rsidR="00000000" w:rsidRPr="008D15AA" w:rsidP="008D15AA">
            <w:pPr>
              <w:pStyle w:val="BodyText"/>
            </w:pPr>
            <w:r w:rsidRPr="008D15AA">
              <w:t>Gas filled switches</w:t>
            </w:r>
          </w:p>
          <w:p w:rsidR="00000000" w:rsidRPr="008D15AA" w:rsidP="008D15AA">
            <w:pPr>
              <w:pStyle w:val="BodyText"/>
            </w:pPr>
            <w:r w:rsidRPr="008D15AA">
              <w:t>Ring main units</w:t>
            </w:r>
          </w:p>
          <w:p w:rsidR="00000000" w:rsidRPr="008D15AA" w:rsidP="008D15AA">
            <w:pPr>
              <w:pStyle w:val="BodyText"/>
            </w:pPr>
            <w:r w:rsidRPr="008D15AA">
              <w:t>Oil filled switches</w:t>
            </w:r>
          </w:p>
          <w:p w:rsidR="00000000" w:rsidP="008D15AA">
            <w:pPr>
              <w:pStyle w:val="BodyText"/>
              <w:rPr>
                <w:lang w:val="en-NZ"/>
              </w:rPr>
            </w:pPr>
            <w:r w:rsidRPr="008D15AA">
              <w:t>Air break switches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t>Transformers</w:t>
            </w:r>
          </w:p>
          <w:p w:rsidR="00000000" w:rsidRPr="008D15AA" w:rsidP="008D15AA">
            <w:pPr>
              <w:pStyle w:val="BodyText"/>
            </w:pPr>
            <w:r w:rsidRPr="008D15AA">
              <w:t>Reactors</w:t>
            </w:r>
          </w:p>
          <w:p w:rsidR="00000000" w:rsidRPr="008D15AA" w:rsidP="008D15AA">
            <w:pPr>
              <w:pStyle w:val="BodyText"/>
            </w:pPr>
            <w:r w:rsidRPr="008D15AA">
              <w:t>Regulators</w:t>
            </w:r>
          </w:p>
          <w:p w:rsidR="00000000" w:rsidRPr="008D15AA" w:rsidP="008D15AA">
            <w:pPr>
              <w:pStyle w:val="BodyText"/>
            </w:pPr>
            <w:r w:rsidRPr="008D15AA">
              <w:t>Capacitors</w:t>
            </w:r>
          </w:p>
          <w:p w:rsidR="00000000" w:rsidRPr="008D15AA" w:rsidP="008D15AA">
            <w:pPr>
              <w:pStyle w:val="BodyText"/>
            </w:pPr>
            <w:r w:rsidRPr="008D15AA">
              <w:t>Relays</w:t>
            </w:r>
          </w:p>
          <w:p w:rsidR="00000000" w:rsidP="008D15AA">
            <w:pPr>
              <w:pStyle w:val="BodyText"/>
              <w:rPr>
                <w:lang w:val="en-NZ"/>
              </w:rPr>
            </w:pPr>
            <w:r w:rsidRPr="008D15AA">
              <w:t>Line fault indicators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Any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5AA" w:rsidP="008D15AA">
            <w:pPr>
              <w:pStyle w:val="BodyText"/>
            </w:pPr>
            <w:r w:rsidRPr="008D15AA">
              <w:t>Voltage detectors</w:t>
            </w:r>
          </w:p>
          <w:p w:rsidR="00000000" w:rsidRPr="008D15AA" w:rsidP="008D15AA">
            <w:pPr>
              <w:pStyle w:val="BodyText"/>
            </w:pPr>
            <w:r w:rsidRPr="008D15AA">
              <w:t>Phasing equipment</w:t>
            </w:r>
          </w:p>
          <w:p w:rsidR="00000000" w:rsidRPr="008D15AA" w:rsidP="008D15AA">
            <w:pPr>
              <w:pStyle w:val="BodyText"/>
            </w:pPr>
            <w:r w:rsidRPr="008D15AA">
              <w:t>Clip-on ammeters</w:t>
            </w:r>
          </w:p>
          <w:p w:rsidR="00000000" w:rsidRPr="008D15AA" w:rsidP="008D15AA">
            <w:pPr>
              <w:pStyle w:val="BodyText"/>
            </w:pPr>
            <w:r w:rsidRPr="008D15AA">
              <w:t>Insulation resistance testers</w:t>
            </w:r>
          </w:p>
          <w:p w:rsidR="00000000" w:rsidRPr="008D15AA" w:rsidP="008D15AA">
            <w:pPr>
              <w:pStyle w:val="BodyText"/>
            </w:pPr>
            <w:r w:rsidRPr="008D15AA">
              <w:t>Recording meters</w:t>
            </w:r>
          </w:p>
          <w:p w:rsidR="00000000" w:rsidP="008D15AA">
            <w:pPr>
              <w:pStyle w:val="BodyText"/>
              <w:rPr>
                <w:lang w:val="en-NZ"/>
              </w:rPr>
            </w:pPr>
            <w:r w:rsidRPr="008D15AA">
              <w:t>Earth resistance testers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5AA">
            <w:pPr>
              <w:pStyle w:val="BodyText"/>
              <w:rPr>
                <w:lang w:val="en-NZ"/>
              </w:rPr>
            </w:pPr>
            <w:r w:rsidRPr="008D15AA">
              <w:t>Dealing with an unplanned event by drawing on essential knowledge and associated skills to provide appropriate solutions incorporated in the holistic assessment with the above listed items.</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9</w:t>
            </w:r>
            <w:r w:rsidRPr="008D15AA">
              <w:t>.</w:t>
            </w:r>
            <w:r w:rsidRPr="008D15AA">
              <w:rPr>
                <w:rStyle w:val="SpecialBold"/>
              </w:rPr>
              <w:t>3</w:t>
            </w:r>
            <w:r w:rsidRPr="008D15AA">
              <w:t xml:space="preserve">) </w:t>
            </w:r>
          </w:p>
          <w:p w:rsidR="00000000" w:rsidRPr="008D15AA" w:rsidP="008D15AA">
            <w:pPr>
              <w:pStyle w:val="BodyText"/>
            </w:pPr>
            <w:r w:rsidRPr="008D15AA">
              <w:t xml:space="preserve">This unit </w:t>
            </w:r>
            <w:r w:rsidRPr="008D15AA">
              <w:t>should be assessed as it relates to normal work practice using procedures, information and resources typical of a workplace. This should include:</w:t>
            </w:r>
          </w:p>
          <w:p w:rsidR="00000000" w:rsidRPr="008D15AA" w:rsidP="008D15AA">
            <w:pPr>
              <w:pStyle w:val="ListBullet"/>
            </w:pPr>
            <w:r w:rsidRPr="008D15AA">
              <w:t>OHS policy and work procedures and instructions.</w:t>
            </w:r>
          </w:p>
          <w:p w:rsidR="00000000" w:rsidP="008D15AA">
            <w:pPr>
              <w:pStyle w:val="ListBullet"/>
              <w:rPr>
                <w:lang w:val="en-NZ"/>
              </w:rPr>
            </w:pPr>
            <w:r w:rsidRPr="008D15AA">
              <w:t xml:space="preserve">Suitable work environment, facilities, equipment and materials to undertake actual maintenance of electrical equipment in the network infrastructure. </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In addition to the resources listed above, in Context of and specific resources for assessment, evid</w:t>
            </w:r>
            <w:r w:rsidRPr="008D15AA">
              <w:t xml:space="preserve">ence should show demonstrated competency working below ground, in limited spaces, with different structural/construction types and method and in a variety of environments. </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9</w:t>
            </w:r>
            <w:r w:rsidRPr="008D15AA">
              <w:t>.</w:t>
            </w:r>
            <w:r w:rsidRPr="008D15AA">
              <w:rPr>
                <w:rStyle w:val="SpecialBold"/>
              </w:rPr>
              <w:t>4</w:t>
            </w:r>
            <w:r w:rsidRPr="008D15AA">
              <w:t xml:space="preserve">) </w:t>
            </w:r>
          </w:p>
          <w:p w:rsidR="00000000" w:rsidRPr="008D15AA" w:rsidP="008D15AA">
            <w:pPr>
              <w:pStyle w:val="BodyText"/>
            </w:pPr>
            <w:r w:rsidRPr="008D15AA">
              <w:t>This Competency Standard Unit shall be assessed by m</w:t>
            </w:r>
            <w:r w:rsidRPr="008D15AA">
              <w:t>ethods given in Volume 1, Part 3 "Assessment Guidelines".</w:t>
            </w:r>
          </w:p>
          <w:p w:rsidR="00000000" w:rsidP="008D15AA">
            <w:pPr>
              <w:pStyle w:val="BodyText"/>
              <w:rPr>
                <w:lang w:val="en-NZ"/>
              </w:rPr>
            </w:pPr>
            <w:r w:rsidRPr="008D15AA">
              <w:t>Note:</w:t>
            </w:r>
            <w:r w:rsidRPr="008D15AA">
              <w:br/>
            </w:r>
            <w:r w:rsidRPr="008D15AA">
              <w:t>Competent performance with inherent safe working practices is expected in the Industry to which this Competency Standard Unit applies. This requires that the specified essential knowledge and associated skills are assessed in a structured environment which</w:t>
            </w:r>
            <w:r w:rsidRPr="008D15AA">
              <w:t xml:space="preserve"> is primarily intended for learning/assessment and incorporates all necessary equipment and facilities for learners to develop and demonstrate the essential knowledge and associated skills described in this unit.</w:t>
            </w:r>
          </w:p>
        </w:tc>
      </w:tr>
      <w:tr w:rsidTr="00215A3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 xml:space="preserve">Concurrent assessment and relationship </w:t>
            </w:r>
            <w:r w:rsidRPr="008D15AA">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9</w:t>
            </w:r>
            <w:r w:rsidRPr="008D15AA">
              <w:t>.</w:t>
            </w:r>
            <w:r w:rsidRPr="008D15AA">
              <w:rPr>
                <w:rStyle w:val="SpecialBold"/>
              </w:rPr>
              <w:t>5</w:t>
            </w:r>
            <w:r w:rsidRPr="008D15AA">
              <w:t>)</w:t>
            </w:r>
          </w:p>
        </w:tc>
      </w:tr>
      <w:tr w:rsidTr="00215A3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There are no concurrent assessment recommendations for this unit.</w:t>
            </w:r>
          </w:p>
        </w:tc>
      </w:tr>
    </w:tbl>
    <w:p w:rsidR="00215A30" w:rsidP="008D15AA">
      <w:pPr>
        <w:pStyle w:val="BodyText"/>
      </w:pPr>
    </w:p>
    <w:p w:rsidR="00215A30" w:rsidP="008D15AA">
      <w:pPr>
        <w:pStyle w:val="BodyText"/>
      </w:pPr>
    </w:p>
    <w:p w:rsidR="00000000" w:rsidRPr="008D15AA" w:rsidP="008D15AA">
      <w:pPr>
        <w:pStyle w:val="Heading1"/>
      </w:pPr>
      <w:bookmarkStart w:id="11" w:name="O_256145"/>
      <w:bookmarkEnd w:id="11"/>
      <w:r w:rsidRPr="008D15AA">
        <w:t>Range Statement</w:t>
      </w:r>
    </w:p>
    <w:tbl>
      <w:tblPr>
        <w:tblW w:w="0" w:type="auto"/>
        <w:tblLayout w:type="fixed"/>
        <w:tblCellMar>
          <w:left w:w="62" w:type="dxa"/>
          <w:right w:w="62" w:type="dxa"/>
        </w:tblCellMar>
        <w:tblLook w:val="0000"/>
      </w:tblPr>
      <w:tblGrid>
        <w:gridCol w:w="2207"/>
        <w:gridCol w:w="6433"/>
      </w:tblGrid>
      <w:tr w:rsidTr="00215A3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RANGE STATEMENT</w:t>
            </w:r>
          </w:p>
        </w:tc>
      </w:tr>
      <w:tr w:rsidTr="00215A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8</w:t>
            </w:r>
            <w:r w:rsidRPr="008D15AA">
              <w:t xml:space="preserve">) This relates to the unit of competency as a whole providing the range of contexts and conditions </w:t>
            </w:r>
            <w:r w:rsidRPr="008D15AA">
              <w:t>to which the Performance Criteria apply. It allows for different work environments and situations that will affect performance.</w:t>
            </w:r>
          </w:p>
        </w:tc>
      </w:tr>
      <w:tr w:rsidTr="00215A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 xml:space="preserve">This Competency Standard Unit shall/may be demonstrated in relation to the maintenance of overhead electrical equipment relevant to the transmission, distribution and rail networks. </w:t>
            </w:r>
          </w:p>
          <w:p w:rsidR="00000000" w:rsidRPr="008D15AA" w:rsidP="008D15AA">
            <w:pPr>
              <w:pStyle w:val="BodyText"/>
            </w:pPr>
            <w:r w:rsidRPr="008D15AA">
              <w:t>Maintenance may include the removal, repair and replacement of electrical</w:t>
            </w:r>
            <w:r w:rsidRPr="008D15AA">
              <w:t xml:space="preserve"> equipment encompassing "like for like" and associated hardware as well as the termination and/or connection of this equipment according to requirements and may include sampling of insulating oils. It also encompasses the identification of faults; the pre-</w:t>
            </w:r>
            <w:r w:rsidRPr="008D15AA">
              <w:t>commissioning tests involving the equipment/system and the interpretation of these tests against agreed specifications. It excludes the energisation of the equipment maintained in a highly complex, interdependent and interconnected electricity supply Netwo</w:t>
            </w:r>
            <w:r w:rsidRPr="008D15AA">
              <w:t>rk system, where the affects of unintended consequences on the system are high risk and appropriate personnel effect energisation.</w:t>
            </w:r>
          </w:p>
          <w:p w:rsidR="00000000" w:rsidRPr="008D15AA" w:rsidP="008D15AA">
            <w:pPr>
              <w:pStyle w:val="BodyText"/>
            </w:pPr>
            <w:r w:rsidRPr="008D15AA">
              <w:t>Electrical equipment and associated hardware may include relevant transmission or distribution linework/network; switchgear (</w:t>
            </w:r>
            <w:r w:rsidRPr="008D15AA">
              <w:t>eg. reclosers, sectionalisers, drop-out fuses, disconnectors, isolators, air break switches, gas filled switches, links, fuses, fuse switches and circuit breakers); transformers (eg. padmount, pole-mounted and mobile); reactors; fault indicators; regulator</w:t>
            </w:r>
            <w:r w:rsidRPr="008D15AA">
              <w:t>s; street lighting control points; capacitors; cables; underground/overhead cable terminations; underground cable joints; relays (simple); mobile generators and surge arrestors; support brackets and the like.</w:t>
            </w:r>
          </w:p>
          <w:p w:rsidR="00000000" w:rsidRPr="008D15AA" w:rsidP="008D15AA">
            <w:pPr>
              <w:pStyle w:val="BodyText"/>
            </w:pPr>
            <w:r w:rsidRPr="008D15AA">
              <w:t>Test and recording equipment includes voltage d</w:t>
            </w:r>
            <w:r w:rsidRPr="008D15AA">
              <w:t xml:space="preserve">etectors, phasing equipment, tong ammeters, voltmeters, recording meters, insulation resistance testers and may include the, sampling of transformers, switchgear and cable insulating oil and tests for dielectric strength and moisture used for the purposes </w:t>
            </w:r>
            <w:r w:rsidRPr="008D15AA">
              <w:t>as intended and according to requirements, and does not include use of such in energising equipment and circuits in a highly complex, interdependent and interconnected electricity supply Network system, where the affects of unintended consequences on the s</w:t>
            </w:r>
            <w:r w:rsidRPr="008D15AA">
              <w:t>ystem are high risk.</w:t>
            </w:r>
          </w:p>
          <w:p w:rsidR="00000000" w:rsidRPr="008D15AA" w:rsidP="008D15AA">
            <w:pPr>
              <w:pStyle w:val="BodyText"/>
            </w:pPr>
            <w:r w:rsidRPr="008D15AA">
              <w:t>Equipment may include Pump, filter press, hoses, pipes, soil kits, sample bottles, storage vessels etc.</w:t>
            </w:r>
          </w:p>
          <w:p w:rsidR="00000000" w:rsidP="008D15AA">
            <w:pPr>
              <w:pStyle w:val="BodyText"/>
              <w:rPr>
                <w:lang w:val="en-NZ"/>
              </w:rPr>
            </w:pPr>
            <w:r w:rsidRPr="008D15AA">
              <w:t>The following constants and variables included in the element/Performance Criteria in this unit are fully described in the Definiti</w:t>
            </w:r>
            <w:r w:rsidRPr="008D15AA">
              <w:t>ons Section 1 of this volume and form an integral part of the Range Statement of this unit:</w:t>
            </w:r>
          </w:p>
        </w:tc>
      </w:tr>
      <w:tr w:rsidTr="00215A3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8D15AA" w:rsidP="008D15AA">
            <w:pPr>
              <w:pStyle w:val="ListBullet"/>
            </w:pPr>
            <w:r w:rsidRPr="008D15AA">
              <w:t>Appropriate and relevant persons (see Personnel)</w:t>
            </w:r>
          </w:p>
          <w:p w:rsidR="00000000" w:rsidRPr="008D15AA" w:rsidP="008D15AA">
            <w:pPr>
              <w:pStyle w:val="ListBullet"/>
            </w:pPr>
            <w:r w:rsidRPr="008D15AA">
              <w:t>Appropriate authorities</w:t>
            </w:r>
          </w:p>
          <w:p w:rsidR="00000000" w:rsidRPr="008D15AA" w:rsidP="008D15AA">
            <w:pPr>
              <w:pStyle w:val="ListBullet"/>
            </w:pPr>
            <w:r w:rsidRPr="008D15AA">
              <w:t>Appropriate work platform</w:t>
            </w:r>
          </w:p>
          <w:p w:rsidR="00000000" w:rsidRPr="008D15AA" w:rsidP="008D15AA">
            <w:pPr>
              <w:pStyle w:val="ListBullet"/>
            </w:pPr>
            <w:r w:rsidRPr="008D15AA">
              <w:t>Assessing risk</w:t>
            </w:r>
          </w:p>
          <w:p w:rsidR="00000000" w:rsidRPr="008D15AA" w:rsidP="008D15AA">
            <w:pPr>
              <w:pStyle w:val="ListBullet"/>
            </w:pPr>
            <w:r w:rsidRPr="008D15AA">
              <w:t>Assessment</w:t>
            </w:r>
          </w:p>
          <w:p w:rsidR="00000000" w:rsidRPr="008D15AA" w:rsidP="008D15AA">
            <w:pPr>
              <w:pStyle w:val="ListBullet"/>
            </w:pPr>
            <w:r w:rsidRPr="008D15AA">
              <w:t>Authorisation</w:t>
            </w:r>
          </w:p>
          <w:p w:rsidR="00000000" w:rsidRPr="008D15AA" w:rsidP="008D15AA">
            <w:pPr>
              <w:pStyle w:val="ListBullet"/>
            </w:pPr>
            <w:r w:rsidRPr="008D15AA">
              <w:t>Confined space</w:t>
            </w:r>
          </w:p>
          <w:p w:rsidR="00000000" w:rsidRPr="008D15AA" w:rsidP="008D15AA">
            <w:pPr>
              <w:pStyle w:val="ListBullet"/>
            </w:pPr>
            <w:r w:rsidRPr="008D15AA">
              <w:t>Diagnostic, testing and restoration</w:t>
            </w:r>
          </w:p>
          <w:p w:rsidR="00000000" w:rsidRPr="008D15AA" w:rsidP="008D15AA">
            <w:pPr>
              <w:pStyle w:val="ListBullet"/>
            </w:pPr>
            <w:r w:rsidRPr="008D15AA">
              <w:t>Documenting detail work events, record keeping and or storage of information</w:t>
            </w:r>
          </w:p>
          <w:p w:rsidR="00000000" w:rsidRPr="008D15AA" w:rsidP="008D15AA">
            <w:pPr>
              <w:pStyle w:val="ListBullet"/>
            </w:pPr>
            <w:r w:rsidRPr="008D15AA">
              <w:t>Drawings and specifications</w:t>
            </w:r>
          </w:p>
          <w:p w:rsidR="00000000" w:rsidRPr="008D15AA" w:rsidP="008D15AA">
            <w:pPr>
              <w:pStyle w:val="ListBullet"/>
            </w:pPr>
            <w:r w:rsidRPr="008D15AA">
              <w:t>Emergency</w:t>
            </w:r>
          </w:p>
          <w:p w:rsidR="00000000" w:rsidRPr="008D15AA" w:rsidP="008D15AA">
            <w:pPr>
              <w:pStyle w:val="ListBullet"/>
            </w:pPr>
            <w:r w:rsidRPr="008D15AA">
              <w:t>Environmental and sustainable energy procedures</w:t>
            </w:r>
          </w:p>
          <w:p w:rsidR="00000000" w:rsidRPr="008D15AA" w:rsidP="008D15AA">
            <w:pPr>
              <w:pStyle w:val="ListBullet"/>
            </w:pPr>
            <w:r w:rsidRPr="008D15AA">
              <w:t>Environmental legislation</w:t>
            </w:r>
          </w:p>
          <w:p w:rsidR="00000000" w:rsidRPr="008D15AA" w:rsidP="008D15AA">
            <w:pPr>
              <w:pStyle w:val="ListBullet"/>
            </w:pPr>
            <w:r w:rsidRPr="008D15AA">
              <w:t>Environmental management docume</w:t>
            </w:r>
            <w:r w:rsidRPr="008D15AA">
              <w:t>ntation</w:t>
            </w:r>
          </w:p>
          <w:p w:rsidR="00000000" w:rsidRPr="008D15AA" w:rsidP="008D15AA">
            <w:pPr>
              <w:pStyle w:val="ListBullet"/>
            </w:pPr>
            <w:r w:rsidRPr="008D15AA">
              <w:t>Established procedures</w:t>
            </w:r>
          </w:p>
          <w:p w:rsidR="00000000" w:rsidRPr="008D15AA" w:rsidP="008D15AA">
            <w:pPr>
              <w:pStyle w:val="ListBullet"/>
            </w:pPr>
            <w:r w:rsidRPr="008D15AA">
              <w:t>Fall prevention</w:t>
            </w:r>
          </w:p>
          <w:p w:rsidR="00000000" w:rsidRPr="008D15AA" w:rsidP="008D15AA">
            <w:pPr>
              <w:pStyle w:val="ListBullet"/>
            </w:pPr>
            <w:r w:rsidRPr="008D15AA">
              <w:t>Hazards</w:t>
            </w:r>
          </w:p>
          <w:p w:rsidR="00000000" w:rsidRPr="008D15AA" w:rsidP="008D15AA">
            <w:pPr>
              <w:pStyle w:val="ListBullet"/>
            </w:pPr>
            <w:r w:rsidRPr="008D15AA">
              <w:t>Identifying hazards</w:t>
            </w:r>
          </w:p>
          <w:p w:rsidR="00000000" w:rsidRPr="008D15AA" w:rsidP="008D15AA">
            <w:pPr>
              <w:pStyle w:val="ListBullet"/>
            </w:pPr>
            <w:r w:rsidRPr="008D15AA">
              <w:t>Inspect</w:t>
            </w:r>
          </w:p>
          <w:p w:rsidR="00000000" w:rsidRPr="008D15AA" w:rsidP="008D15AA">
            <w:pPr>
              <w:pStyle w:val="ListBullet"/>
            </w:pPr>
            <w:r w:rsidRPr="008D15AA">
              <w:t>Legislation</w:t>
            </w:r>
          </w:p>
          <w:p w:rsidR="00000000" w:rsidRPr="008D15AA" w:rsidP="008D15AA">
            <w:pPr>
              <w:pStyle w:val="ListBullet"/>
            </w:pPr>
            <w:r w:rsidRPr="008D15AA">
              <w:t>MSDS</w:t>
            </w:r>
          </w:p>
          <w:p w:rsidR="00000000" w:rsidRPr="008D15AA" w:rsidP="008D15AA">
            <w:pPr>
              <w:pStyle w:val="ListBullet"/>
            </w:pPr>
            <w:r w:rsidRPr="008D15AA">
              <w:t>Notification</w:t>
            </w:r>
          </w:p>
          <w:p w:rsidR="00000000" w:rsidRPr="008D15AA" w:rsidP="008D15AA">
            <w:pPr>
              <w:pStyle w:val="ListBullet"/>
            </w:pPr>
            <w:r w:rsidRPr="008D15AA">
              <w:t>OHS practices</w:t>
            </w:r>
          </w:p>
          <w:p w:rsidR="00000000" w:rsidRPr="008D15AA" w:rsidP="008D15AA">
            <w:pPr>
              <w:pStyle w:val="ListBullet"/>
            </w:pPr>
            <w:r w:rsidRPr="008D15AA">
              <w:t>OHS issues</w:t>
            </w:r>
          </w:p>
          <w:p w:rsidR="00000000" w:rsidRPr="008D15AA" w:rsidP="008D15AA">
            <w:pPr>
              <w:pStyle w:val="ListBullet"/>
            </w:pPr>
            <w:r w:rsidRPr="008D15AA">
              <w:t>Permits and/or permits to work</w:t>
            </w:r>
          </w:p>
          <w:p w:rsidR="00000000" w:rsidRPr="008D15AA" w:rsidP="008D15AA">
            <w:pPr>
              <w:pStyle w:val="ListBullet"/>
            </w:pPr>
            <w:r w:rsidRPr="008D15AA">
              <w:t>Personnel</w:t>
            </w:r>
          </w:p>
          <w:p w:rsidR="00000000" w:rsidRPr="008D15AA" w:rsidP="008D15AA">
            <w:pPr>
              <w:pStyle w:val="ListBullet"/>
            </w:pPr>
            <w:r w:rsidRPr="008D15AA">
              <w:t>Quality assurance systems</w:t>
            </w:r>
          </w:p>
          <w:p w:rsidR="00000000" w:rsidRPr="008D15AA" w:rsidP="008D15AA">
            <w:pPr>
              <w:pStyle w:val="ListBullet"/>
            </w:pPr>
            <w:r w:rsidRPr="008D15AA">
              <w:t>Requirements</w:t>
            </w:r>
          </w:p>
          <w:p w:rsidR="00000000" w:rsidRPr="008D15AA" w:rsidP="008D15AA">
            <w:pPr>
              <w:pStyle w:val="ListBullet"/>
            </w:pPr>
            <w:r w:rsidRPr="008D15AA">
              <w:t>Testing procedures</w:t>
            </w:r>
          </w:p>
          <w:p w:rsidR="00000000" w:rsidRPr="008D15AA" w:rsidP="008D15AA">
            <w:pPr>
              <w:pStyle w:val="ListBullet"/>
            </w:pPr>
            <w:r w:rsidRPr="008D15AA">
              <w:t>Work clearance systems</w:t>
            </w:r>
          </w:p>
        </w:tc>
      </w:tr>
    </w:tbl>
    <w:p w:rsidR="00215A30" w:rsidP="008D15AA">
      <w:pPr>
        <w:pStyle w:val="BodyText"/>
      </w:pPr>
    </w:p>
    <w:p w:rsidR="00215A30" w:rsidP="008D15AA">
      <w:pPr>
        <w:pStyle w:val="BodyText"/>
      </w:pPr>
    </w:p>
    <w:p w:rsidR="00000000" w:rsidRPr="008D15AA" w:rsidP="008D15AA">
      <w:pPr>
        <w:pStyle w:val="Heading1"/>
      </w:pPr>
      <w:bookmarkStart w:id="12" w:name="O_297158"/>
      <w:bookmarkEnd w:id="12"/>
      <w:r w:rsidRPr="008D15AA">
        <w:t>Unit Sector(s)</w:t>
      </w:r>
    </w:p>
    <w:p w:rsidR="00000000" w:rsidRPr="008D15AA" w:rsidP="008D15AA">
      <w:pPr>
        <w:pStyle w:val="BodyText"/>
      </w:pPr>
      <w:r w:rsidRPr="008D15AA">
        <w:t>Not Applicable</w:t>
      </w:r>
    </w:p>
    <w:p w:rsidR="00000000" w:rsidRPr="008D15AA" w:rsidP="008D15AA">
      <w:pPr>
        <w:pStyle w:val="AllowPageBreak"/>
      </w:pPr>
    </w:p>
    <w:p w:rsidR="00000000" w:rsidRPr="008D15AA" w:rsidP="008D15AA">
      <w:pPr>
        <w:pStyle w:val="Heading1"/>
      </w:pPr>
      <w:bookmarkStart w:id="13" w:name="O_231399"/>
      <w:bookmarkEnd w:id="13"/>
      <w:r w:rsidRPr="008D15AA">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215A3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2</w:t>
            </w:r>
            <w:r w:rsidRPr="008D15AA">
              <w:t>.</w:t>
            </w:r>
            <w:r w:rsidRPr="008D15AA">
              <w:rPr>
                <w:rStyle w:val="SpecialBold"/>
              </w:rPr>
              <w:t>2</w:t>
            </w:r>
            <w:r w:rsidRPr="008D15AA">
              <w:t xml:space="preserve">) </w:t>
            </w:r>
            <w:r w:rsidRPr="008D15AA">
              <w:rPr>
                <w:rStyle w:val="SpecialBold"/>
              </w:rPr>
              <w:t>Literacy and numeracy skills</w:t>
            </w:r>
          </w:p>
          <w:p w:rsidR="00000000" w:rsidP="008D15AA">
            <w:pPr>
              <w:pStyle w:val="BodyText"/>
              <w:rPr>
                <w:lang w:val="en-NZ"/>
              </w:rPr>
            </w:pPr>
            <w:r w:rsidRPr="008D15AA">
              <w:t>Participants are best equipped to achieve this unit if they have reading, writing and numeracy skills indicated by the following scales. Description of each scale is given in Volume 2, Part 3 "Literacy and Numeracy"</w:t>
            </w:r>
          </w:p>
        </w:tc>
      </w:tr>
      <w:tr w:rsidTr="00215A30">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Reading</w:t>
            </w:r>
          </w:p>
        </w:tc>
        <w:tc>
          <w:tcPr>
            <w:tcW w:w="1207"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w:t>
            </w:r>
          </w:p>
        </w:tc>
        <w:tc>
          <w:tcPr>
            <w:tcW w:w="1776"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Writing</w:t>
            </w:r>
          </w:p>
        </w:tc>
        <w:tc>
          <w:tcPr>
            <w:tcW w:w="1207"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3</w:t>
            </w:r>
          </w:p>
        </w:tc>
        <w:tc>
          <w:tcPr>
            <w:tcW w:w="1758"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t>Numeracy</w:t>
            </w:r>
          </w:p>
        </w:tc>
        <w:tc>
          <w:tcPr>
            <w:tcW w:w="1207"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3</w:t>
            </w:r>
          </w:p>
        </w:tc>
      </w:tr>
    </w:tbl>
    <w:p w:rsidR="00215A30" w:rsidP="008D15AA">
      <w:pPr>
        <w:pStyle w:val="BodyText"/>
      </w:pPr>
    </w:p>
    <w:p w:rsidR="00215A30" w:rsidP="008D15AA">
      <w:pPr>
        <w:pStyle w:val="BodyText"/>
      </w:pPr>
    </w:p>
    <w:p w:rsidR="00000000" w:rsidRPr="008D15AA" w:rsidP="008D15AA">
      <w:pPr>
        <w:pStyle w:val="Heading1"/>
      </w:pPr>
      <w:bookmarkStart w:id="14" w:name="O_231402"/>
      <w:bookmarkEnd w:id="14"/>
      <w:r w:rsidRPr="008D15AA">
        <w:t>Competency Field</w:t>
      </w:r>
    </w:p>
    <w:tbl>
      <w:tblPr>
        <w:tblW w:w="0" w:type="auto"/>
        <w:tblLayout w:type="fixed"/>
        <w:tblCellMar>
          <w:left w:w="62" w:type="dxa"/>
          <w:right w:w="62" w:type="dxa"/>
        </w:tblCellMar>
        <w:tblLook w:val="0000"/>
      </w:tblPr>
      <w:tblGrid>
        <w:gridCol w:w="2758"/>
        <w:gridCol w:w="5882"/>
      </w:tblGrid>
      <w:tr w:rsidTr="00215A3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D15AA">
            <w:pPr>
              <w:pStyle w:val="BodyText"/>
              <w:rPr>
                <w:lang w:val="en-NZ"/>
              </w:rPr>
            </w:pPr>
            <w:r w:rsidRPr="008D15AA">
              <w:rPr>
                <w:rStyle w:val="SpecialBold"/>
              </w:rPr>
              <w:t>5</w:t>
            </w:r>
            <w:r w:rsidRPr="008D15AA">
              <w:t>)</w:t>
            </w:r>
          </w:p>
        </w:tc>
      </w:tr>
      <w:tr w:rsidTr="00215A3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D15AA" w:rsidP="008D15AA">
            <w:pPr>
              <w:pStyle w:val="BodyText"/>
            </w:pPr>
            <w:r w:rsidRPr="008D15AA">
              <w:t>Industry Specific Cross-Discipline Units</w:t>
            </w:r>
          </w:p>
        </w:tc>
      </w:tr>
    </w:tbl>
    <w:p w:rsidR="00215A30" w:rsidP="008D15AA">
      <w:pPr>
        <w:pStyle w:val="BodyText"/>
      </w:pPr>
    </w:p>
    <w:p w:rsidR="00215A30" w:rsidP="008D15AA">
      <w:pPr>
        <w:pStyle w:val="BodyText"/>
      </w:pPr>
    </w:p>
    <w:p w:rsidR="00000000" w:rsidRPr="008D15AA" w:rsidP="008D15AA"/>
    <w:sectPr w:rsidSect="008D15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A30" w:rsidP="00215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30" w:rsidP="008D1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5A30" w:rsidP="008D15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15A30" w:rsidP="008D15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5A30" w:rsidP="00215A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30" w:rsidP="008D15AA">
    <w:pPr>
      <w:pStyle w:val="Header"/>
      <w:framePr w:wrap="around"/>
    </w:pPr>
    <w:r>
      <w:fldChar w:fldCharType="begin"/>
    </w:r>
    <w:r>
      <w:instrText xml:space="preserve"> TITLE   \* MERGEFORMAT </w:instrText>
    </w:r>
    <w:r>
      <w:fldChar w:fldCharType="separate"/>
    </w:r>
    <w:r>
      <w:t>UETTDRIS02B Maintain electrical equipment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5A30" w:rsidP="008D15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07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D64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63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5AA"/>
    <w:pPr>
      <w:spacing w:before="360" w:after="60"/>
      <w:outlineLvl w:val="0"/>
    </w:pPr>
    <w:rPr>
      <w:sz w:val="32"/>
    </w:rPr>
  </w:style>
  <w:style w:type="paragraph" w:styleId="Heading2">
    <w:name w:val="heading 2"/>
    <w:basedOn w:val="HeadingBase"/>
    <w:next w:val="BodyText"/>
    <w:link w:val="Heading2Char"/>
    <w:qFormat/>
    <w:rsid w:val="008D15AA"/>
    <w:pPr>
      <w:keepLines/>
      <w:spacing w:before="240" w:after="120"/>
      <w:outlineLvl w:val="1"/>
    </w:pPr>
    <w:rPr>
      <w:sz w:val="28"/>
      <w:szCs w:val="40"/>
    </w:rPr>
  </w:style>
  <w:style w:type="paragraph" w:styleId="Heading3">
    <w:name w:val="heading 3"/>
    <w:basedOn w:val="HeadingBase"/>
    <w:next w:val="BodyText"/>
    <w:link w:val="Heading3Char"/>
    <w:qFormat/>
    <w:rsid w:val="008D15AA"/>
    <w:pPr>
      <w:spacing w:before="180" w:after="120"/>
      <w:outlineLvl w:val="2"/>
    </w:pPr>
    <w:rPr>
      <w:spacing w:val="-10"/>
      <w:kern w:val="32"/>
    </w:rPr>
  </w:style>
  <w:style w:type="paragraph" w:styleId="Heading4">
    <w:name w:val="heading 4"/>
    <w:basedOn w:val="HeadingBase"/>
    <w:next w:val="BodyText"/>
    <w:link w:val="Heading4Char"/>
    <w:qFormat/>
    <w:rsid w:val="008D15AA"/>
    <w:pPr>
      <w:spacing w:before="160" w:after="120"/>
      <w:outlineLvl w:val="3"/>
    </w:pPr>
    <w:rPr>
      <w:sz w:val="22"/>
    </w:rPr>
  </w:style>
  <w:style w:type="paragraph" w:styleId="Heading5">
    <w:name w:val="heading 5"/>
    <w:basedOn w:val="HeadingBase"/>
    <w:next w:val="Normal"/>
    <w:link w:val="Heading5Char"/>
    <w:qFormat/>
    <w:rsid w:val="008D15AA"/>
    <w:pPr>
      <w:spacing w:before="80"/>
      <w:outlineLvl w:val="4"/>
    </w:pPr>
    <w:rPr>
      <w:color w:val="918585"/>
      <w:sz w:val="20"/>
    </w:rPr>
  </w:style>
  <w:style w:type="paragraph" w:styleId="Heading6">
    <w:name w:val="heading 6"/>
    <w:basedOn w:val="HeadingBase"/>
    <w:next w:val="Normal"/>
    <w:link w:val="Heading6Char"/>
    <w:qFormat/>
    <w:rsid w:val="008D15AA"/>
    <w:pPr>
      <w:spacing w:before="60"/>
      <w:outlineLvl w:val="5"/>
    </w:pPr>
    <w:rPr>
      <w:color w:val="918585"/>
      <w:sz w:val="20"/>
    </w:rPr>
  </w:style>
  <w:style w:type="paragraph" w:styleId="Heading7">
    <w:name w:val="heading 7"/>
    <w:basedOn w:val="Normal"/>
    <w:next w:val="Normal"/>
    <w:link w:val="Heading7Char"/>
    <w:qFormat/>
    <w:rsid w:val="008D15AA"/>
    <w:pPr>
      <w:ind w:left="720"/>
      <w:outlineLvl w:val="6"/>
    </w:pPr>
    <w:rPr>
      <w:i/>
    </w:rPr>
  </w:style>
  <w:style w:type="paragraph" w:styleId="Heading8">
    <w:name w:val="heading 8"/>
    <w:basedOn w:val="Normal"/>
    <w:next w:val="Normal"/>
    <w:link w:val="Heading8Char"/>
    <w:qFormat/>
    <w:rsid w:val="008D15AA"/>
    <w:pPr>
      <w:ind w:left="720"/>
      <w:outlineLvl w:val="7"/>
    </w:pPr>
    <w:rPr>
      <w:i/>
    </w:rPr>
  </w:style>
  <w:style w:type="paragraph" w:styleId="Heading9">
    <w:name w:val="heading 9"/>
    <w:basedOn w:val="Normal"/>
    <w:next w:val="Normal"/>
    <w:link w:val="Heading9Char"/>
    <w:qFormat/>
    <w:rsid w:val="008D15AA"/>
    <w:pPr>
      <w:ind w:left="720"/>
      <w:outlineLvl w:val="8"/>
    </w:pPr>
    <w:rPr>
      <w:i/>
    </w:rPr>
  </w:style>
  <w:style w:type="character" w:default="1" w:styleId="DefaultParagraphFont">
    <w:name w:val="Default Paragraph Font"/>
    <w:uiPriority w:val="1"/>
    <w:unhideWhenUsed/>
    <w:rsid w:val="008D1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5AA"/>
  </w:style>
  <w:style w:type="character" w:customStyle="1" w:styleId="Heading1Char">
    <w:name w:val="Heading 1 Char"/>
    <w:basedOn w:val="DefaultParagraphFont"/>
    <w:link w:val="Heading1"/>
    <w:rsid w:val="008D15AA"/>
    <w:rPr>
      <w:rFonts w:ascii="Times New Roman" w:eastAsia="Times New Roman" w:hAnsi="Times New Roman" w:cs="Times New Roman"/>
      <w:b/>
      <w:sz w:val="32"/>
      <w:szCs w:val="20"/>
      <w:lang w:eastAsia="en-US"/>
    </w:rPr>
  </w:style>
  <w:style w:type="paragraph" w:styleId="BodyText">
    <w:name w:val="Body Text"/>
    <w:basedOn w:val="Normal"/>
    <w:link w:val="BodyTextChar"/>
    <w:rsid w:val="008D15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5AA"/>
    <w:rPr>
      <w:rFonts w:ascii="Times New Roman" w:eastAsia="Times New Roman" w:hAnsi="Times New Roman" w:cs="Times New Roman"/>
      <w:sz w:val="24"/>
      <w:lang w:val="en-US" w:eastAsia="en-US"/>
    </w:rPr>
  </w:style>
  <w:style w:type="paragraph" w:styleId="Footer">
    <w:name w:val="footer"/>
    <w:basedOn w:val="Normal"/>
    <w:link w:val="FooterChar"/>
    <w:rsid w:val="008D1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5AA"/>
    <w:rPr>
      <w:rFonts w:ascii="Times New Roman" w:eastAsia="Times New Roman" w:hAnsi="Times New Roman" w:cs="Times New Roman"/>
      <w:sz w:val="16"/>
      <w:lang w:val="en-US" w:eastAsia="en-US"/>
    </w:rPr>
  </w:style>
  <w:style w:type="paragraph" w:styleId="ListBullet">
    <w:name w:val="List Bullet"/>
    <w:basedOn w:val="List"/>
    <w:rsid w:val="008D15AA"/>
    <w:pPr>
      <w:numPr>
        <w:numId w:val="13"/>
      </w:numPr>
      <w:tabs>
        <w:tab w:val="clear" w:pos="340"/>
      </w:tabs>
      <w:spacing w:before="40" w:after="40"/>
    </w:pPr>
  </w:style>
  <w:style w:type="character" w:customStyle="1" w:styleId="SpecialBold">
    <w:name w:val="Special Bold"/>
    <w:basedOn w:val="DefaultParagraphFont"/>
    <w:rsid w:val="008D15AA"/>
    <w:rPr>
      <w:b/>
      <w:spacing w:val="0"/>
    </w:rPr>
  </w:style>
  <w:style w:type="paragraph" w:styleId="ListBullet2">
    <w:name w:val="List Bullet 2"/>
    <w:basedOn w:val="List2"/>
    <w:rsid w:val="008D15AA"/>
    <w:pPr>
      <w:numPr>
        <w:numId w:val="14"/>
      </w:numPr>
      <w:tabs>
        <w:tab w:val="clear" w:pos="680"/>
      </w:tabs>
    </w:pPr>
  </w:style>
  <w:style w:type="paragraph" w:styleId="Header">
    <w:name w:val="header"/>
    <w:basedOn w:val="Normal"/>
    <w:link w:val="HeaderChar"/>
    <w:rsid w:val="008D1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5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5AA"/>
    <w:pPr>
      <w:spacing w:before="240" w:after="120"/>
      <w:outlineLvl w:val="0"/>
    </w:pPr>
    <w:rPr>
      <w:rFonts w:ascii="Times New Roman" w:hAnsi="Times New Roman"/>
      <w:b/>
      <w:sz w:val="28"/>
    </w:rPr>
  </w:style>
  <w:style w:type="paragraph" w:customStyle="1" w:styleId="AllowPageBreak">
    <w:name w:val="AllowPageBreak"/>
    <w:rsid w:val="008D15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5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5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5AA"/>
    <w:rPr>
      <w:rFonts w:ascii="Courier New" w:eastAsia="Times New Roman" w:hAnsi="Courier New" w:cs="Times New Roman"/>
      <w:i/>
      <w:szCs w:val="20"/>
      <w:lang w:val="en-US" w:eastAsia="en-US"/>
    </w:rPr>
  </w:style>
  <w:style w:type="paragraph" w:customStyle="1" w:styleId="HeadingBase">
    <w:name w:val="Heading Base"/>
    <w:rsid w:val="008D1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5AA"/>
    <w:pPr>
      <w:tabs>
        <w:tab w:val="right" w:leader="dot" w:pos="9072"/>
      </w:tabs>
      <w:ind w:left="567"/>
    </w:pPr>
    <w:rPr>
      <w:szCs w:val="22"/>
    </w:rPr>
  </w:style>
  <w:style w:type="paragraph" w:customStyle="1" w:styleId="TOCBase">
    <w:name w:val="TOC Base"/>
    <w:rsid w:val="008D1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5AA"/>
    <w:pPr>
      <w:tabs>
        <w:tab w:val="right" w:leader="dot" w:pos="9072"/>
      </w:tabs>
      <w:spacing w:before="40" w:after="40"/>
      <w:ind w:left="284"/>
    </w:pPr>
    <w:rPr>
      <w:rFonts w:ascii="Times New Roman" w:hAnsi="Times New Roman"/>
    </w:rPr>
  </w:style>
  <w:style w:type="paragraph" w:styleId="TOC1">
    <w:name w:val="toc 1"/>
    <w:basedOn w:val="TOCBase"/>
    <w:next w:val="Normal"/>
    <w:rsid w:val="008D15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5AA"/>
    <w:pPr>
      <w:spacing w:before="5040"/>
      <w:jc w:val="center"/>
    </w:pPr>
    <w:rPr>
      <w:sz w:val="48"/>
      <w:szCs w:val="72"/>
      <w:lang w:val="en-US"/>
    </w:rPr>
  </w:style>
  <w:style w:type="character" w:customStyle="1" w:styleId="TitleChar">
    <w:name w:val="Title Char"/>
    <w:basedOn w:val="DefaultParagraphFont"/>
    <w:link w:val="Title"/>
    <w:rsid w:val="008D1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5AA"/>
    <w:pPr>
      <w:tabs>
        <w:tab w:val="left" w:pos="3600"/>
        <w:tab w:val="left" w:pos="3958"/>
      </w:tabs>
    </w:pPr>
  </w:style>
  <w:style w:type="paragraph" w:styleId="List">
    <w:name w:val="List"/>
    <w:basedOn w:val="BodyText"/>
    <w:next w:val="BodyText"/>
    <w:rsid w:val="008D15AA"/>
    <w:pPr>
      <w:tabs>
        <w:tab w:val="left" w:pos="340"/>
      </w:tabs>
      <w:spacing w:before="60" w:after="60"/>
      <w:ind w:left="340" w:hanging="340"/>
    </w:pPr>
  </w:style>
  <w:style w:type="paragraph" w:customStyle="1" w:styleId="Note">
    <w:name w:val="Note"/>
    <w:basedOn w:val="BodyText"/>
    <w:rsid w:val="008D1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5AA"/>
    <w:pPr>
      <w:framePr w:wrap="auto" w:hAnchor="text" w:y="6049"/>
    </w:pPr>
    <w:rPr>
      <w:color w:val="000000"/>
      <w:sz w:val="40"/>
    </w:rPr>
  </w:style>
  <w:style w:type="paragraph" w:customStyle="1" w:styleId="TOCTitle">
    <w:name w:val="TOCTitle"/>
    <w:basedOn w:val="Heading1"/>
    <w:rsid w:val="008D15AA"/>
    <w:pPr>
      <w:spacing w:after="240"/>
      <w:jc w:val="center"/>
      <w:outlineLvl w:val="9"/>
    </w:pPr>
    <w:rPr>
      <w:caps/>
    </w:rPr>
  </w:style>
  <w:style w:type="paragraph" w:customStyle="1" w:styleId="Version">
    <w:name w:val="Version"/>
    <w:rsid w:val="008D15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5AA"/>
    <w:pPr>
      <w:keepNext w:val="0"/>
      <w:tabs>
        <w:tab w:val="right" w:pos="4176"/>
      </w:tabs>
      <w:ind w:left="198" w:hanging="198"/>
    </w:pPr>
    <w:rPr>
      <w:rFonts w:ascii="Garamond" w:hAnsi="Garamond"/>
    </w:rPr>
  </w:style>
  <w:style w:type="paragraph" w:styleId="IndexHeading">
    <w:name w:val="index heading"/>
    <w:basedOn w:val="Normal"/>
    <w:next w:val="Index1"/>
    <w:semiHidden/>
    <w:rsid w:val="008D15AA"/>
    <w:pPr>
      <w:spacing w:before="120" w:after="120"/>
    </w:pPr>
    <w:rPr>
      <w:rFonts w:ascii="Arial" w:hAnsi="Arial"/>
      <w:b/>
      <w:color w:val="918585"/>
      <w:sz w:val="24"/>
    </w:rPr>
  </w:style>
  <w:style w:type="paragraph" w:customStyle="1" w:styleId="Chapter">
    <w:name w:val="Chapter"/>
    <w:basedOn w:val="Normal"/>
    <w:rsid w:val="008D15AA"/>
    <w:pPr>
      <w:spacing w:before="240"/>
    </w:pPr>
    <w:rPr>
      <w:rFonts w:ascii="Times New Roman" w:hAnsi="Times New Roman"/>
      <w:smallCaps/>
      <w:spacing w:val="80"/>
      <w:sz w:val="28"/>
    </w:rPr>
  </w:style>
  <w:style w:type="paragraph" w:customStyle="1" w:styleId="InChapter">
    <w:name w:val="InChapter"/>
    <w:basedOn w:val="Heading3"/>
    <w:rsid w:val="008D15AA"/>
    <w:pPr>
      <w:spacing w:after="240"/>
      <w:outlineLvl w:val="9"/>
    </w:pPr>
    <w:rPr>
      <w:noProof/>
    </w:rPr>
  </w:style>
  <w:style w:type="paragraph" w:styleId="Index2">
    <w:name w:val="index 2"/>
    <w:basedOn w:val="Normal"/>
    <w:next w:val="Normal"/>
    <w:semiHidden/>
    <w:rsid w:val="008D15AA"/>
    <w:pPr>
      <w:tabs>
        <w:tab w:val="right" w:pos="4176"/>
      </w:tabs>
      <w:ind w:left="568" w:hanging="284"/>
    </w:pPr>
    <w:rPr>
      <w:rFonts w:ascii="Garamond" w:hAnsi="Garamond"/>
    </w:rPr>
  </w:style>
  <w:style w:type="paragraph" w:customStyle="1" w:styleId="Byline">
    <w:name w:val="Byline"/>
    <w:rsid w:val="008D1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5AA"/>
    <w:pPr>
      <w:tabs>
        <w:tab w:val="clear" w:pos="3600"/>
        <w:tab w:val="clear" w:pos="3958"/>
      </w:tabs>
      <w:jc w:val="right"/>
    </w:pPr>
  </w:style>
  <w:style w:type="character" w:styleId="Emphasis">
    <w:name w:val="Emphasis"/>
    <w:basedOn w:val="DefaultParagraphFont"/>
    <w:qFormat/>
    <w:rsid w:val="008D15AA"/>
    <w:rPr>
      <w:i/>
    </w:rPr>
  </w:style>
  <w:style w:type="paragraph" w:styleId="Caption">
    <w:name w:val="caption"/>
    <w:basedOn w:val="BodyText"/>
    <w:next w:val="Normal"/>
    <w:qFormat/>
    <w:rsid w:val="008D15AA"/>
    <w:pPr>
      <w:framePr w:w="2268" w:hSpace="181" w:vSpace="181" w:wrap="around" w:vAnchor="text" w:hAnchor="page" w:x="1135" w:y="285" w:anchorLock="1"/>
    </w:pPr>
    <w:rPr>
      <w:i/>
    </w:rPr>
  </w:style>
  <w:style w:type="paragraph" w:customStyle="1" w:styleId="MiniTOCTitle">
    <w:name w:val="MiniTOCTitle"/>
    <w:basedOn w:val="Heading4"/>
    <w:rsid w:val="008D15AA"/>
    <w:pPr>
      <w:spacing w:before="240"/>
      <w:outlineLvl w:val="9"/>
    </w:pPr>
    <w:rPr>
      <w:noProof/>
      <w:sz w:val="24"/>
    </w:rPr>
  </w:style>
  <w:style w:type="paragraph" w:customStyle="1" w:styleId="MiniTOCItem">
    <w:name w:val="MiniTOCItem"/>
    <w:basedOn w:val="ListBullet"/>
    <w:rsid w:val="008D15AA"/>
    <w:pPr>
      <w:numPr>
        <w:numId w:val="0"/>
      </w:numPr>
      <w:tabs>
        <w:tab w:val="right" w:leader="dot" w:pos="6521"/>
      </w:tabs>
      <w:spacing w:before="0" w:after="0"/>
    </w:pPr>
  </w:style>
  <w:style w:type="paragraph" w:customStyle="1" w:styleId="TOFTitle">
    <w:name w:val="TOFTitle"/>
    <w:basedOn w:val="TOCTitle"/>
    <w:rsid w:val="008D15AA"/>
  </w:style>
  <w:style w:type="paragraph" w:styleId="TableofFigures">
    <w:name w:val="table of figures"/>
    <w:basedOn w:val="Normal"/>
    <w:next w:val="Normal"/>
    <w:semiHidden/>
    <w:rsid w:val="008D15AA"/>
    <w:pPr>
      <w:tabs>
        <w:tab w:val="right" w:leader="dot" w:pos="9072"/>
      </w:tabs>
      <w:ind w:left="970" w:hanging="403"/>
    </w:pPr>
    <w:rPr>
      <w:rFonts w:ascii="Times New Roman" w:hAnsi="Times New Roman"/>
      <w:b/>
    </w:rPr>
  </w:style>
  <w:style w:type="paragraph" w:styleId="ListNumber">
    <w:name w:val="List Number"/>
    <w:basedOn w:val="List"/>
    <w:rsid w:val="008D15AA"/>
    <w:pPr>
      <w:numPr>
        <w:numId w:val="11"/>
      </w:numPr>
    </w:pPr>
  </w:style>
  <w:style w:type="character" w:customStyle="1" w:styleId="WingdingSymbols">
    <w:name w:val="Wingding Symbols"/>
    <w:rsid w:val="008D15AA"/>
    <w:rPr>
      <w:rFonts w:ascii="Wingdings" w:hAnsi="Wingdings"/>
    </w:rPr>
  </w:style>
  <w:style w:type="paragraph" w:customStyle="1" w:styleId="TableHeading">
    <w:name w:val="Table Heading"/>
    <w:basedOn w:val="HeadingBase"/>
    <w:rsid w:val="008D15AA"/>
    <w:pPr>
      <w:keepLines/>
      <w:pBdr>
        <w:bottom w:val="single" w:sz="6" w:space="1" w:color="918585"/>
      </w:pBdr>
      <w:spacing w:before="240"/>
    </w:pPr>
  </w:style>
  <w:style w:type="character" w:customStyle="1" w:styleId="HotSpot">
    <w:name w:val="HotSpot"/>
    <w:rsid w:val="008D15AA"/>
    <w:rPr>
      <w:color w:val="0033CC"/>
      <w:u w:val="none"/>
    </w:rPr>
  </w:style>
  <w:style w:type="paragraph" w:customStyle="1" w:styleId="BodyTextRight">
    <w:name w:val="Body Text Right"/>
    <w:basedOn w:val="BodyText"/>
    <w:rsid w:val="008D15AA"/>
    <w:pPr>
      <w:spacing w:before="0" w:after="0"/>
      <w:jc w:val="right"/>
    </w:pPr>
  </w:style>
  <w:style w:type="paragraph" w:styleId="Index3">
    <w:name w:val="index 3"/>
    <w:basedOn w:val="ListNumber2"/>
    <w:next w:val="Normal"/>
    <w:semiHidden/>
    <w:rsid w:val="008D15AA"/>
    <w:pPr>
      <w:numPr>
        <w:numId w:val="0"/>
      </w:numPr>
      <w:tabs>
        <w:tab w:val="right" w:leader="dot" w:pos="4176"/>
      </w:tabs>
    </w:pPr>
  </w:style>
  <w:style w:type="paragraph" w:styleId="ListNumber2">
    <w:name w:val="List Number 2"/>
    <w:basedOn w:val="List2"/>
    <w:rsid w:val="008D15AA"/>
    <w:pPr>
      <w:numPr>
        <w:numId w:val="10"/>
      </w:numPr>
      <w:tabs>
        <w:tab w:val="clear" w:pos="1060"/>
      </w:tabs>
    </w:pPr>
  </w:style>
  <w:style w:type="paragraph" w:customStyle="1" w:styleId="MarginNote">
    <w:name w:val="Margin Note"/>
    <w:basedOn w:val="BodyText"/>
    <w:rsid w:val="008D1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5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5AA"/>
    <w:rPr>
      <w:sz w:val="32"/>
    </w:rPr>
  </w:style>
  <w:style w:type="paragraph" w:customStyle="1" w:styleId="HeadingProcedure">
    <w:name w:val="Heading Procedure"/>
    <w:basedOn w:val="HeadingBase"/>
    <w:next w:val="Normal"/>
    <w:rsid w:val="008D15AA"/>
    <w:pPr>
      <w:tabs>
        <w:tab w:val="left" w:pos="0"/>
      </w:tabs>
      <w:spacing w:before="120" w:after="60"/>
    </w:pPr>
    <w:rPr>
      <w:i/>
      <w:color w:val="918585"/>
      <w:sz w:val="22"/>
    </w:rPr>
  </w:style>
  <w:style w:type="paragraph" w:customStyle="1" w:styleId="TableBodyText">
    <w:name w:val="Table Body Text"/>
    <w:basedOn w:val="BodyText"/>
    <w:rsid w:val="008D15AA"/>
    <w:pPr>
      <w:spacing w:before="60" w:after="60"/>
    </w:pPr>
  </w:style>
  <w:style w:type="paragraph" w:styleId="ListContinue">
    <w:name w:val="List Continue"/>
    <w:basedOn w:val="List"/>
    <w:rsid w:val="008D15AA"/>
    <w:pPr>
      <w:ind w:firstLine="0"/>
    </w:pPr>
  </w:style>
  <w:style w:type="paragraph" w:customStyle="1" w:styleId="ListNote">
    <w:name w:val="List Note"/>
    <w:basedOn w:val="List"/>
    <w:rsid w:val="008D15AA"/>
    <w:pPr>
      <w:pBdr>
        <w:top w:val="single" w:sz="6" w:space="2" w:color="918585"/>
        <w:bottom w:val="single" w:sz="6" w:space="2" w:color="918585"/>
      </w:pBdr>
      <w:tabs>
        <w:tab w:val="left" w:pos="1021"/>
      </w:tabs>
      <w:ind w:firstLine="0"/>
    </w:pPr>
  </w:style>
  <w:style w:type="paragraph" w:customStyle="1" w:styleId="Warning">
    <w:name w:val="Warning"/>
    <w:basedOn w:val="BodyText"/>
    <w:rsid w:val="008D15AA"/>
    <w:pPr>
      <w:shd w:val="clear" w:color="auto" w:fill="D9D9D9"/>
      <w:tabs>
        <w:tab w:val="left" w:pos="992"/>
      </w:tabs>
      <w:ind w:left="119" w:right="119"/>
    </w:pPr>
    <w:rPr>
      <w:sz w:val="20"/>
    </w:rPr>
  </w:style>
  <w:style w:type="paragraph" w:customStyle="1" w:styleId="MarginIcons">
    <w:name w:val="Margin Icons"/>
    <w:basedOn w:val="BodyText"/>
    <w:rsid w:val="008D1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5AA"/>
    <w:rPr>
      <w:rFonts w:ascii="Courier New" w:hAnsi="Courier New"/>
    </w:rPr>
  </w:style>
  <w:style w:type="paragraph" w:customStyle="1" w:styleId="NoteBullet">
    <w:name w:val="Note Bullet"/>
    <w:basedOn w:val="Note"/>
    <w:rsid w:val="008D15AA"/>
    <w:pPr>
      <w:tabs>
        <w:tab w:val="clear" w:pos="680"/>
      </w:tabs>
      <w:spacing w:before="60" w:after="60"/>
    </w:pPr>
  </w:style>
  <w:style w:type="paragraph" w:customStyle="1" w:styleId="SubHeading2">
    <w:name w:val="SubHeading2"/>
    <w:basedOn w:val="HeadingBase"/>
    <w:rsid w:val="008D15AA"/>
    <w:pPr>
      <w:spacing w:before="240" w:after="60"/>
    </w:pPr>
    <w:rPr>
      <w:sz w:val="20"/>
    </w:rPr>
  </w:style>
  <w:style w:type="paragraph" w:customStyle="1" w:styleId="SubHeading1">
    <w:name w:val="SubHeading1"/>
    <w:basedOn w:val="HeadingBase"/>
    <w:rsid w:val="008D15AA"/>
    <w:pPr>
      <w:spacing w:before="240" w:after="60"/>
    </w:pPr>
    <w:rPr>
      <w:color w:val="918585"/>
      <w:sz w:val="22"/>
    </w:rPr>
  </w:style>
  <w:style w:type="paragraph" w:customStyle="1" w:styleId="SideHeading">
    <w:name w:val="Side Heading"/>
    <w:basedOn w:val="HeadingBase"/>
    <w:rsid w:val="008D1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5AA"/>
    <w:pPr>
      <w:numPr>
        <w:numId w:val="12"/>
      </w:numPr>
    </w:pPr>
  </w:style>
  <w:style w:type="paragraph" w:styleId="PlainText">
    <w:name w:val="Plain Text"/>
    <w:basedOn w:val="Normal"/>
    <w:link w:val="PlainTextChar"/>
    <w:rsid w:val="008D15AA"/>
    <w:rPr>
      <w:sz w:val="20"/>
    </w:rPr>
  </w:style>
  <w:style w:type="character" w:customStyle="1" w:styleId="PlainTextChar">
    <w:name w:val="Plain Text Char"/>
    <w:basedOn w:val="DefaultParagraphFont"/>
    <w:link w:val="PlainText"/>
    <w:rsid w:val="008D15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5AA"/>
    <w:rPr>
      <w:b/>
      <w:smallCaps/>
    </w:rPr>
  </w:style>
  <w:style w:type="paragraph" w:customStyle="1" w:styleId="TableListNumber">
    <w:name w:val="Table List Number"/>
    <w:basedOn w:val="ListNumber"/>
    <w:rsid w:val="008D15AA"/>
    <w:pPr>
      <w:numPr>
        <w:numId w:val="0"/>
      </w:numPr>
    </w:pPr>
  </w:style>
  <w:style w:type="paragraph" w:styleId="TOC4">
    <w:name w:val="toc 4"/>
    <w:basedOn w:val="TOCBase"/>
    <w:next w:val="Normal"/>
    <w:semiHidden/>
    <w:rsid w:val="008D15AA"/>
    <w:pPr>
      <w:tabs>
        <w:tab w:val="right" w:leader="dot" w:pos="9071"/>
      </w:tabs>
      <w:ind w:left="1701"/>
    </w:pPr>
  </w:style>
  <w:style w:type="paragraph" w:customStyle="1" w:styleId="ListAlpha">
    <w:name w:val="List Alpha"/>
    <w:basedOn w:val="List"/>
    <w:rsid w:val="008D15AA"/>
    <w:pPr>
      <w:numPr>
        <w:numId w:val="9"/>
      </w:numPr>
    </w:pPr>
  </w:style>
  <w:style w:type="paragraph" w:customStyle="1" w:styleId="ListAlpha2">
    <w:name w:val="List Alpha 2"/>
    <w:basedOn w:val="List2"/>
    <w:rsid w:val="008D15AA"/>
    <w:pPr>
      <w:numPr>
        <w:numId w:val="8"/>
      </w:numPr>
    </w:pPr>
  </w:style>
  <w:style w:type="paragraph" w:styleId="List2">
    <w:name w:val="List 2"/>
    <w:basedOn w:val="BodyText"/>
    <w:rsid w:val="008D15AA"/>
    <w:pPr>
      <w:tabs>
        <w:tab w:val="left" w:pos="680"/>
      </w:tabs>
      <w:spacing w:before="60" w:after="60"/>
      <w:ind w:left="680" w:hanging="340"/>
    </w:pPr>
  </w:style>
  <w:style w:type="paragraph" w:styleId="List3">
    <w:name w:val="List 3"/>
    <w:basedOn w:val="BodyText"/>
    <w:rsid w:val="008D15AA"/>
    <w:pPr>
      <w:tabs>
        <w:tab w:val="left" w:pos="1021"/>
      </w:tabs>
      <w:spacing w:before="60" w:after="60"/>
      <w:ind w:left="1020" w:hanging="340"/>
    </w:pPr>
  </w:style>
  <w:style w:type="paragraph" w:styleId="List4">
    <w:name w:val="List 4"/>
    <w:basedOn w:val="BodyText"/>
    <w:rsid w:val="008D15AA"/>
    <w:pPr>
      <w:tabs>
        <w:tab w:val="left" w:pos="1361"/>
      </w:tabs>
      <w:spacing w:before="60" w:after="60"/>
      <w:ind w:left="1361" w:hanging="340"/>
    </w:pPr>
  </w:style>
  <w:style w:type="paragraph" w:styleId="List5">
    <w:name w:val="List 5"/>
    <w:basedOn w:val="BodyText"/>
    <w:rsid w:val="008D15AA"/>
    <w:pPr>
      <w:tabs>
        <w:tab w:val="left" w:pos="1701"/>
      </w:tabs>
      <w:spacing w:before="60" w:after="60"/>
      <w:ind w:left="1701" w:hanging="340"/>
    </w:pPr>
  </w:style>
  <w:style w:type="paragraph" w:styleId="ListBullet3">
    <w:name w:val="List Bullet 3"/>
    <w:basedOn w:val="List3"/>
    <w:rsid w:val="008D15AA"/>
    <w:pPr>
      <w:numPr>
        <w:numId w:val="15"/>
      </w:numPr>
      <w:tabs>
        <w:tab w:val="clear" w:pos="1021"/>
      </w:tabs>
      <w:ind w:left="1037" w:hanging="357"/>
    </w:pPr>
  </w:style>
  <w:style w:type="paragraph" w:styleId="ListBullet4">
    <w:name w:val="List Bullet 4"/>
    <w:basedOn w:val="List4"/>
    <w:rsid w:val="008D15AA"/>
    <w:pPr>
      <w:numPr>
        <w:numId w:val="3"/>
      </w:numPr>
    </w:pPr>
  </w:style>
  <w:style w:type="paragraph" w:styleId="ListBullet5">
    <w:name w:val="List Bullet 5"/>
    <w:basedOn w:val="List5"/>
    <w:rsid w:val="008D15AA"/>
    <w:pPr>
      <w:numPr>
        <w:numId w:val="4"/>
      </w:numPr>
    </w:pPr>
  </w:style>
  <w:style w:type="paragraph" w:styleId="ListContinue2">
    <w:name w:val="List Continue 2"/>
    <w:basedOn w:val="List2"/>
    <w:rsid w:val="008D15AA"/>
    <w:pPr>
      <w:ind w:firstLine="0"/>
    </w:pPr>
  </w:style>
  <w:style w:type="paragraph" w:styleId="ListContinue3">
    <w:name w:val="List Continue 3"/>
    <w:basedOn w:val="List3"/>
    <w:rsid w:val="008D15AA"/>
    <w:pPr>
      <w:ind w:left="1021" w:firstLine="0"/>
    </w:pPr>
  </w:style>
  <w:style w:type="paragraph" w:styleId="ListContinue4">
    <w:name w:val="List Continue 4"/>
    <w:basedOn w:val="List4"/>
    <w:rsid w:val="008D15AA"/>
    <w:pPr>
      <w:ind w:firstLine="0"/>
    </w:pPr>
  </w:style>
  <w:style w:type="paragraph" w:styleId="ListContinue5">
    <w:name w:val="List Continue 5"/>
    <w:basedOn w:val="List5"/>
    <w:rsid w:val="008D15AA"/>
    <w:pPr>
      <w:ind w:firstLine="0"/>
    </w:pPr>
  </w:style>
  <w:style w:type="paragraph" w:styleId="ListNumber3">
    <w:name w:val="List Number 3"/>
    <w:basedOn w:val="List3"/>
    <w:rsid w:val="008D15AA"/>
    <w:pPr>
      <w:numPr>
        <w:numId w:val="5"/>
      </w:numPr>
    </w:pPr>
  </w:style>
  <w:style w:type="paragraph" w:styleId="ListNumber4">
    <w:name w:val="List Number 4"/>
    <w:basedOn w:val="List4"/>
    <w:rsid w:val="008D15AA"/>
    <w:pPr>
      <w:numPr>
        <w:numId w:val="6"/>
      </w:numPr>
    </w:pPr>
  </w:style>
  <w:style w:type="paragraph" w:styleId="ListNumber5">
    <w:name w:val="List Number 5"/>
    <w:basedOn w:val="List5"/>
    <w:rsid w:val="008D15AA"/>
    <w:pPr>
      <w:numPr>
        <w:numId w:val="7"/>
      </w:numPr>
    </w:pPr>
  </w:style>
  <w:style w:type="paragraph" w:styleId="BlockText">
    <w:name w:val="Block Text"/>
    <w:basedOn w:val="Normal"/>
    <w:rsid w:val="008D15AA"/>
    <w:pPr>
      <w:spacing w:after="120"/>
      <w:ind w:left="1440" w:right="1440"/>
    </w:pPr>
  </w:style>
  <w:style w:type="character" w:customStyle="1" w:styleId="Subscript">
    <w:name w:val="Subscript"/>
    <w:basedOn w:val="DefaultParagraphFont"/>
    <w:rsid w:val="008D15AA"/>
    <w:rPr>
      <w:sz w:val="16"/>
      <w:vertAlign w:val="subscript"/>
    </w:rPr>
  </w:style>
  <w:style w:type="character" w:customStyle="1" w:styleId="Superscript">
    <w:name w:val="Superscript"/>
    <w:basedOn w:val="DefaultParagraphFont"/>
    <w:rsid w:val="008D15AA"/>
    <w:rPr>
      <w:sz w:val="16"/>
      <w:vertAlign w:val="superscript"/>
    </w:rPr>
  </w:style>
  <w:style w:type="character" w:customStyle="1" w:styleId="Symbols">
    <w:name w:val="Symbols"/>
    <w:basedOn w:val="DefaultParagraphFont"/>
    <w:rsid w:val="008D15AA"/>
    <w:rPr>
      <w:rFonts w:ascii="Symbol" w:hAnsi="Symbol"/>
    </w:rPr>
  </w:style>
  <w:style w:type="character" w:customStyle="1" w:styleId="MenuOptions">
    <w:name w:val="Menu Options"/>
    <w:basedOn w:val="DefaultParagraphFont"/>
    <w:rsid w:val="008D15AA"/>
    <w:rPr>
      <w:rFonts w:ascii="Arial Narrow" w:hAnsi="Arial Narrow"/>
      <w:smallCaps/>
    </w:rPr>
  </w:style>
  <w:style w:type="character" w:customStyle="1" w:styleId="Buttons">
    <w:name w:val="Buttons"/>
    <w:basedOn w:val="DefaultParagraphFont"/>
    <w:rsid w:val="008D15AA"/>
    <w:rPr>
      <w:b/>
    </w:rPr>
  </w:style>
  <w:style w:type="character" w:customStyle="1" w:styleId="Underlined">
    <w:name w:val="Underlined"/>
    <w:basedOn w:val="DefaultParagraphFont"/>
    <w:rsid w:val="008D15AA"/>
    <w:rPr>
      <w:u w:val="single"/>
    </w:rPr>
  </w:style>
  <w:style w:type="paragraph" w:customStyle="1" w:styleId="TableBodyTextRight">
    <w:name w:val="Table Body Text Right"/>
    <w:basedOn w:val="TableBodyText"/>
    <w:rsid w:val="008D15AA"/>
    <w:pPr>
      <w:widowControl w:val="0"/>
      <w:autoSpaceDE w:val="0"/>
      <w:autoSpaceDN w:val="0"/>
      <w:adjustRightInd w:val="0"/>
      <w:jc w:val="right"/>
    </w:pPr>
    <w:rPr>
      <w:rFonts w:cs="Arial"/>
      <w:szCs w:val="18"/>
    </w:rPr>
  </w:style>
  <w:style w:type="paragraph" w:customStyle="1" w:styleId="CopyrightText">
    <w:name w:val="Copyright Text"/>
    <w:basedOn w:val="BodyText"/>
    <w:rsid w:val="008D15AA"/>
    <w:rPr>
      <w:sz w:val="18"/>
    </w:rPr>
  </w:style>
  <w:style w:type="paragraph" w:customStyle="1" w:styleId="BodySmallRight">
    <w:name w:val="Body Small Right"/>
    <w:basedOn w:val="BodyTextRight"/>
    <w:rsid w:val="008D15AA"/>
    <w:rPr>
      <w:sz w:val="18"/>
      <w:szCs w:val="18"/>
    </w:rPr>
  </w:style>
  <w:style w:type="paragraph" w:customStyle="1" w:styleId="MarginEdition">
    <w:name w:val="Margin Edition"/>
    <w:basedOn w:val="MarginNote"/>
    <w:rsid w:val="008D15AA"/>
    <w:pPr>
      <w:spacing w:before="0" w:after="0"/>
    </w:pPr>
    <w:rPr>
      <w:rFonts w:ascii="Times New Roman" w:hAnsi="Times New Roman"/>
      <w:color w:val="999999"/>
    </w:rPr>
  </w:style>
  <w:style w:type="paragraph" w:customStyle="1" w:styleId="Spacer">
    <w:name w:val="Spacer"/>
    <w:basedOn w:val="Normal"/>
    <w:rsid w:val="008D15AA"/>
    <w:rPr>
      <w:sz w:val="2"/>
      <w:szCs w:val="2"/>
    </w:rPr>
  </w:style>
  <w:style w:type="character" w:customStyle="1" w:styleId="Small">
    <w:name w:val="Small"/>
    <w:basedOn w:val="DefaultParagraphFont"/>
    <w:rsid w:val="008D15AA"/>
    <w:rPr>
      <w:sz w:val="16"/>
    </w:rPr>
  </w:style>
  <w:style w:type="paragraph" w:customStyle="1" w:styleId="WideTable">
    <w:name w:val="Wide Table"/>
    <w:basedOn w:val="Normal"/>
    <w:rsid w:val="008D15AA"/>
    <w:pPr>
      <w:ind w:left="-1418"/>
    </w:pPr>
    <w:rPr>
      <w:sz w:val="2"/>
      <w:szCs w:val="2"/>
    </w:rPr>
  </w:style>
  <w:style w:type="character" w:styleId="PageNumber">
    <w:name w:val="page number"/>
    <w:basedOn w:val="DefaultParagraphFont"/>
    <w:rsid w:val="008D15AA"/>
  </w:style>
  <w:style w:type="paragraph" w:styleId="Quote">
    <w:name w:val="Quote"/>
    <w:basedOn w:val="Heading1"/>
    <w:link w:val="QuoteChar"/>
    <w:qFormat/>
    <w:rsid w:val="008D15AA"/>
    <w:rPr>
      <w:b w:val="0"/>
      <w:sz w:val="72"/>
      <w:szCs w:val="72"/>
      <w:lang w:val="en-NZ"/>
    </w:rPr>
  </w:style>
  <w:style w:type="character" w:customStyle="1" w:styleId="QuoteChar">
    <w:name w:val="Quote Char"/>
    <w:basedOn w:val="DefaultParagraphFont"/>
    <w:link w:val="Quote"/>
    <w:rsid w:val="008D1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5AA"/>
    <w:pPr>
      <w:pageBreakBefore/>
    </w:pPr>
  </w:style>
  <w:style w:type="paragraph" w:customStyle="1" w:styleId="Border">
    <w:name w:val="Border"/>
    <w:basedOn w:val="Normal"/>
    <w:qFormat/>
    <w:rsid w:val="008D1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5AA"/>
    <w:rPr>
      <w:b/>
      <w:bCs/>
      <w:i/>
      <w:iCs/>
      <w:color w:val="auto"/>
    </w:rPr>
  </w:style>
  <w:style w:type="paragraph" w:styleId="IntenseQuote">
    <w:name w:val="Intense Quote"/>
    <w:basedOn w:val="Normal"/>
    <w:next w:val="Normal"/>
    <w:link w:val="IntenseQuoteChar"/>
    <w:uiPriority w:val="30"/>
    <w:qFormat/>
    <w:rsid w:val="008D1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5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5AA"/>
    <w:rPr>
      <w:smallCaps/>
      <w:color w:val="auto"/>
      <w:u w:val="single"/>
    </w:rPr>
  </w:style>
  <w:style w:type="character" w:styleId="IntenseReference">
    <w:name w:val="Intense Reference"/>
    <w:basedOn w:val="DefaultParagraphFont"/>
    <w:uiPriority w:val="32"/>
    <w:qFormat/>
    <w:rsid w:val="008D15AA"/>
    <w:rPr>
      <w:b/>
      <w:bCs/>
      <w:smallCaps/>
      <w:color w:val="auto"/>
      <w:spacing w:val="5"/>
      <w:u w:val="single"/>
    </w:rPr>
  </w:style>
  <w:style w:type="paragraph" w:customStyle="1" w:styleId="2ColumnHeading">
    <w:name w:val="2Column Heading"/>
    <w:basedOn w:val="BodyText"/>
    <w:qFormat/>
    <w:rsid w:val="008D15AA"/>
    <w:pPr>
      <w:spacing w:after="60"/>
      <w:ind w:left="-2268"/>
    </w:pPr>
    <w:rPr>
      <w:b/>
    </w:rPr>
  </w:style>
  <w:style w:type="paragraph" w:customStyle="1" w:styleId="Heading1TOC">
    <w:name w:val="Heading1 TOC"/>
    <w:basedOn w:val="Normal"/>
    <w:qFormat/>
    <w:rsid w:val="008D15AA"/>
    <w:pPr>
      <w:spacing w:before="240" w:after="120"/>
    </w:pPr>
    <w:rPr>
      <w:rFonts w:ascii="Times New Roman" w:hAnsi="Times New Roman"/>
      <w:b/>
      <w:sz w:val="32"/>
    </w:rPr>
  </w:style>
  <w:style w:type="paragraph" w:customStyle="1" w:styleId="Heading2TOC">
    <w:name w:val="Heading2 TOC"/>
    <w:basedOn w:val="Normal"/>
    <w:qFormat/>
    <w:rsid w:val="008D15AA"/>
    <w:pPr>
      <w:spacing w:before="240" w:after="60"/>
    </w:pPr>
    <w:rPr>
      <w:rFonts w:ascii="Times New Roman" w:hAnsi="Times New Roman"/>
      <w:b/>
      <w:sz w:val="28"/>
    </w:rPr>
  </w:style>
  <w:style w:type="character" w:customStyle="1" w:styleId="Underline">
    <w:name w:val="Underline"/>
    <w:basedOn w:val="DefaultParagraphFont"/>
    <w:qFormat/>
    <w:rsid w:val="008D15AA"/>
    <w:rPr>
      <w:u w:val="single"/>
    </w:rPr>
  </w:style>
  <w:style w:type="character" w:customStyle="1" w:styleId="BoldandItalics">
    <w:name w:val="Bold and Italics"/>
    <w:qFormat/>
    <w:rsid w:val="008D15AA"/>
    <w:rPr>
      <w:b/>
      <w:i/>
      <w:u w:val="none"/>
    </w:rPr>
  </w:style>
  <w:style w:type="paragraph" w:styleId="BalloonText">
    <w:name w:val="Balloon Text"/>
    <w:basedOn w:val="Normal"/>
    <w:link w:val="BalloonTextChar"/>
    <w:rsid w:val="008D15AA"/>
    <w:rPr>
      <w:rFonts w:ascii="Tahoma" w:hAnsi="Tahoma" w:cs="Tahoma"/>
      <w:sz w:val="16"/>
      <w:szCs w:val="16"/>
    </w:rPr>
  </w:style>
  <w:style w:type="character" w:customStyle="1" w:styleId="BalloonTextChar">
    <w:name w:val="Balloon Text Char"/>
    <w:basedOn w:val="DefaultParagraphFont"/>
    <w:link w:val="BalloonText"/>
    <w:rsid w:val="008D15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5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5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2509</Words>
  <Characters>15750</Characters>
  <Application>Microsoft Office Word</Application>
  <DocSecurity>0</DocSecurity>
  <Lines>597</Lines>
  <Paragraphs>230</Paragraphs>
  <ScaleCrop>false</ScaleCrop>
  <Company>Author-it Software Corporation Ltd.</Company>
  <LinksUpToDate>false</LinksUpToDate>
  <CharactersWithSpaces>18078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UETTDRIS02B Maintain electrical equipment (Network Infrastructure).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2012-05-26T12:10:00Z</dcterms:modified>
</cp:coreProperties>
</file>