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5BA" w:rsidP="005305BA">
      <w:pPr>
        <w:pStyle w:val="Title"/>
      </w:pPr>
      <w:r>
        <w:fldChar w:fldCharType="begin"/>
      </w:r>
      <w:r>
        <w:instrText xml:space="preserve"> TITLE   \* MERGEFORMAT </w:instrText>
      </w:r>
      <w:r>
        <w:fldChar w:fldCharType="separate"/>
      </w:r>
      <w:r>
        <w:t>UETTDRIS01B Install electrical equipment (network infrastructure).</w:t>
      </w:r>
      <w:r>
        <w:fldChar w:fldCharType="end"/>
      </w:r>
    </w:p>
    <w:p w:rsidR="005305BA" w:rsidP="005305BA">
      <w:pPr>
        <w:pStyle w:val="Version"/>
        <w:sectPr w:rsidSect="00591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BFA" w:rsidP="00591BFA">
      <w:pPr>
        <w:pStyle w:val="SuperHeading"/>
      </w:pPr>
      <w:r w:rsidRPr="00591BFA">
        <w:t>UETTDRIS01B Install electrical equipment (network infrastructure).</w:t>
      </w:r>
    </w:p>
    <w:p w:rsidR="00000000" w:rsidRPr="00591BFA" w:rsidP="00591BFA">
      <w:pPr>
        <w:pStyle w:val="Heading1"/>
      </w:pPr>
      <w:bookmarkStart w:id="1" w:name="O_275463"/>
      <w:bookmarkEnd w:id="1"/>
      <w:r w:rsidRPr="00591BFA">
        <w:t>Modification History</w:t>
      </w:r>
    </w:p>
    <w:p w:rsidR="00000000" w:rsidRPr="00591BFA" w:rsidP="00591BFA">
      <w:pPr>
        <w:pStyle w:val="BodyText"/>
      </w:pPr>
      <w:r w:rsidRPr="00591BFA">
        <w:t>Not Applicable</w:t>
      </w:r>
    </w:p>
    <w:p w:rsidR="00000000" w:rsidRPr="00591BFA" w:rsidP="00591BFA">
      <w:pPr>
        <w:pStyle w:val="AllowPageBreak"/>
      </w:pPr>
    </w:p>
    <w:p w:rsidR="00000000" w:rsidRPr="00591BFA" w:rsidP="00591BFA">
      <w:pPr>
        <w:pStyle w:val="Heading1"/>
      </w:pPr>
      <w:bookmarkStart w:id="2" w:name="O_231389"/>
      <w:bookmarkEnd w:id="2"/>
      <w:r w:rsidRPr="00591BFA">
        <w:t>Unit Descriptor</w:t>
      </w:r>
    </w:p>
    <w:tbl>
      <w:tblPr>
        <w:tblW w:w="0" w:type="auto"/>
        <w:tblLayout w:type="fixed"/>
        <w:tblCellMar>
          <w:left w:w="62" w:type="dxa"/>
          <w:right w:w="62" w:type="dxa"/>
        </w:tblCellMar>
        <w:tblLook w:val="0000"/>
      </w:tblPr>
      <w:tblGrid>
        <w:gridCol w:w="2700"/>
        <w:gridCol w:w="5940"/>
      </w:tblGrid>
      <w:tr w:rsidTr="00530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1</w:t>
            </w:r>
            <w:r w:rsidRPr="00591BFA">
              <w:t xml:space="preserve">) </w:t>
            </w:r>
          </w:p>
          <w:p w:rsidR="00000000" w:rsidP="00591BFA">
            <w:pPr>
              <w:pStyle w:val="BodyText"/>
              <w:rPr>
                <w:lang w:val="en-NZ"/>
              </w:rPr>
            </w:pPr>
            <w:r w:rsidRPr="00591BFA">
              <w:rPr>
                <w:rStyle w:val="SpecialBold"/>
              </w:rPr>
              <w:t>1</w:t>
            </w:r>
            <w:r w:rsidRPr="00591BFA">
              <w:t>.</w:t>
            </w:r>
            <w:r w:rsidRPr="00591BFA">
              <w:rPr>
                <w:rStyle w:val="SpecialBold"/>
              </w:rPr>
              <w:t>1</w:t>
            </w:r>
            <w:r w:rsidRPr="00591BFA">
              <w:t xml:space="preserve">) </w:t>
            </w:r>
            <w:r w:rsidRPr="00591BFA">
              <w:rPr>
                <w:rStyle w:val="SpecialBold"/>
              </w:rPr>
              <w:t>Descriptor</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This Competency Standard Unit covers the installation of electrical equipment, such as fuse switches, drop out switches, sectionalisers, links, surge arrestors, gas filled and or oil filled switches, which are relevant to the transmission, distribution and</w:t>
            </w:r>
            <w:r w:rsidRPr="00591BFA">
              <w:t xml:space="preserve"> rail networks. It includes the termination/connection of the equipment in accordance to enterprise requirements; the relevant pre-commissioning tests involving the equipment/system and the interpretation of these tests against agreed specifications.</w:t>
            </w:r>
          </w:p>
        </w:tc>
      </w:tr>
    </w:tbl>
    <w:p w:rsidR="005305BA" w:rsidP="00591BFA">
      <w:pPr>
        <w:pStyle w:val="BodyText"/>
      </w:pPr>
    </w:p>
    <w:p w:rsidR="005305BA" w:rsidP="00591BFA">
      <w:pPr>
        <w:pStyle w:val="BodyText"/>
      </w:pPr>
    </w:p>
    <w:p w:rsidR="00000000" w:rsidRPr="00591BFA" w:rsidP="00591BFA">
      <w:pPr>
        <w:pStyle w:val="Heading1"/>
      </w:pPr>
      <w:bookmarkStart w:id="3" w:name="O_231394"/>
      <w:bookmarkEnd w:id="3"/>
      <w:r w:rsidRPr="00591BFA">
        <w:t>Application of the Unit</w:t>
      </w:r>
    </w:p>
    <w:tbl>
      <w:tblPr>
        <w:tblW w:w="0" w:type="auto"/>
        <w:tblLayout w:type="fixed"/>
        <w:tblCellMar>
          <w:left w:w="62" w:type="dxa"/>
          <w:right w:w="62" w:type="dxa"/>
        </w:tblCellMar>
        <w:tblLook w:val="0000"/>
      </w:tblPr>
      <w:tblGrid>
        <w:gridCol w:w="2700"/>
        <w:gridCol w:w="5940"/>
      </w:tblGrid>
      <w:tr w:rsidTr="00530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4</w:t>
            </w:r>
            <w:r w:rsidRPr="00591BFA">
              <w:t>)</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This Competency Standard Unit is intended to augment formally acquired competencies. It is suitable for employment-based programs under an approved contract of training.</w:t>
            </w:r>
          </w:p>
        </w:tc>
      </w:tr>
    </w:tbl>
    <w:p w:rsidR="005305BA" w:rsidP="00591BFA">
      <w:pPr>
        <w:pStyle w:val="BodyText"/>
      </w:pPr>
    </w:p>
    <w:p w:rsidR="005305BA" w:rsidP="00591BFA">
      <w:pPr>
        <w:pStyle w:val="BodyText"/>
      </w:pPr>
    </w:p>
    <w:p w:rsidR="00000000" w:rsidRPr="00591BFA" w:rsidP="00591BFA">
      <w:pPr>
        <w:pStyle w:val="Heading1"/>
      </w:pPr>
      <w:bookmarkStart w:id="4" w:name="O_231390"/>
      <w:bookmarkEnd w:id="4"/>
      <w:r w:rsidRPr="00591BFA">
        <w:t>Licensing/Regulatory Information</w:t>
      </w:r>
    </w:p>
    <w:tbl>
      <w:tblPr>
        <w:tblW w:w="0" w:type="auto"/>
        <w:tblLayout w:type="fixed"/>
        <w:tblCellMar>
          <w:left w:w="62" w:type="dxa"/>
          <w:right w:w="62" w:type="dxa"/>
        </w:tblCellMar>
        <w:tblLook w:val="0000"/>
      </w:tblPr>
      <w:tblGrid>
        <w:gridCol w:w="8640"/>
      </w:tblGrid>
      <w:tr w:rsidTr="005305B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1</w:t>
            </w:r>
            <w:r w:rsidRPr="00591BFA">
              <w:t>.</w:t>
            </w:r>
            <w:r w:rsidRPr="00591BFA">
              <w:rPr>
                <w:rStyle w:val="SpecialBold"/>
              </w:rPr>
              <w:t>2</w:t>
            </w:r>
            <w:r w:rsidRPr="00591BFA">
              <w:t xml:space="preserve">) </w:t>
            </w:r>
            <w:r w:rsidRPr="00591BFA">
              <w:rPr>
                <w:rStyle w:val="SpecialBold"/>
              </w:rPr>
              <w:t>License to practice</w:t>
            </w:r>
          </w:p>
        </w:tc>
      </w:tr>
      <w:tr w:rsidTr="005305B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The skills and knowledge described in this unit may require a licence/registration to practice in the work place subject to regulations for undertaking of electrical work. Practice in workp</w:t>
            </w:r>
            <w:r w:rsidRPr="00591BFA">
              <w:t>lace and during training is also subject to regulations directly related to Occupational Health and Safety, electricity/telecommunications/gas/water industry safety and compliance, industrial relations, environmental protection, anti discrimination and tra</w:t>
            </w:r>
            <w:r w:rsidRPr="00591BFA">
              <w:t>ining. Commonwealth, State/Territory or Local Government legislation and regulations may exist that limits the age of operating certain equipment.</w:t>
            </w:r>
          </w:p>
        </w:tc>
      </w:tr>
    </w:tbl>
    <w:p w:rsidR="005305BA" w:rsidP="00591BFA">
      <w:pPr>
        <w:pStyle w:val="BodyText"/>
      </w:pPr>
    </w:p>
    <w:p w:rsidR="005305BA" w:rsidP="00591BFA">
      <w:pPr>
        <w:pStyle w:val="BodyText"/>
      </w:pPr>
    </w:p>
    <w:p w:rsidR="00000000" w:rsidRPr="00591BFA" w:rsidP="00591BFA">
      <w:pPr>
        <w:pStyle w:val="Heading1"/>
      </w:pPr>
      <w:bookmarkStart w:id="5" w:name="O_231391"/>
      <w:bookmarkEnd w:id="5"/>
      <w:r w:rsidRPr="00591BFA">
        <w:t>Pre-Requisites</w:t>
      </w:r>
    </w:p>
    <w:tbl>
      <w:tblPr>
        <w:tblW w:w="0" w:type="auto"/>
        <w:tblLayout w:type="fixed"/>
        <w:tblCellMar>
          <w:left w:w="62" w:type="dxa"/>
          <w:right w:w="62" w:type="dxa"/>
        </w:tblCellMar>
        <w:tblLook w:val="0000"/>
      </w:tblPr>
      <w:tblGrid>
        <w:gridCol w:w="2700"/>
        <w:gridCol w:w="540"/>
        <w:gridCol w:w="1907"/>
        <w:gridCol w:w="3493"/>
      </w:tblGrid>
      <w:tr w:rsidTr="00530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Prerequisite Unit</w:t>
            </w:r>
            <w:r w:rsidRPr="00591BFA">
              <w:t>(</w:t>
            </w:r>
            <w:r w:rsidRPr="00591BFA">
              <w:rPr>
                <w:rStyle w:val="SpecialBold"/>
              </w:rPr>
              <w:t>s</w:t>
            </w:r>
            <w:r w:rsidRPr="00591BFA">
              <w:t>)</w:t>
            </w:r>
          </w:p>
        </w:tc>
        <w:tc>
          <w:tcPr>
            <w:tcW w:w="5940" w:type="dxa"/>
            <w:gridSpan w:val="3"/>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2</w:t>
            </w:r>
            <w:r w:rsidRPr="00591BFA">
              <w:t xml:space="preserve">) </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91BFA">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2</w:t>
            </w:r>
            <w:r w:rsidRPr="00591BFA">
              <w:t>.</w:t>
            </w:r>
            <w:r w:rsidRPr="00591BFA">
              <w:rPr>
                <w:rStyle w:val="SpecialBold"/>
              </w:rPr>
              <w:t>1</w:t>
            </w:r>
            <w:r w:rsidRPr="00591BFA">
              <w:t xml:space="preserve">) </w:t>
            </w:r>
            <w:r w:rsidRPr="00591BFA">
              <w:rPr>
                <w:rStyle w:val="SpecialBold"/>
              </w:rPr>
              <w:t>Competencies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Granting of competency in this unit shall be made only after competency in the following unit(s) has/have been confirmed:.</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UETTDREL01B </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Apply environment and sustainable energy procedures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UETTDREL02B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Operate plant and equipment near energised and exposed electrical conductors/apparatus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UETTDREL04B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Working safely near live electrical apparatus as a non-electrical worker</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UEENEEE001B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Apply OHS practices in the workplace</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UEENEEE002B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Disma</w:t>
            </w:r>
            <w:r w:rsidRPr="00591BFA">
              <w:t>ntle, assemble and fabricate electrotechnology components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UEENEEE004B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Solve problems in multiple path d.c. circuits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UEENEEE005B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Fix and secure equipment</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UEENEEE007B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Use drawing, diagrams, schedules and service manuals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UEENEEG001B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Solve problems in electromagnetic circuits.</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and</w:t>
            </w:r>
          </w:p>
        </w:tc>
        <w:tc>
          <w:tcPr>
            <w:tcW w:w="1907"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UEENEEG002B</w:t>
            </w:r>
          </w:p>
        </w:tc>
        <w:tc>
          <w:tcPr>
            <w:tcW w:w="349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Solve problems in single and three phase low voltage circuits </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For the full prerequisite chain details for this unit please refer to Table 3 in Volume 1, Part 2</w:t>
            </w:r>
          </w:p>
        </w:tc>
      </w:tr>
    </w:tbl>
    <w:p w:rsidR="005305BA" w:rsidP="00591BFA">
      <w:pPr>
        <w:pStyle w:val="BodyText"/>
      </w:pPr>
    </w:p>
    <w:p w:rsidR="005305BA" w:rsidP="00591BFA">
      <w:pPr>
        <w:pStyle w:val="BodyText"/>
      </w:pPr>
    </w:p>
    <w:p w:rsidR="00000000" w:rsidRPr="00591BFA" w:rsidP="00591BFA">
      <w:pPr>
        <w:pStyle w:val="Heading1"/>
      </w:pPr>
      <w:bookmarkStart w:id="6" w:name="O_231393"/>
      <w:bookmarkEnd w:id="6"/>
      <w:r w:rsidRPr="00591BFA">
        <w:t>Employability Skills Information</w:t>
      </w:r>
    </w:p>
    <w:tbl>
      <w:tblPr>
        <w:tblW w:w="0" w:type="auto"/>
        <w:tblLayout w:type="fixed"/>
        <w:tblCellMar>
          <w:left w:w="62" w:type="dxa"/>
          <w:right w:w="62" w:type="dxa"/>
        </w:tblCellMar>
        <w:tblLook w:val="0000"/>
      </w:tblPr>
      <w:tblGrid>
        <w:gridCol w:w="2700"/>
        <w:gridCol w:w="5940"/>
      </w:tblGrid>
      <w:tr w:rsidTr="00530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3</w:t>
            </w:r>
            <w:r w:rsidRPr="00591BFA">
              <w:t>)</w:t>
            </w:r>
          </w:p>
          <w:p w:rsidR="00000000" w:rsidRPr="00591BFA" w:rsidP="00591BFA">
            <w:pPr>
              <w:pStyle w:val="BodyText"/>
            </w:pPr>
            <w:r w:rsidRPr="00591BFA">
              <w:t>The required outcomes described in this unit of competency contain applicable facets of Employability Skills. The Employability Skills Summary of the qualification in which this unit of competency is</w:t>
            </w:r>
            <w:r w:rsidRPr="00591BFA">
              <w:t xml:space="preserve"> packaged will assist in identifying Employability Skill requirements.</w:t>
            </w:r>
          </w:p>
        </w:tc>
      </w:tr>
    </w:tbl>
    <w:p w:rsidR="005305BA" w:rsidP="00591BFA">
      <w:pPr>
        <w:pStyle w:val="BodyText"/>
      </w:pPr>
    </w:p>
    <w:p w:rsidR="005305BA" w:rsidP="00591BFA">
      <w:pPr>
        <w:pStyle w:val="BodyText"/>
      </w:pPr>
    </w:p>
    <w:p w:rsidR="00000000" w:rsidRPr="00591BFA" w:rsidP="00591BFA">
      <w:pPr>
        <w:pStyle w:val="Heading1"/>
      </w:pPr>
      <w:bookmarkStart w:id="7" w:name="O_293509"/>
      <w:bookmarkEnd w:id="7"/>
      <w:r w:rsidRPr="00591BFA">
        <w:t>Elements and Performance Criteria Pre-Content</w:t>
      </w:r>
    </w:p>
    <w:tbl>
      <w:tblPr>
        <w:tblW w:w="0" w:type="auto"/>
        <w:tblLayout w:type="fixed"/>
        <w:tblCellMar>
          <w:left w:w="62" w:type="dxa"/>
          <w:right w:w="62" w:type="dxa"/>
        </w:tblCellMar>
        <w:tblLook w:val="0000"/>
      </w:tblPr>
      <w:tblGrid>
        <w:gridCol w:w="2700"/>
        <w:gridCol w:w="5940"/>
      </w:tblGrid>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6</w:t>
            </w:r>
            <w:r w:rsidRPr="00591BFA">
              <w:t xml:space="preserve">) </w:t>
            </w:r>
            <w:r w:rsidRPr="00591BFA">
              <w:rPr>
                <w:rStyle w:val="SpecialBold"/>
              </w:rPr>
              <w:t>Elements</w:t>
            </w:r>
            <w:r w:rsidRPr="00591BFA">
              <w:t>: 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Performance Criteria describe the required performance needed to demonstrate achievement of the element. Assessment of performance is to be consistent with the evidence guide.</w:t>
            </w:r>
          </w:p>
        </w:tc>
      </w:tr>
    </w:tbl>
    <w:p w:rsidR="00000000" w:rsidRPr="00591BFA" w:rsidP="00591BFA">
      <w:pPr>
        <w:pStyle w:val="BodyText"/>
      </w:pPr>
    </w:p>
    <w:p w:rsidR="00000000" w:rsidRPr="00591BFA" w:rsidP="00591BFA">
      <w:pPr>
        <w:pStyle w:val="AllowPageBreak"/>
      </w:pPr>
    </w:p>
    <w:p w:rsidR="00000000" w:rsidRPr="00591BFA" w:rsidP="00591BFA">
      <w:pPr>
        <w:pStyle w:val="Heading1"/>
      </w:pPr>
      <w:bookmarkStart w:id="8" w:name="O_240177"/>
      <w:bookmarkEnd w:id="8"/>
      <w:r w:rsidRPr="00591BFA">
        <w:t>Elements and Performance Criteria</w:t>
      </w:r>
    </w:p>
    <w:tbl>
      <w:tblPr>
        <w:tblW w:w="0" w:type="auto"/>
        <w:tblLayout w:type="fixed"/>
        <w:tblCellMar>
          <w:left w:w="62" w:type="dxa"/>
          <w:right w:w="62" w:type="dxa"/>
        </w:tblCellMar>
        <w:tblLook w:val="0000"/>
      </w:tblPr>
      <w:tblGrid>
        <w:gridCol w:w="412"/>
        <w:gridCol w:w="2288"/>
        <w:gridCol w:w="976"/>
        <w:gridCol w:w="4964"/>
      </w:tblGrid>
      <w:tr w:rsidTr="005305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PERFORMANCE CRITER</w:t>
            </w:r>
            <w:r w:rsidRPr="00591BFA">
              <w:rPr>
                <w:rStyle w:val="SpecialBold"/>
              </w:rPr>
              <w:t>IA</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w:t>
            </w:r>
          </w:p>
        </w:tc>
        <w:tc>
          <w:tcPr>
            <w:tcW w:w="2288"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Prepare for the installation of electrical equipment (network infrastructure)</w:t>
            </w: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1.1</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Works schedule(s), including drawings, plans, requirements, established procedures, and material lists, are received, analysed and confirmed, </w:t>
            </w:r>
            <w:r w:rsidRPr="00591BFA">
              <w:t>if necessary, by site inspection.</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1.2</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Relevant requirements and established procedures for the work are communicated to all personnel and identified for all work sites.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1.3</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OHS policies and procedures related to requirements and established procedure</w:t>
            </w:r>
            <w:r w:rsidRPr="00591BFA">
              <w:t>s for the installation of electrical equipment (network infrastructure) are obtained and confirmed for the purposes of the work to be performed and communicated.</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1.4</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Work is prioritised and sequenced following consultation with others for completion within acceptable timeframes and in 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1.5</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Hazards are identified, OHS risks assessed and control measures are prioritised, implemen</w:t>
            </w:r>
            <w:r w:rsidRPr="00591BFA">
              <w:t>ted and monitored including emergency exits kept clear according to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1.6</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Relevant work permits are obtained to access and perform work according to requirements and/or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1.7</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Resources including personnel, </w:t>
            </w:r>
            <w:r w:rsidRPr="00591BFA">
              <w:t>equipment, tools and personal protective equipment required for the job are obtained and confirmed in working order.</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1.8</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Relevant personnel at worksite are confirmed current in First Aid, Pole Top Rescue and other related work procedures according to requirements.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1.9</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Liaison and communication issues with other/authorised personnel, authorities, clients and land owners ar</w:t>
            </w:r>
            <w:r w:rsidRPr="00591BFA">
              <w:t>e resolved to carry out work where necessary.</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1.10</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Site is prepared according to the work schedule and to minimise risk and damage to property, commerce, and individuals in 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1.11</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Personnel participating in the w</w:t>
            </w:r>
            <w:r w:rsidRPr="00591BFA">
              <w:t>ork, including plant operators and contractors, are fully briefed and respective responsibilities confirmed where applicable in 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1.12</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Road signs, barriers and warning devices are positioned in accordance with requirements.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w:t>
            </w:r>
          </w:p>
        </w:tc>
        <w:tc>
          <w:tcPr>
            <w:tcW w:w="2288"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Carry out installation of electrical equipment (network infrastructure)</w:t>
            </w: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2.1</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OHS and sustainable energy principles and practices to reduce the incidents of accidents</w:t>
            </w:r>
            <w:r w:rsidRPr="00591BFA">
              <w:t xml:space="preserve"> and minimise waste are monitored and followed in accordance with requirements and/or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2.2</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Lifting, climbing, working in confined spaces and aloft, and use of power tools/equipment, techniques and practices are safely followed and</w:t>
            </w:r>
            <w:r w:rsidRPr="00591BFA">
              <w:t>, currency according to requirements confirmed.</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2.3</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Essential knowledge and associated skills are applied in the safe installation of electrical equipment (network infrastructure) to ensure completion in an agreed timeframe and, to quality standards wit</w:t>
            </w:r>
            <w:r w:rsidRPr="00591BFA">
              <w:t>h a minimum of waste according to requirements.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2.4</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Electrical equipment and associated hardware is positioned, secured and terminated/connected in accordance with requirements and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2.5</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Hazard warnings and safety signs are recognised and hazards and assessed OHS risks are reported to the immediate authorised persons for directions according to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2.6</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Unplanned events in the installation of electrical equipment (net</w:t>
            </w:r>
            <w:r w:rsidRPr="00591BFA">
              <w:t>work infrastructure) are undertaken within the scope of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2.7</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Known solutions to a variety of problems are applied using acquired essential knowledge and associated skills.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2.8</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On going checks of quality of the work are undertak</w:t>
            </w:r>
            <w:r w:rsidRPr="00591BFA">
              <w:t>en in accordance with instructions and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w:t>
            </w:r>
          </w:p>
        </w:tc>
        <w:tc>
          <w:tcPr>
            <w:tcW w:w="2288"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Complete the installation of electrical equipment (network infrastructure)</w:t>
            </w: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3.1</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Work undertaken is checked/tested against works schedule for conformance with requirements and anomalies reported in 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3.2</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Accidents and/or injuries are reported in accordance with requirements/established procedure</w:t>
            </w:r>
            <w:r w:rsidRPr="00591BFA">
              <w:t>s, where applicable.</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3.3</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Work site is rehabilitated, cleaned up and made safe in 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3.4</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Tools, equipment and any surplus resources and materials are, where appropriate, cleaned, checked and returned to storage in </w:t>
            </w:r>
            <w:r w:rsidRPr="00591BFA">
              <w:t>accordance with established procedures.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3.5</w:t>
            </w:r>
          </w:p>
        </w:tc>
        <w:tc>
          <w:tcPr>
            <w:tcW w:w="4964"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Relevant work permit(s) are signed off and, electrical equipment (network infrastructure) are returned to service in accordance with requirements.</w:t>
            </w:r>
          </w:p>
        </w:tc>
      </w:tr>
      <w:tr w:rsidTr="005305BA">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3.6</w:t>
            </w:r>
          </w:p>
        </w:tc>
        <w:tc>
          <w:tcPr>
            <w:tcW w:w="4964"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Works completion records, reports, as installed /modified drawing and/or documentation and information are finalised and processed and appropriate personnel notified.</w:t>
            </w:r>
          </w:p>
        </w:tc>
      </w:tr>
    </w:tbl>
    <w:p w:rsidR="005305BA" w:rsidP="00591BFA">
      <w:pPr>
        <w:pStyle w:val="BodyText"/>
      </w:pPr>
    </w:p>
    <w:p w:rsidR="005305BA" w:rsidP="00591BFA">
      <w:pPr>
        <w:pStyle w:val="BodyText"/>
      </w:pPr>
    </w:p>
    <w:p w:rsidR="00000000" w:rsidRPr="00591BFA" w:rsidP="00591BFA">
      <w:pPr>
        <w:pStyle w:val="Heading1"/>
      </w:pPr>
      <w:bookmarkStart w:id="9" w:name="O_263968"/>
      <w:bookmarkEnd w:id="9"/>
      <w:r w:rsidRPr="00591BFA">
        <w:t>Required Skills and Knowledge</w:t>
      </w:r>
    </w:p>
    <w:tbl>
      <w:tblPr>
        <w:tblW w:w="0" w:type="auto"/>
        <w:tblLayout w:type="fixed"/>
        <w:tblCellMar>
          <w:left w:w="62" w:type="dxa"/>
          <w:right w:w="62" w:type="dxa"/>
        </w:tblCellMar>
        <w:tblLook w:val="0000"/>
      </w:tblPr>
      <w:tblGrid>
        <w:gridCol w:w="2757"/>
        <w:gridCol w:w="1103"/>
        <w:gridCol w:w="4780"/>
      </w:tblGrid>
      <w:tr w:rsidTr="005305B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REQUIRED SKILLS AND KNOWLEDGE</w:t>
            </w:r>
          </w:p>
        </w:tc>
      </w:tr>
      <w:tr w:rsidTr="005305B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7</w:t>
            </w:r>
            <w:r w:rsidRPr="00591BFA">
              <w:t xml:space="preserve">) </w:t>
            </w:r>
            <w:r w:rsidRPr="00591BFA">
              <w:rPr>
                <w:rStyle w:val="SpecialBold"/>
              </w:rPr>
              <w:t>Essential Knowledge and Associated Skills</w:t>
            </w:r>
            <w:r w:rsidRPr="00591BFA">
              <w:t xml:space="preserve"> (</w:t>
            </w:r>
            <w:r w:rsidRPr="00591BFA">
              <w:rPr>
                <w:rStyle w:val="SpecialBold"/>
              </w:rPr>
              <w:t>EKAS</w:t>
            </w:r>
            <w:r w:rsidRPr="00591BFA">
              <w:t>): This describes the essential skills and knowledge and their level, required for this unit.</w:t>
            </w:r>
          </w:p>
        </w:tc>
      </w:tr>
      <w:tr w:rsidTr="005305B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Evidence shall show that knowledge has been acquired of installing electrical equipment (network infrastructure)</w:t>
            </w:r>
            <w:r w:rsidRPr="00591BFA">
              <w:t>.</w:t>
            </w:r>
          </w:p>
          <w:p w:rsidR="00000000" w:rsidRPr="00591BFA" w:rsidP="00591BFA">
            <w:pPr>
              <w:pStyle w:val="BodyText"/>
            </w:pPr>
            <w:r w:rsidRPr="00591BFA">
              <w:t>All knowledge and skills detailed in this unit should be contextualised to current industry practices and technologies.</w:t>
            </w:r>
          </w:p>
          <w:p w:rsidR="00000000" w:rsidP="00591BFA">
            <w:pPr>
              <w:pStyle w:val="BodyText"/>
              <w:rPr>
                <w:lang w:val="en-NZ"/>
              </w:rPr>
            </w:pPr>
            <w:r w:rsidRPr="00591BFA">
              <w:t>The extent of the essential knowledge and associated skills (EKAS) required is given in Volume 2 - Part 2.2 EKAS. It forms an integral</w:t>
            </w:r>
            <w:r w:rsidRPr="00591BFA">
              <w:t xml:space="preserve"> part of this unit.</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E2.8.2.2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Alternating current principles - power</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E2.8.5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Magnetism</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E2.8.6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Electromagnetic principles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T2.1.1</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Engineering applications of mathematical principles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T2.1.2</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Engineering applications of mechanical principles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T2.1.3.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Engineering applications of material properties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T2.1.4.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Basic rigging techniques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T2.1.9.</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Stores procedures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T2.2.1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Generation power systems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T2.2.2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Transmission, distribution and rail power systems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T2.2.3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Substations, power transformers and reactors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T2.3.1 </w:t>
            </w:r>
          </w:p>
        </w:tc>
        <w:tc>
          <w:tcPr>
            <w:tcW w:w="478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Powerline safety practices</w:t>
            </w:r>
          </w:p>
        </w:tc>
      </w:tr>
      <w:tr w:rsidTr="005305BA">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 xml:space="preserve">T2.4.1 </w:t>
            </w:r>
          </w:p>
        </w:tc>
        <w:tc>
          <w:tcPr>
            <w:tcW w:w="478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Switchgear installation</w:t>
            </w:r>
          </w:p>
        </w:tc>
      </w:tr>
    </w:tbl>
    <w:p w:rsidR="005305BA" w:rsidP="00591BFA">
      <w:pPr>
        <w:pStyle w:val="BodyText"/>
      </w:pPr>
    </w:p>
    <w:p w:rsidR="005305BA" w:rsidP="00591BFA">
      <w:pPr>
        <w:pStyle w:val="BodyText"/>
      </w:pPr>
    </w:p>
    <w:p w:rsidR="00000000" w:rsidRPr="00591BFA" w:rsidP="00591BFA">
      <w:pPr>
        <w:pStyle w:val="Heading1"/>
      </w:pPr>
      <w:bookmarkStart w:id="10" w:name="O_248160"/>
      <w:bookmarkEnd w:id="10"/>
      <w:r w:rsidRPr="00591BFA">
        <w:t>Evidence Guide</w:t>
      </w:r>
    </w:p>
    <w:tbl>
      <w:tblPr>
        <w:tblW w:w="0" w:type="auto"/>
        <w:tblLayout w:type="fixed"/>
        <w:tblCellMar>
          <w:left w:w="62" w:type="dxa"/>
          <w:right w:w="62" w:type="dxa"/>
        </w:tblCellMar>
        <w:tblLook w:val="0000"/>
      </w:tblPr>
      <w:tblGrid>
        <w:gridCol w:w="2205"/>
        <w:gridCol w:w="736"/>
        <w:gridCol w:w="919"/>
        <w:gridCol w:w="1655"/>
        <w:gridCol w:w="3125"/>
      </w:tblGrid>
      <w:tr w:rsidTr="005305B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EVIDENCE GUIDE</w:t>
            </w:r>
          </w:p>
        </w:tc>
      </w:tr>
      <w:tr w:rsidTr="005305B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9</w:t>
            </w:r>
            <w:r w:rsidRPr="00591BFA">
              <w:t>) This provides essential advice for assessment of the unit of competency and must be read in conjunction with the Performance Criteria and the range statement of the unit of competency and the Training Package Assessment Guidelines.</w:t>
            </w:r>
          </w:p>
          <w:p w:rsidR="00000000" w:rsidP="00591BFA">
            <w:pPr>
              <w:pStyle w:val="BodyText"/>
              <w:rPr>
                <w:lang w:val="en-NZ"/>
              </w:rPr>
            </w:pPr>
            <w:r w:rsidRPr="00591BFA">
              <w:t>The Evidence Guide forms an integral part of this Competency Standard Unit and shall be used in conjunction with all component parts of this unit and, performed in accordance with the Assessment Guidelines of this Training Package.</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Overview of Assessm</w:t>
            </w:r>
            <w:r w:rsidRPr="00591BFA">
              <w:rPr>
                <w:rStyle w:val="SpecialBold"/>
              </w:rPr>
              <w:t>ent</w:t>
            </w: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9</w:t>
            </w:r>
            <w:r w:rsidRPr="00591BFA">
              <w:t>.</w:t>
            </w:r>
            <w:r w:rsidRPr="00591BFA">
              <w:rPr>
                <w:rStyle w:val="SpecialBold"/>
              </w:rPr>
              <w:t>1</w:t>
            </w:r>
            <w:r w:rsidRPr="00591BFA">
              <w:t xml:space="preserve">) </w:t>
            </w:r>
          </w:p>
          <w:p w:rsidR="00000000" w:rsidRPr="00591BFA" w:rsidP="00591BFA">
            <w:pPr>
              <w:pStyle w:val="BodyText"/>
            </w:pPr>
            <w:r w:rsidRPr="00591BFA">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591BFA">
              <w:t>assessment intervention. It is the Industry's preferred model for apprenticeships. However, where summative (or final) assessment is used it is to include the application of the competency in the normal work environment or, at a minimum, the application of</w:t>
            </w:r>
            <w:r w:rsidRPr="00591BFA">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591BFA" w:rsidP="00591BFA">
            <w:pPr>
              <w:pStyle w:val="BodyText"/>
            </w:pPr>
            <w:r w:rsidRPr="00591BFA">
              <w:t>Meth</w:t>
            </w:r>
            <w:r w:rsidRPr="00591BFA">
              <w:t>ods chosen for a particular assessment will be influenced by various factors. These include the extent of the assessment, the most effective locations for the assessment activities to take place, access to physical resources, additional safety measures tha</w:t>
            </w:r>
            <w:r w:rsidRPr="00591BFA">
              <w:t>t may be required and the critical nature of the competencies being assessed.</w:t>
            </w:r>
          </w:p>
          <w:p w:rsidR="00000000" w:rsidRPr="00591BFA" w:rsidP="00591BFA">
            <w:pPr>
              <w:pStyle w:val="BodyText"/>
            </w:pPr>
            <w:r w:rsidRPr="00591BFA">
              <w:t>The critical safety nature of working with electricity, electrical equipment, gas or any other hazardous substance/material carries risk in deeming a person competent. Hence, sou</w:t>
            </w:r>
            <w:r w:rsidRPr="00591BFA">
              <w:t>rces of evidence need to be 'rich' in nature so as to minimise error in judgment.</w:t>
            </w:r>
          </w:p>
          <w:p w:rsidR="00000000" w:rsidP="00591BFA">
            <w:pPr>
              <w:pStyle w:val="BodyText"/>
              <w:rPr>
                <w:lang w:val="en-NZ"/>
              </w:rPr>
            </w:pPr>
            <w:r w:rsidRPr="00591BFA">
              <w:t>Activities associated with normal every day work have a bearing on the decision as to how much and how detailed the data gathered will contribute to its 'richness'. Some skil</w:t>
            </w:r>
            <w:r w:rsidRPr="00591BFA">
              <w:t>ls are more critical to safety and operational requirements while the same skills may be more or less frequently practiced. These points are raised for the assessors to consider when choosing an assessment method and developing assessment instruments. Samp</w:t>
            </w:r>
            <w:r w:rsidRPr="00591BFA">
              <w:t>le assessment instruments are included for Assessors in the Assessment Guidelines of this Training Package.</w:t>
            </w:r>
          </w:p>
        </w:tc>
      </w:tr>
      <w:tr w:rsidTr="005305BA">
        <w:tblPrEx>
          <w:tblW w:w="0" w:type="auto"/>
          <w:tblLayout w:type="fixed"/>
          <w:tblCellMar>
            <w:left w:w="62" w:type="dxa"/>
            <w:right w:w="62" w:type="dxa"/>
          </w:tblCellMar>
          <w:tblLook w:val="0000"/>
        </w:tblPrEx>
        <w:tc>
          <w:tcPr>
            <w:tcW w:w="2205" w:type="dxa"/>
            <w:vMerge w:val="restart"/>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 xml:space="preserve">Critical aspects of evidence required to demonstrate competency </w:t>
            </w:r>
            <w:r w:rsidRPr="00591BFA">
              <w:rPr>
                <w:rStyle w:val="SpecialBold"/>
              </w:rPr>
              <w:t>in this unit</w:t>
            </w: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9</w:t>
            </w:r>
            <w:r w:rsidRPr="00591BFA">
              <w:t>.</w:t>
            </w:r>
            <w:r w:rsidRPr="00591BFA">
              <w:rPr>
                <w:rStyle w:val="SpecialBold"/>
              </w:rPr>
              <w:t>2</w:t>
            </w:r>
            <w:r w:rsidRPr="00591BFA">
              <w:t xml:space="preserve">) </w:t>
            </w:r>
          </w:p>
          <w:p w:rsidR="00000000" w:rsidP="00591BFA">
            <w:pPr>
              <w:pStyle w:val="BodyText"/>
              <w:rPr>
                <w:lang w:val="en-NZ"/>
              </w:rPr>
            </w:pPr>
            <w:r w:rsidRPr="00591BFA">
              <w:t>Before the critical aspects of evidence are considered all prerequisites shall be met.</w:t>
            </w:r>
          </w:p>
        </w:tc>
      </w:tr>
      <w:tr w:rsidTr="005305BA">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Evidence for competence in this unit shall be considered holistically. Each element and associated Performance Criteria shall be demonstrated on at least two occasi</w:t>
            </w:r>
            <w:r w:rsidRPr="00591BFA">
              <w:t>ons in accordance with the "Assessment Guidelines - UET09". Evidence shall also comprise:</w:t>
            </w:r>
          </w:p>
          <w:p w:rsidR="00000000" w:rsidP="00591BFA">
            <w:pPr>
              <w:pStyle w:val="ListBullet"/>
              <w:rPr>
                <w:lang w:val="en-NZ"/>
              </w:rPr>
            </w:pPr>
            <w:r w:rsidRPr="00591BFA">
              <w:t>A representative body of Performance Criteria demonstrated within the timeframes typically expected of the discipline, work function and industrial environment. In p</w:t>
            </w:r>
            <w:r w:rsidRPr="00591BFA">
              <w:t>articular this shall incorporate evidence that shows a candidate is able to:</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ListBullet2"/>
            </w:pPr>
            <w:r w:rsidRPr="00591BFA">
              <w:t xml:space="preserve">Implement Occupational Health and Safety workplace procedures and practices including </w:t>
            </w:r>
            <w:r w:rsidRPr="00591BFA">
              <w:t>the use of risk control measures as specified in the Performance Criteria and range; and</w:t>
            </w:r>
          </w:p>
          <w:p w:rsidR="00000000" w:rsidRPr="00591BFA" w:rsidP="00591BFA">
            <w:pPr>
              <w:pStyle w:val="ListBullet2"/>
            </w:pPr>
            <w:r w:rsidRPr="00591BFA">
              <w:t>Apply sustainable energy principles and practices as specified in the Performance Criteria and range; and</w:t>
            </w:r>
          </w:p>
          <w:p w:rsidR="00000000" w:rsidRPr="00591BFA" w:rsidP="00591BFA">
            <w:pPr>
              <w:pStyle w:val="ListBullet2"/>
            </w:pPr>
            <w:r w:rsidRPr="00591BFA">
              <w:t>Demonstrate an understanding of the essential knowledge and associated skills as described in this unit to such an extent that the learner's performance outcome is reported in accordance with the preferred approach; namely a percentile graded result, where</w:t>
            </w:r>
            <w:r w:rsidRPr="00591BFA">
              <w:t xml:space="preserve"> required by the regulated environment; and</w:t>
            </w:r>
          </w:p>
          <w:p w:rsidR="00000000" w:rsidRPr="00591BFA" w:rsidP="00591BFA">
            <w:pPr>
              <w:pStyle w:val="ListBullet2"/>
            </w:pPr>
            <w:r w:rsidRPr="00591BFA">
              <w:t>Demonstrate an appropriate level of employability skills; and</w:t>
            </w:r>
          </w:p>
          <w:p w:rsidR="00000000" w:rsidP="00591BFA">
            <w:pPr>
              <w:pStyle w:val="ListBullet2"/>
              <w:rPr>
                <w:lang w:val="en-NZ"/>
              </w:rPr>
            </w:pPr>
            <w:r w:rsidRPr="00591BFA">
              <w:t>Conduct work observing the relevant Anti Discrimination legislation, regulations, policies and workplace procedures; and</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P="00591BFA">
            <w:pPr>
              <w:pStyle w:val="ListBullet"/>
              <w:rPr>
                <w:lang w:val="en-NZ"/>
              </w:rPr>
            </w:pPr>
            <w:r w:rsidRPr="00591BFA">
              <w:t>Demonstrated performanc</w:t>
            </w:r>
            <w:r w:rsidRPr="00591BFA">
              <w:t>e across a representative range of contexts from the prescribed items below:</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591BFA">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rPr>
                <w:rStyle w:val="SpecialBold"/>
              </w:rPr>
              <w:t>Range of tools</w:t>
            </w:r>
            <w:r w:rsidRPr="00591BFA">
              <w:t>/</w:t>
            </w:r>
            <w:r w:rsidRPr="00591BFA">
              <w:rPr>
                <w:rStyle w:val="SpecialBold"/>
              </w:rPr>
              <w:t>equipment</w:t>
            </w:r>
            <w:r w:rsidRPr="00591BFA">
              <w:t>/</w:t>
            </w:r>
            <w:r w:rsidRPr="00591BFA">
              <w:rPr>
                <w:rStyle w:val="SpecialBold"/>
              </w:rPr>
              <w:t>materials</w:t>
            </w:r>
            <w:r w:rsidRPr="00591BFA">
              <w:t>/</w:t>
            </w:r>
            <w:r w:rsidRPr="00591BFA">
              <w:rPr>
                <w:rStyle w:val="SpecialBold"/>
              </w:rPr>
              <w:t>procedures</w:t>
            </w:r>
            <w:r w:rsidRPr="00591BFA">
              <w:t>/</w:t>
            </w:r>
            <w:r w:rsidRPr="00591BFA">
              <w:rPr>
                <w:rStyle w:val="SpecialBold"/>
              </w:rPr>
              <w:t>workplaces</w:t>
            </w:r>
            <w:r w:rsidRPr="00591BFA">
              <w:t>/</w:t>
            </w:r>
            <w:r w:rsidRPr="00591BFA">
              <w:rPr>
                <w:rStyle w:val="SpecialBold"/>
              </w:rPr>
              <w:t>other variables</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591BF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rPr>
                <w:rStyle w:val="SpecialBold"/>
              </w:rPr>
              <w:t>Group No</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rPr>
                <w:rStyle w:val="SpecialBold"/>
              </w:rPr>
              <w:t>Item List</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Any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t>Fuse switches</w:t>
            </w:r>
          </w:p>
          <w:p w:rsidR="00000000" w:rsidRPr="00591BFA" w:rsidP="00591BFA">
            <w:pPr>
              <w:pStyle w:val="BodyText"/>
            </w:pPr>
            <w:r w:rsidRPr="00591BFA">
              <w:t>Dropout fuses</w:t>
            </w:r>
          </w:p>
          <w:p w:rsidR="00000000" w:rsidRPr="00591BFA" w:rsidP="00591BFA">
            <w:pPr>
              <w:pStyle w:val="BodyText"/>
            </w:pPr>
            <w:r w:rsidRPr="00591BFA">
              <w:t>Sectionalisers</w:t>
            </w:r>
          </w:p>
          <w:p w:rsidR="00000000" w:rsidRPr="00591BFA" w:rsidP="00591BFA">
            <w:pPr>
              <w:pStyle w:val="BodyText"/>
            </w:pPr>
            <w:r w:rsidRPr="00591BFA">
              <w:t>Disconnectors</w:t>
            </w:r>
          </w:p>
          <w:p w:rsidR="00000000" w:rsidRPr="00591BFA" w:rsidP="00591BFA">
            <w:pPr>
              <w:pStyle w:val="BodyText"/>
            </w:pPr>
            <w:r w:rsidRPr="00591BFA">
              <w:t>Links</w:t>
            </w:r>
          </w:p>
          <w:p w:rsidR="00000000" w:rsidRPr="00591BFA" w:rsidP="00591BFA">
            <w:pPr>
              <w:pStyle w:val="BodyText"/>
            </w:pPr>
            <w:r w:rsidRPr="00591BFA">
              <w:t>Fuses</w:t>
            </w:r>
          </w:p>
          <w:p w:rsidR="00000000" w:rsidP="00591BFA">
            <w:pPr>
              <w:pStyle w:val="BodyText"/>
              <w:rPr>
                <w:lang w:val="en-NZ"/>
              </w:rPr>
            </w:pPr>
            <w:r w:rsidRPr="00591BFA">
              <w:t>Surge arrestors</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B</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t>Reclosers</w:t>
            </w:r>
          </w:p>
          <w:p w:rsidR="00000000" w:rsidRPr="00591BFA" w:rsidP="00591BFA">
            <w:pPr>
              <w:pStyle w:val="BodyText"/>
            </w:pPr>
            <w:r w:rsidRPr="00591BFA">
              <w:t>Motorised switches</w:t>
            </w:r>
          </w:p>
          <w:p w:rsidR="00000000" w:rsidRPr="00591BFA" w:rsidP="00591BFA">
            <w:pPr>
              <w:pStyle w:val="BodyText"/>
            </w:pPr>
            <w:r w:rsidRPr="00591BFA">
              <w:t>Gas filled switches</w:t>
            </w:r>
          </w:p>
          <w:p w:rsidR="00000000" w:rsidRPr="00591BFA" w:rsidP="00591BFA">
            <w:pPr>
              <w:pStyle w:val="BodyText"/>
            </w:pPr>
            <w:r w:rsidRPr="00591BFA">
              <w:t>Ring main units</w:t>
            </w:r>
          </w:p>
          <w:p w:rsidR="00000000" w:rsidRPr="00591BFA" w:rsidP="00591BFA">
            <w:pPr>
              <w:pStyle w:val="BodyText"/>
            </w:pPr>
            <w:r w:rsidRPr="00591BFA">
              <w:t>Line fault indicators</w:t>
            </w:r>
          </w:p>
          <w:p w:rsidR="00000000" w:rsidRPr="00591BFA" w:rsidP="00591BFA">
            <w:pPr>
              <w:pStyle w:val="BodyText"/>
            </w:pPr>
            <w:r w:rsidRPr="00591BFA">
              <w:t>Oil filled switches</w:t>
            </w:r>
          </w:p>
          <w:p w:rsidR="00000000" w:rsidP="00591BFA">
            <w:pPr>
              <w:pStyle w:val="BodyText"/>
              <w:rPr>
                <w:lang w:val="en-NZ"/>
              </w:rPr>
            </w:pPr>
            <w:r w:rsidRPr="00591BFA">
              <w:t>Air break switches</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C</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t>Transformers</w:t>
            </w:r>
          </w:p>
          <w:p w:rsidR="00000000" w:rsidRPr="00591BFA" w:rsidP="00591BFA">
            <w:pPr>
              <w:pStyle w:val="BodyText"/>
            </w:pPr>
            <w:r w:rsidRPr="00591BFA">
              <w:t>Reactors</w:t>
            </w:r>
          </w:p>
          <w:p w:rsidR="00000000" w:rsidRPr="00591BFA" w:rsidP="00591BFA">
            <w:pPr>
              <w:pStyle w:val="BodyText"/>
            </w:pPr>
            <w:r w:rsidRPr="00591BFA">
              <w:t>Regulators</w:t>
            </w:r>
          </w:p>
          <w:p w:rsidR="00000000" w:rsidP="00591BFA">
            <w:pPr>
              <w:pStyle w:val="BodyText"/>
              <w:rPr>
                <w:lang w:val="en-NZ"/>
              </w:rPr>
            </w:pPr>
            <w:r w:rsidRPr="00591BFA">
              <w:t>Capacitors</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D</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Any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FA" w:rsidP="00591BFA">
            <w:pPr>
              <w:pStyle w:val="BodyText"/>
            </w:pPr>
            <w:r w:rsidRPr="00591BFA">
              <w:t>Voltage detectors</w:t>
            </w:r>
          </w:p>
          <w:p w:rsidR="00000000" w:rsidRPr="00591BFA" w:rsidP="00591BFA">
            <w:pPr>
              <w:pStyle w:val="BodyText"/>
            </w:pPr>
            <w:r w:rsidRPr="00591BFA">
              <w:t>Phasing equipment</w:t>
            </w:r>
          </w:p>
          <w:p w:rsidR="00000000" w:rsidRPr="00591BFA" w:rsidP="00591BFA">
            <w:pPr>
              <w:pStyle w:val="BodyText"/>
            </w:pPr>
            <w:r w:rsidRPr="00591BFA">
              <w:t>Clip-on ammeters</w:t>
            </w:r>
          </w:p>
          <w:p w:rsidR="00000000" w:rsidRPr="00591BFA" w:rsidP="00591BFA">
            <w:pPr>
              <w:pStyle w:val="BodyText"/>
            </w:pPr>
            <w:r w:rsidRPr="00591BFA">
              <w:t>Insulation resistance testers</w:t>
            </w:r>
          </w:p>
          <w:p w:rsidR="00000000" w:rsidRPr="00591BFA" w:rsidP="00591BFA">
            <w:pPr>
              <w:pStyle w:val="BodyText"/>
            </w:pPr>
            <w:r w:rsidRPr="00591BFA">
              <w:t>Recording meters</w:t>
            </w:r>
          </w:p>
          <w:p w:rsidR="00000000" w:rsidP="00591BFA">
            <w:pPr>
              <w:pStyle w:val="BodyText"/>
              <w:rPr>
                <w:lang w:val="en-NZ"/>
              </w:rPr>
            </w:pPr>
            <w:r w:rsidRPr="00591BFA">
              <w:t>Earth resistance tester</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E</w:t>
            </w:r>
          </w:p>
        </w:tc>
        <w:tc>
          <w:tcPr>
            <w:tcW w:w="1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FA">
            <w:pPr>
              <w:pStyle w:val="BodyText"/>
              <w:rPr>
                <w:lang w:val="en-NZ"/>
              </w:rPr>
            </w:pPr>
            <w:r w:rsidRPr="00591BFA">
              <w:t>Dealing with an unplanned event by drawing on essential knowledge and associated skills to provide appropriate solutions incorporated in the holistic assessment with the above listed items.</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Context of and specific resources for asse</w:t>
            </w:r>
            <w:r w:rsidRPr="00591BFA">
              <w:rPr>
                <w:rStyle w:val="SpecialBold"/>
              </w:rPr>
              <w:t>ssment</w:t>
            </w: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9</w:t>
            </w:r>
            <w:r w:rsidRPr="00591BFA">
              <w:t>.</w:t>
            </w:r>
            <w:r w:rsidRPr="00591BFA">
              <w:rPr>
                <w:rStyle w:val="SpecialBold"/>
              </w:rPr>
              <w:t>3</w:t>
            </w:r>
            <w:r w:rsidRPr="00591BFA">
              <w:t xml:space="preserve">) </w:t>
            </w:r>
          </w:p>
          <w:p w:rsidR="00000000" w:rsidRPr="00591BFA" w:rsidP="00591BFA">
            <w:pPr>
              <w:pStyle w:val="BodyText"/>
            </w:pPr>
            <w:r w:rsidRPr="00591BFA">
              <w:t>This unit should be assessed as it relates to normal work practice using procedures, information and resources typical of a workplace. This should include:</w:t>
            </w:r>
          </w:p>
          <w:p w:rsidR="00000000" w:rsidRPr="00591BFA" w:rsidP="00591BFA">
            <w:pPr>
              <w:pStyle w:val="ListBullet"/>
            </w:pPr>
            <w:r w:rsidRPr="00591BFA">
              <w:t>OHS policy and work procedures and instructions.</w:t>
            </w:r>
          </w:p>
          <w:p w:rsidR="00000000" w:rsidP="00591BFA">
            <w:pPr>
              <w:pStyle w:val="ListBullet"/>
              <w:rPr>
                <w:lang w:val="en-NZ"/>
              </w:rPr>
            </w:pPr>
            <w:r w:rsidRPr="00591BFA">
              <w:t xml:space="preserve">Suitable work environment, facilities, equipment and materials to undertake actual installation of electrical equipment in a network infrastructure. </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In addition to the resources listed above, in Context of and specific resources for assessment, evide</w:t>
            </w:r>
            <w:r w:rsidRPr="00591BFA">
              <w:t xml:space="preserve">nce should show demonstrated competency working below ground, in limited spaces, with different structural/construction types and method and in a variety of environments. </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Method of assessment</w:t>
            </w: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9</w:t>
            </w:r>
            <w:r w:rsidRPr="00591BFA">
              <w:t>.</w:t>
            </w:r>
            <w:r w:rsidRPr="00591BFA">
              <w:rPr>
                <w:rStyle w:val="SpecialBold"/>
              </w:rPr>
              <w:t>4</w:t>
            </w:r>
            <w:r w:rsidRPr="00591BFA">
              <w:t xml:space="preserve">) </w:t>
            </w:r>
          </w:p>
          <w:p w:rsidR="00000000" w:rsidRPr="00591BFA" w:rsidP="00591BFA">
            <w:pPr>
              <w:pStyle w:val="BodyText"/>
            </w:pPr>
            <w:r w:rsidRPr="00591BFA">
              <w:t>This Competency Standard Unit shall be assessed by me</w:t>
            </w:r>
            <w:r w:rsidRPr="00591BFA">
              <w:t>thods given in Volume 1, Part 3 "Assessment Guidelines".</w:t>
            </w:r>
          </w:p>
          <w:p w:rsidR="00000000" w:rsidP="00591BFA">
            <w:pPr>
              <w:pStyle w:val="BodyText"/>
              <w:rPr>
                <w:lang w:val="en-NZ"/>
              </w:rPr>
            </w:pPr>
            <w:r w:rsidRPr="00591BFA">
              <w:t>Note:</w:t>
            </w:r>
            <w:r w:rsidRPr="00591BFA">
              <w:br/>
            </w:r>
            <w:r w:rsidRPr="00591BFA">
              <w:t>Competent performance with inherent safe working practices is expected in the Industry to which this Competency Standard Unit applies. This requires that the specified essential knowledge and associated skills are assessed in a structured environment which</w:t>
            </w:r>
            <w:r w:rsidRPr="00591BFA">
              <w:t xml:space="preserve"> is primarily intended for learning/assessment and incorporates all necessary equipment and facilities for learners to develop and demonstrate the essential knowledge and associated skills described in this unit.</w:t>
            </w:r>
          </w:p>
        </w:tc>
      </w:tr>
      <w:tr w:rsidTr="005305BA">
        <w:tblPrEx>
          <w:tblW w:w="0" w:type="auto"/>
          <w:tblLayout w:type="fixed"/>
          <w:tblCellMar>
            <w:left w:w="62" w:type="dxa"/>
            <w:right w:w="62" w:type="dxa"/>
          </w:tblCellMar>
          <w:tblLook w:val="0000"/>
        </w:tblPrEx>
        <w:tc>
          <w:tcPr>
            <w:tcW w:w="2205" w:type="dxa"/>
            <w:vMerge w:val="restart"/>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 xml:space="preserve">Concurrent assessment and relationship </w:t>
            </w:r>
            <w:r w:rsidRPr="00591BFA">
              <w:rPr>
                <w:rStyle w:val="SpecialBold"/>
              </w:rPr>
              <w:t>with other units</w:t>
            </w:r>
          </w:p>
        </w:tc>
        <w:tc>
          <w:tcPr>
            <w:tcW w:w="6435" w:type="dxa"/>
            <w:gridSpan w:val="4"/>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9</w:t>
            </w:r>
            <w:r w:rsidRPr="00591BFA">
              <w:t>.</w:t>
            </w:r>
            <w:r w:rsidRPr="00591BFA">
              <w:rPr>
                <w:rStyle w:val="SpecialBold"/>
              </w:rPr>
              <w:t>5</w:t>
            </w:r>
            <w:r w:rsidRPr="00591BFA">
              <w:t>)</w:t>
            </w:r>
          </w:p>
        </w:tc>
      </w:tr>
      <w:tr w:rsidTr="005305BA">
        <w:tblPrEx>
          <w:tblW w:w="0" w:type="auto"/>
          <w:tblLayout w:type="fixed"/>
          <w:tblCellMar>
            <w:left w:w="62" w:type="dxa"/>
            <w:right w:w="62" w:type="dxa"/>
          </w:tblCellMar>
          <w:tblLook w:val="0000"/>
        </w:tblPrEx>
        <w:tc>
          <w:tcPr>
            <w:tcW w:w="22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5" w:type="dxa"/>
            <w:gridSpan w:val="4"/>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There are no concurrent assessment recommendations for this unit.</w:t>
            </w:r>
          </w:p>
        </w:tc>
      </w:tr>
    </w:tbl>
    <w:p w:rsidR="005305BA" w:rsidP="00591BFA">
      <w:pPr>
        <w:pStyle w:val="BodyText"/>
      </w:pPr>
    </w:p>
    <w:p w:rsidR="005305BA" w:rsidP="00591BFA">
      <w:pPr>
        <w:pStyle w:val="BodyText"/>
      </w:pPr>
    </w:p>
    <w:p w:rsidR="00000000" w:rsidRPr="00591BFA" w:rsidP="00591BFA">
      <w:pPr>
        <w:pStyle w:val="Heading1"/>
      </w:pPr>
      <w:bookmarkStart w:id="11" w:name="O_256144"/>
      <w:bookmarkEnd w:id="11"/>
      <w:r w:rsidRPr="00591BFA">
        <w:t>Range Statement</w:t>
      </w:r>
    </w:p>
    <w:tbl>
      <w:tblPr>
        <w:tblW w:w="0" w:type="auto"/>
        <w:tblLayout w:type="fixed"/>
        <w:tblCellMar>
          <w:left w:w="62" w:type="dxa"/>
          <w:right w:w="62" w:type="dxa"/>
        </w:tblCellMar>
        <w:tblLook w:val="0000"/>
      </w:tblPr>
      <w:tblGrid>
        <w:gridCol w:w="2205"/>
        <w:gridCol w:w="6435"/>
      </w:tblGrid>
      <w:tr w:rsidTr="005305B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RANGE STATEMENT</w:t>
            </w:r>
          </w:p>
        </w:tc>
      </w:tr>
      <w:tr w:rsidTr="005305B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8</w:t>
            </w:r>
            <w:r w:rsidRPr="00591BFA">
              <w:t xml:space="preserve">) This relates to the unit of competency as a whole providing the range of contexts and conditions </w:t>
            </w:r>
            <w:r w:rsidRPr="00591BFA">
              <w:t>to which the Performance Criteria apply. It allows for different work environments and situations that will affect performance.</w:t>
            </w:r>
          </w:p>
        </w:tc>
      </w:tr>
      <w:tr w:rsidTr="005305B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This Competency Standard Unit shall/may be demonstrated in relation to the installation, termination/connection of overhead electrical equipment relevant to the transmission, distribution and rail networks, and includes pre-commissioning.</w:t>
            </w:r>
          </w:p>
          <w:p w:rsidR="00000000" w:rsidRPr="00591BFA" w:rsidP="00591BFA">
            <w:pPr>
              <w:pStyle w:val="BodyText"/>
            </w:pPr>
            <w:r w:rsidRPr="00591BFA">
              <w:t>Electrical equipm</w:t>
            </w:r>
            <w:r w:rsidRPr="00591BFA">
              <w:t>ent and associated hardware may include relevant transmission or distribution linework/network; switchgear (eg reclosers, sectionalisers, drop-out fuses, disconnectors, isolators, air break switches, gas filled switches, links, fuses, fuse switches and cir</w:t>
            </w:r>
            <w:r w:rsidRPr="00591BFA">
              <w:t>cuit breakers); transformers (eg padmount, pole-mounted and mobile); reactors; fault indicators; regulators; street lighting control points; capacitors; cables; underground/overhead cable terminations; relays (simple); mobile generators and surge arrestors</w:t>
            </w:r>
            <w:r w:rsidRPr="00591BFA">
              <w:t>; support brackets and the like.</w:t>
            </w:r>
          </w:p>
          <w:p w:rsidR="00000000" w:rsidRPr="00591BFA" w:rsidP="00591BFA">
            <w:pPr>
              <w:pStyle w:val="BodyText"/>
            </w:pPr>
            <w:r w:rsidRPr="00591BFA">
              <w:t>It does not include the energisation of equipment in a highly complex, interdependent and interconnected electricity supply Network system, where the affects of unintended consequences on the system are high risk and approp</w:t>
            </w:r>
            <w:r w:rsidRPr="00591BFA">
              <w:t>riate personnel effect energisation.</w:t>
            </w:r>
          </w:p>
          <w:p w:rsidR="00000000" w:rsidRPr="00591BFA" w:rsidP="00591BFA">
            <w:pPr>
              <w:pStyle w:val="BodyText"/>
            </w:pPr>
            <w:r w:rsidRPr="00591BFA">
              <w:t xml:space="preserve">Test and recording equipment includes voltage detectors, phasing equipment, tong ammeters, voltmeters, recording meters and insulation resistance testers used for the purposes as intended and according to requirements, </w:t>
            </w:r>
            <w:r w:rsidRPr="00591BFA">
              <w:t>and does not include use of such in energising installed equipment in a highly complex, interdependent and interconnected electricity supply Network system, where the affects of unintended consequences on the system are high risk.</w:t>
            </w:r>
          </w:p>
          <w:p w:rsidR="00000000" w:rsidP="00591BFA">
            <w:pPr>
              <w:pStyle w:val="BodyText"/>
              <w:rPr>
                <w:lang w:val="en-NZ"/>
              </w:rPr>
            </w:pPr>
            <w:r w:rsidRPr="00591BFA">
              <w:t>The following constants a</w:t>
            </w:r>
            <w:r w:rsidRPr="00591BFA">
              <w:t>nd variables included in the element/Performance Criteria in this unit are fully described in the Definitions Section 1 of this volume and form an integral part of the Range Statement of this unit:</w:t>
            </w:r>
          </w:p>
        </w:tc>
      </w:tr>
      <w:tr w:rsidTr="005305BA">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p>
        </w:tc>
        <w:tc>
          <w:tcPr>
            <w:tcW w:w="6435" w:type="dxa"/>
            <w:tcBorders>
              <w:top w:val="nil"/>
              <w:left w:val="nil"/>
              <w:bottom w:val="nil"/>
              <w:right w:val="nil"/>
            </w:tcBorders>
            <w:tcMar>
              <w:top w:w="0" w:type="dxa"/>
              <w:left w:w="62" w:type="dxa"/>
              <w:bottom w:w="0" w:type="dxa"/>
              <w:right w:w="62" w:type="dxa"/>
            </w:tcMar>
          </w:tcPr>
          <w:p w:rsidR="00000000" w:rsidRPr="00591BFA" w:rsidP="00591BFA">
            <w:pPr>
              <w:pStyle w:val="ListBullet"/>
            </w:pPr>
            <w:r w:rsidRPr="00591BFA">
              <w:t>Appropriate and relevant persons (see Personnel)</w:t>
            </w:r>
          </w:p>
          <w:p w:rsidR="00000000" w:rsidRPr="00591BFA" w:rsidP="00591BFA">
            <w:pPr>
              <w:pStyle w:val="ListBullet"/>
            </w:pPr>
            <w:r w:rsidRPr="00591BFA">
              <w:t>Appro</w:t>
            </w:r>
            <w:r w:rsidRPr="00591BFA">
              <w:t>priate authorities</w:t>
            </w:r>
          </w:p>
          <w:p w:rsidR="00000000" w:rsidRPr="00591BFA" w:rsidP="00591BFA">
            <w:pPr>
              <w:pStyle w:val="ListBullet"/>
            </w:pPr>
            <w:r w:rsidRPr="00591BFA">
              <w:t>Appropriate work platform</w:t>
            </w:r>
          </w:p>
          <w:p w:rsidR="00000000" w:rsidRPr="00591BFA" w:rsidP="00591BFA">
            <w:pPr>
              <w:pStyle w:val="ListBullet"/>
            </w:pPr>
            <w:r w:rsidRPr="00591BFA">
              <w:t>Assessing risk</w:t>
            </w:r>
          </w:p>
          <w:p w:rsidR="00000000" w:rsidRPr="00591BFA" w:rsidP="00591BFA">
            <w:pPr>
              <w:pStyle w:val="ListBullet"/>
            </w:pPr>
            <w:r w:rsidRPr="00591BFA">
              <w:t>Assessment</w:t>
            </w:r>
          </w:p>
          <w:p w:rsidR="00000000" w:rsidRPr="00591BFA" w:rsidP="00591BFA">
            <w:pPr>
              <w:pStyle w:val="ListBullet"/>
            </w:pPr>
            <w:r w:rsidRPr="00591BFA">
              <w:t>Authorisation</w:t>
            </w:r>
          </w:p>
          <w:p w:rsidR="00000000" w:rsidRPr="00591BFA" w:rsidP="00591BFA">
            <w:pPr>
              <w:pStyle w:val="ListBullet"/>
            </w:pPr>
            <w:r w:rsidRPr="00591BFA">
              <w:t>Confined space</w:t>
            </w:r>
          </w:p>
          <w:p w:rsidR="00000000" w:rsidRPr="00591BFA" w:rsidP="00591BFA">
            <w:pPr>
              <w:pStyle w:val="ListBullet"/>
            </w:pPr>
            <w:r w:rsidRPr="00591BFA">
              <w:t>Diagnostic, testing and restoration</w:t>
            </w:r>
          </w:p>
          <w:p w:rsidR="00000000" w:rsidRPr="00591BFA" w:rsidP="00591BFA">
            <w:pPr>
              <w:pStyle w:val="ListBullet"/>
            </w:pPr>
            <w:r w:rsidRPr="00591BFA">
              <w:t>Documenting detail work events, record keeping and or storage of information</w:t>
            </w:r>
          </w:p>
          <w:p w:rsidR="00000000" w:rsidRPr="00591BFA" w:rsidP="00591BFA">
            <w:pPr>
              <w:pStyle w:val="ListBullet"/>
            </w:pPr>
            <w:r w:rsidRPr="00591BFA">
              <w:t>Drawings and specifications</w:t>
            </w:r>
          </w:p>
          <w:p w:rsidR="00000000" w:rsidRPr="00591BFA" w:rsidP="00591BFA">
            <w:pPr>
              <w:pStyle w:val="ListBullet"/>
            </w:pPr>
            <w:r w:rsidRPr="00591BFA">
              <w:t>Emergency</w:t>
            </w:r>
          </w:p>
          <w:p w:rsidR="00000000" w:rsidRPr="00591BFA" w:rsidP="00591BFA">
            <w:pPr>
              <w:pStyle w:val="ListBullet"/>
            </w:pPr>
            <w:r w:rsidRPr="00591BFA">
              <w:t>Environmental and sustainable energy procedures</w:t>
            </w:r>
          </w:p>
          <w:p w:rsidR="00000000" w:rsidRPr="00591BFA" w:rsidP="00591BFA">
            <w:pPr>
              <w:pStyle w:val="ListBullet"/>
            </w:pPr>
            <w:r w:rsidRPr="00591BFA">
              <w:t>Environmental legislation</w:t>
            </w:r>
          </w:p>
          <w:p w:rsidR="00000000" w:rsidRPr="00591BFA" w:rsidP="00591BFA">
            <w:pPr>
              <w:pStyle w:val="ListBullet"/>
            </w:pPr>
            <w:r w:rsidRPr="00591BFA">
              <w:t>Environmental management documentation</w:t>
            </w:r>
          </w:p>
          <w:p w:rsidR="00000000" w:rsidRPr="00591BFA" w:rsidP="00591BFA">
            <w:pPr>
              <w:pStyle w:val="ListBullet"/>
            </w:pPr>
            <w:r w:rsidRPr="00591BFA">
              <w:t>Established procedures</w:t>
            </w:r>
          </w:p>
          <w:p w:rsidR="00000000" w:rsidRPr="00591BFA" w:rsidP="00591BFA">
            <w:pPr>
              <w:pStyle w:val="ListBullet"/>
            </w:pPr>
            <w:r w:rsidRPr="00591BFA">
              <w:t>Fall prevention</w:t>
            </w:r>
          </w:p>
          <w:p w:rsidR="00000000" w:rsidRPr="00591BFA" w:rsidP="00591BFA">
            <w:pPr>
              <w:pStyle w:val="ListBullet"/>
            </w:pPr>
            <w:r w:rsidRPr="00591BFA">
              <w:t>Hazards</w:t>
            </w:r>
          </w:p>
          <w:p w:rsidR="00000000" w:rsidRPr="00591BFA" w:rsidP="00591BFA">
            <w:pPr>
              <w:pStyle w:val="ListBullet"/>
            </w:pPr>
            <w:r w:rsidRPr="00591BFA">
              <w:t>Identifying hazards</w:t>
            </w:r>
          </w:p>
          <w:p w:rsidR="00000000" w:rsidRPr="00591BFA" w:rsidP="00591BFA">
            <w:pPr>
              <w:pStyle w:val="ListBullet"/>
            </w:pPr>
            <w:r w:rsidRPr="00591BFA">
              <w:t>Inspect</w:t>
            </w:r>
          </w:p>
          <w:p w:rsidR="00000000" w:rsidRPr="00591BFA" w:rsidP="00591BFA">
            <w:pPr>
              <w:pStyle w:val="ListBullet"/>
            </w:pPr>
            <w:r w:rsidRPr="00591BFA">
              <w:t>Legislation</w:t>
            </w:r>
          </w:p>
          <w:p w:rsidR="00000000" w:rsidRPr="00591BFA" w:rsidP="00591BFA">
            <w:pPr>
              <w:pStyle w:val="ListBullet"/>
            </w:pPr>
            <w:r w:rsidRPr="00591BFA">
              <w:t>MSDS</w:t>
            </w:r>
          </w:p>
          <w:p w:rsidR="00000000" w:rsidRPr="00591BFA" w:rsidP="00591BFA">
            <w:pPr>
              <w:pStyle w:val="ListBullet"/>
            </w:pPr>
            <w:r w:rsidRPr="00591BFA">
              <w:t>Notification</w:t>
            </w:r>
          </w:p>
          <w:p w:rsidR="00000000" w:rsidRPr="00591BFA" w:rsidP="00591BFA">
            <w:pPr>
              <w:pStyle w:val="ListBullet"/>
            </w:pPr>
            <w:r w:rsidRPr="00591BFA">
              <w:t>OHS practices</w:t>
            </w:r>
          </w:p>
          <w:p w:rsidR="00000000" w:rsidRPr="00591BFA" w:rsidP="00591BFA">
            <w:pPr>
              <w:pStyle w:val="ListBullet"/>
            </w:pPr>
            <w:r w:rsidRPr="00591BFA">
              <w:t>OHS issues</w:t>
            </w:r>
          </w:p>
          <w:p w:rsidR="00000000" w:rsidRPr="00591BFA" w:rsidP="00591BFA">
            <w:pPr>
              <w:pStyle w:val="ListBullet"/>
            </w:pPr>
            <w:r w:rsidRPr="00591BFA">
              <w:t>Permits and/o</w:t>
            </w:r>
            <w:r w:rsidRPr="00591BFA">
              <w:t>r permits to work</w:t>
            </w:r>
          </w:p>
          <w:p w:rsidR="00000000" w:rsidRPr="00591BFA" w:rsidP="00591BFA">
            <w:pPr>
              <w:pStyle w:val="ListBullet"/>
            </w:pPr>
            <w:r w:rsidRPr="00591BFA">
              <w:t>Personnel</w:t>
            </w:r>
          </w:p>
          <w:p w:rsidR="00000000" w:rsidRPr="00591BFA" w:rsidP="00591BFA">
            <w:pPr>
              <w:pStyle w:val="ListBullet"/>
            </w:pPr>
            <w:r w:rsidRPr="00591BFA">
              <w:t>Quality assurance systems</w:t>
            </w:r>
          </w:p>
          <w:p w:rsidR="00000000" w:rsidRPr="00591BFA" w:rsidP="00591BFA">
            <w:pPr>
              <w:pStyle w:val="ListBullet"/>
            </w:pPr>
            <w:r w:rsidRPr="00591BFA">
              <w:t>Requirements</w:t>
            </w:r>
          </w:p>
          <w:p w:rsidR="00000000" w:rsidRPr="00591BFA" w:rsidP="00591BFA">
            <w:pPr>
              <w:pStyle w:val="ListBullet"/>
            </w:pPr>
            <w:r w:rsidRPr="00591BFA">
              <w:t>Testing procedures</w:t>
            </w:r>
          </w:p>
          <w:p w:rsidR="00000000" w:rsidRPr="00591BFA" w:rsidP="00591BFA">
            <w:pPr>
              <w:pStyle w:val="ListBullet"/>
            </w:pPr>
            <w:r w:rsidRPr="00591BFA">
              <w:t>Work clearance systems</w:t>
            </w:r>
          </w:p>
        </w:tc>
      </w:tr>
    </w:tbl>
    <w:p w:rsidR="005305BA" w:rsidP="00591BFA">
      <w:pPr>
        <w:pStyle w:val="BodyText"/>
      </w:pPr>
    </w:p>
    <w:p w:rsidR="005305BA" w:rsidP="00591BFA">
      <w:pPr>
        <w:pStyle w:val="BodyText"/>
      </w:pPr>
    </w:p>
    <w:p w:rsidR="00000000" w:rsidRPr="00591BFA" w:rsidP="00591BFA">
      <w:pPr>
        <w:pStyle w:val="Heading1"/>
      </w:pPr>
      <w:bookmarkStart w:id="12" w:name="O_297157"/>
      <w:bookmarkEnd w:id="12"/>
      <w:r w:rsidRPr="00591BFA">
        <w:t>Unit Sector(s)</w:t>
      </w:r>
    </w:p>
    <w:p w:rsidR="00000000" w:rsidRPr="00591BFA" w:rsidP="00591BFA">
      <w:pPr>
        <w:pStyle w:val="BodyText"/>
      </w:pPr>
      <w:r w:rsidRPr="00591BFA">
        <w:t>Not Applicable</w:t>
      </w:r>
    </w:p>
    <w:p w:rsidR="00000000" w:rsidRPr="00591BFA" w:rsidP="00591BFA">
      <w:pPr>
        <w:pStyle w:val="AllowPageBreak"/>
      </w:pPr>
    </w:p>
    <w:p w:rsidR="00000000" w:rsidRPr="00591BFA" w:rsidP="00591BFA">
      <w:pPr>
        <w:pStyle w:val="Heading1"/>
      </w:pPr>
      <w:bookmarkStart w:id="13" w:name="O_231392"/>
      <w:bookmarkEnd w:id="13"/>
      <w:r w:rsidRPr="00591BFA">
        <w:t>Custom Content Section</w:t>
      </w:r>
    </w:p>
    <w:tbl>
      <w:tblPr>
        <w:tblW w:w="0" w:type="auto"/>
        <w:tblLayout w:type="fixed"/>
        <w:tblCellMar>
          <w:left w:w="62" w:type="dxa"/>
          <w:right w:w="62" w:type="dxa"/>
        </w:tblCellMar>
        <w:tblLook w:val="0000"/>
      </w:tblPr>
      <w:tblGrid>
        <w:gridCol w:w="1551"/>
        <w:gridCol w:w="1196"/>
        <w:gridCol w:w="1760"/>
        <w:gridCol w:w="1196"/>
        <w:gridCol w:w="1741"/>
        <w:gridCol w:w="1196"/>
      </w:tblGrid>
      <w:tr w:rsidTr="005305B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2</w:t>
            </w:r>
            <w:r w:rsidRPr="00591BFA">
              <w:t>.</w:t>
            </w:r>
            <w:r w:rsidRPr="00591BFA">
              <w:rPr>
                <w:rStyle w:val="SpecialBold"/>
              </w:rPr>
              <w:t>2</w:t>
            </w:r>
            <w:r w:rsidRPr="00591BFA">
              <w:t xml:space="preserve">) </w:t>
            </w:r>
            <w:r w:rsidRPr="00591BFA">
              <w:rPr>
                <w:rStyle w:val="SpecialBold"/>
              </w:rPr>
              <w:t>Literacy and numeracy skills</w:t>
            </w:r>
          </w:p>
          <w:p w:rsidR="00000000" w:rsidP="00591BFA">
            <w:pPr>
              <w:pStyle w:val="BodyText"/>
              <w:rPr>
                <w:lang w:val="en-NZ"/>
              </w:rPr>
            </w:pPr>
            <w:r w:rsidRPr="00591BFA">
              <w:t>Participants are best equipped to achieve this unit if they have reading, writing and numeracy skills indicated by the following scales. Description of each scale is given in Volume 2, Part 3 "Literacy and Numeracy"</w:t>
            </w:r>
          </w:p>
        </w:tc>
      </w:tr>
      <w:tr w:rsidTr="005305BA">
        <w:tblPrEx>
          <w:tblW w:w="0" w:type="auto"/>
          <w:tblLayout w:type="fixed"/>
          <w:tblCellMar>
            <w:left w:w="62" w:type="dxa"/>
            <w:right w:w="62" w:type="dxa"/>
          </w:tblCellMar>
          <w:tblLook w:val="0000"/>
        </w:tblPrEx>
        <w:tc>
          <w:tcPr>
            <w:tcW w:w="1551"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Reading</w:t>
            </w:r>
          </w:p>
        </w:tc>
        <w:tc>
          <w:tcPr>
            <w:tcW w:w="119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w:t>
            </w:r>
          </w:p>
        </w:tc>
        <w:tc>
          <w:tcPr>
            <w:tcW w:w="176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Writing</w:t>
            </w:r>
          </w:p>
        </w:tc>
        <w:tc>
          <w:tcPr>
            <w:tcW w:w="1196"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3</w:t>
            </w:r>
          </w:p>
        </w:tc>
        <w:tc>
          <w:tcPr>
            <w:tcW w:w="1741"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t>Numeracy</w:t>
            </w:r>
          </w:p>
        </w:tc>
        <w:tc>
          <w:tcPr>
            <w:tcW w:w="1196"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3</w:t>
            </w:r>
          </w:p>
        </w:tc>
      </w:tr>
    </w:tbl>
    <w:p w:rsidR="005305BA" w:rsidP="00591BFA">
      <w:pPr>
        <w:pStyle w:val="BodyText"/>
      </w:pPr>
    </w:p>
    <w:p w:rsidR="005305BA" w:rsidP="00591BFA">
      <w:pPr>
        <w:pStyle w:val="BodyText"/>
      </w:pPr>
    </w:p>
    <w:p w:rsidR="00000000" w:rsidRPr="00591BFA" w:rsidP="00591BFA">
      <w:pPr>
        <w:pStyle w:val="Heading1"/>
      </w:pPr>
      <w:bookmarkStart w:id="14" w:name="O_231395"/>
      <w:bookmarkEnd w:id="14"/>
      <w:r w:rsidRPr="00591BFA">
        <w:t>Competency Field</w:t>
      </w:r>
    </w:p>
    <w:tbl>
      <w:tblPr>
        <w:tblW w:w="0" w:type="auto"/>
        <w:tblLayout w:type="fixed"/>
        <w:tblCellMar>
          <w:left w:w="62" w:type="dxa"/>
          <w:right w:w="62" w:type="dxa"/>
        </w:tblCellMar>
        <w:tblLook w:val="0000"/>
      </w:tblPr>
      <w:tblGrid>
        <w:gridCol w:w="2700"/>
        <w:gridCol w:w="5940"/>
      </w:tblGrid>
      <w:tr w:rsidTr="005305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591BFA">
            <w:pPr>
              <w:pStyle w:val="BodyText"/>
              <w:rPr>
                <w:lang w:val="en-NZ"/>
              </w:rPr>
            </w:pPr>
            <w:r w:rsidRPr="00591BFA">
              <w:rPr>
                <w:rStyle w:val="SpecialBold"/>
              </w:rPr>
              <w:t>5</w:t>
            </w:r>
            <w:r w:rsidRPr="00591BFA">
              <w:t>)</w:t>
            </w:r>
          </w:p>
        </w:tc>
      </w:tr>
      <w:tr w:rsidTr="005305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91BFA" w:rsidP="00591BFA">
            <w:pPr>
              <w:pStyle w:val="BodyText"/>
            </w:pPr>
            <w:r w:rsidRPr="00591BFA">
              <w:t>Industry Specific Cross-Discipline Units</w:t>
            </w:r>
          </w:p>
        </w:tc>
      </w:tr>
    </w:tbl>
    <w:p w:rsidR="005305BA" w:rsidP="00591BFA">
      <w:pPr>
        <w:pStyle w:val="BodyText"/>
      </w:pPr>
    </w:p>
    <w:p w:rsidR="005305BA" w:rsidP="00591BFA">
      <w:pPr>
        <w:pStyle w:val="BodyText"/>
      </w:pPr>
    </w:p>
    <w:p w:rsidR="00000000" w:rsidRPr="00591BFA" w:rsidP="00591BFA"/>
    <w:sectPr w:rsidSect="00591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5BA" w:rsidP="00530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BA" w:rsidP="00591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05BA" w:rsidP="00591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305BA" w:rsidP="00591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5BA" w:rsidP="005305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BA" w:rsidP="00591BFA">
    <w:pPr>
      <w:pStyle w:val="Header"/>
      <w:framePr w:wrap="around"/>
    </w:pPr>
    <w:r>
      <w:fldChar w:fldCharType="begin"/>
    </w:r>
    <w:r>
      <w:instrText xml:space="preserve"> TITLE   \* MERGEFORMAT </w:instrText>
    </w:r>
    <w:r>
      <w:fldChar w:fldCharType="separate"/>
    </w:r>
    <w:r>
      <w:t>UETTDRIS01B Install electrical equipment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05BA" w:rsidP="00591B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EE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22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C6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B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BFA"/>
    <w:pPr>
      <w:spacing w:before="360" w:after="60"/>
      <w:outlineLvl w:val="0"/>
    </w:pPr>
    <w:rPr>
      <w:sz w:val="32"/>
    </w:rPr>
  </w:style>
  <w:style w:type="paragraph" w:styleId="Heading2">
    <w:name w:val="heading 2"/>
    <w:basedOn w:val="HeadingBase"/>
    <w:next w:val="BodyText"/>
    <w:link w:val="Heading2Char"/>
    <w:qFormat/>
    <w:rsid w:val="00591BFA"/>
    <w:pPr>
      <w:keepLines/>
      <w:spacing w:before="240" w:after="120"/>
      <w:outlineLvl w:val="1"/>
    </w:pPr>
    <w:rPr>
      <w:sz w:val="28"/>
      <w:szCs w:val="40"/>
    </w:rPr>
  </w:style>
  <w:style w:type="paragraph" w:styleId="Heading3">
    <w:name w:val="heading 3"/>
    <w:basedOn w:val="HeadingBase"/>
    <w:next w:val="BodyText"/>
    <w:link w:val="Heading3Char"/>
    <w:qFormat/>
    <w:rsid w:val="00591BFA"/>
    <w:pPr>
      <w:spacing w:before="180" w:after="120"/>
      <w:outlineLvl w:val="2"/>
    </w:pPr>
    <w:rPr>
      <w:spacing w:val="-10"/>
      <w:kern w:val="32"/>
    </w:rPr>
  </w:style>
  <w:style w:type="paragraph" w:styleId="Heading4">
    <w:name w:val="heading 4"/>
    <w:basedOn w:val="HeadingBase"/>
    <w:next w:val="BodyText"/>
    <w:link w:val="Heading4Char"/>
    <w:qFormat/>
    <w:rsid w:val="00591BFA"/>
    <w:pPr>
      <w:spacing w:before="160" w:after="120"/>
      <w:outlineLvl w:val="3"/>
    </w:pPr>
    <w:rPr>
      <w:sz w:val="22"/>
    </w:rPr>
  </w:style>
  <w:style w:type="paragraph" w:styleId="Heading5">
    <w:name w:val="heading 5"/>
    <w:basedOn w:val="HeadingBase"/>
    <w:next w:val="Normal"/>
    <w:link w:val="Heading5Char"/>
    <w:qFormat/>
    <w:rsid w:val="00591BFA"/>
    <w:pPr>
      <w:spacing w:before="80"/>
      <w:outlineLvl w:val="4"/>
    </w:pPr>
    <w:rPr>
      <w:color w:val="918585"/>
      <w:sz w:val="20"/>
    </w:rPr>
  </w:style>
  <w:style w:type="paragraph" w:styleId="Heading6">
    <w:name w:val="heading 6"/>
    <w:basedOn w:val="HeadingBase"/>
    <w:next w:val="Normal"/>
    <w:link w:val="Heading6Char"/>
    <w:qFormat/>
    <w:rsid w:val="00591BFA"/>
    <w:pPr>
      <w:spacing w:before="60"/>
      <w:outlineLvl w:val="5"/>
    </w:pPr>
    <w:rPr>
      <w:color w:val="918585"/>
      <w:sz w:val="20"/>
    </w:rPr>
  </w:style>
  <w:style w:type="paragraph" w:styleId="Heading7">
    <w:name w:val="heading 7"/>
    <w:basedOn w:val="Normal"/>
    <w:next w:val="Normal"/>
    <w:link w:val="Heading7Char"/>
    <w:qFormat/>
    <w:rsid w:val="00591BFA"/>
    <w:pPr>
      <w:ind w:left="720"/>
      <w:outlineLvl w:val="6"/>
    </w:pPr>
    <w:rPr>
      <w:i/>
    </w:rPr>
  </w:style>
  <w:style w:type="paragraph" w:styleId="Heading8">
    <w:name w:val="heading 8"/>
    <w:basedOn w:val="Normal"/>
    <w:next w:val="Normal"/>
    <w:link w:val="Heading8Char"/>
    <w:qFormat/>
    <w:rsid w:val="00591BFA"/>
    <w:pPr>
      <w:ind w:left="720"/>
      <w:outlineLvl w:val="7"/>
    </w:pPr>
    <w:rPr>
      <w:i/>
    </w:rPr>
  </w:style>
  <w:style w:type="paragraph" w:styleId="Heading9">
    <w:name w:val="heading 9"/>
    <w:basedOn w:val="Normal"/>
    <w:next w:val="Normal"/>
    <w:link w:val="Heading9Char"/>
    <w:qFormat/>
    <w:rsid w:val="00591BFA"/>
    <w:pPr>
      <w:ind w:left="720"/>
      <w:outlineLvl w:val="8"/>
    </w:pPr>
    <w:rPr>
      <w:i/>
    </w:rPr>
  </w:style>
  <w:style w:type="character" w:default="1" w:styleId="DefaultParagraphFont">
    <w:name w:val="Default Paragraph Font"/>
    <w:uiPriority w:val="1"/>
    <w:unhideWhenUsed/>
    <w:rsid w:val="00591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BFA"/>
  </w:style>
  <w:style w:type="character" w:customStyle="1" w:styleId="Heading1Char">
    <w:name w:val="Heading 1 Char"/>
    <w:basedOn w:val="DefaultParagraphFont"/>
    <w:link w:val="Heading1"/>
    <w:rsid w:val="00591BFA"/>
    <w:rPr>
      <w:rFonts w:ascii="Times New Roman" w:eastAsia="Times New Roman" w:hAnsi="Times New Roman" w:cs="Times New Roman"/>
      <w:b/>
      <w:sz w:val="32"/>
      <w:szCs w:val="20"/>
      <w:lang w:eastAsia="en-US"/>
    </w:rPr>
  </w:style>
  <w:style w:type="paragraph" w:styleId="BodyText">
    <w:name w:val="Body Text"/>
    <w:basedOn w:val="Normal"/>
    <w:link w:val="BodyTextChar"/>
    <w:rsid w:val="00591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BFA"/>
    <w:rPr>
      <w:rFonts w:ascii="Times New Roman" w:eastAsia="Times New Roman" w:hAnsi="Times New Roman" w:cs="Times New Roman"/>
      <w:sz w:val="24"/>
      <w:lang w:val="en-US" w:eastAsia="en-US"/>
    </w:rPr>
  </w:style>
  <w:style w:type="paragraph" w:styleId="Footer">
    <w:name w:val="footer"/>
    <w:basedOn w:val="Normal"/>
    <w:link w:val="FooterChar"/>
    <w:rsid w:val="00591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BFA"/>
    <w:rPr>
      <w:rFonts w:ascii="Times New Roman" w:eastAsia="Times New Roman" w:hAnsi="Times New Roman" w:cs="Times New Roman"/>
      <w:sz w:val="16"/>
      <w:lang w:val="en-US" w:eastAsia="en-US"/>
    </w:rPr>
  </w:style>
  <w:style w:type="paragraph" w:styleId="ListBullet">
    <w:name w:val="List Bullet"/>
    <w:basedOn w:val="List"/>
    <w:rsid w:val="00591BFA"/>
    <w:pPr>
      <w:numPr>
        <w:numId w:val="13"/>
      </w:numPr>
      <w:tabs>
        <w:tab w:val="clear" w:pos="340"/>
      </w:tabs>
      <w:spacing w:before="40" w:after="40"/>
    </w:pPr>
  </w:style>
  <w:style w:type="character" w:customStyle="1" w:styleId="SpecialBold">
    <w:name w:val="Special Bold"/>
    <w:basedOn w:val="DefaultParagraphFont"/>
    <w:rsid w:val="00591BFA"/>
    <w:rPr>
      <w:b/>
      <w:spacing w:val="0"/>
    </w:rPr>
  </w:style>
  <w:style w:type="paragraph" w:styleId="ListBullet2">
    <w:name w:val="List Bullet 2"/>
    <w:basedOn w:val="List2"/>
    <w:rsid w:val="00591BFA"/>
    <w:pPr>
      <w:numPr>
        <w:numId w:val="14"/>
      </w:numPr>
      <w:tabs>
        <w:tab w:val="clear" w:pos="680"/>
      </w:tabs>
    </w:pPr>
  </w:style>
  <w:style w:type="paragraph" w:styleId="Header">
    <w:name w:val="header"/>
    <w:basedOn w:val="Normal"/>
    <w:link w:val="HeaderChar"/>
    <w:rsid w:val="00591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B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BFA"/>
    <w:pPr>
      <w:spacing w:before="240" w:after="120"/>
      <w:outlineLvl w:val="0"/>
    </w:pPr>
    <w:rPr>
      <w:rFonts w:ascii="Times New Roman" w:hAnsi="Times New Roman"/>
      <w:b/>
      <w:sz w:val="28"/>
    </w:rPr>
  </w:style>
  <w:style w:type="paragraph" w:customStyle="1" w:styleId="AllowPageBreak">
    <w:name w:val="AllowPageBreak"/>
    <w:rsid w:val="00591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1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B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B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BFA"/>
    <w:rPr>
      <w:rFonts w:ascii="Courier New" w:eastAsia="Times New Roman" w:hAnsi="Courier New" w:cs="Times New Roman"/>
      <w:i/>
      <w:szCs w:val="20"/>
      <w:lang w:val="en-US" w:eastAsia="en-US"/>
    </w:rPr>
  </w:style>
  <w:style w:type="paragraph" w:customStyle="1" w:styleId="HeadingBase">
    <w:name w:val="Heading Base"/>
    <w:rsid w:val="00591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BFA"/>
    <w:pPr>
      <w:tabs>
        <w:tab w:val="right" w:leader="dot" w:pos="9072"/>
      </w:tabs>
      <w:ind w:left="567"/>
    </w:pPr>
    <w:rPr>
      <w:szCs w:val="22"/>
    </w:rPr>
  </w:style>
  <w:style w:type="paragraph" w:customStyle="1" w:styleId="TOCBase">
    <w:name w:val="TOC Base"/>
    <w:rsid w:val="00591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BFA"/>
    <w:pPr>
      <w:tabs>
        <w:tab w:val="right" w:leader="dot" w:pos="9072"/>
      </w:tabs>
      <w:spacing w:before="40" w:after="40"/>
      <w:ind w:left="284"/>
    </w:pPr>
    <w:rPr>
      <w:rFonts w:ascii="Times New Roman" w:hAnsi="Times New Roman"/>
    </w:rPr>
  </w:style>
  <w:style w:type="paragraph" w:styleId="TOC1">
    <w:name w:val="toc 1"/>
    <w:basedOn w:val="TOCBase"/>
    <w:next w:val="Normal"/>
    <w:rsid w:val="00591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BFA"/>
    <w:pPr>
      <w:spacing w:before="5040"/>
      <w:jc w:val="center"/>
    </w:pPr>
    <w:rPr>
      <w:sz w:val="48"/>
      <w:szCs w:val="72"/>
      <w:lang w:val="en-US"/>
    </w:rPr>
  </w:style>
  <w:style w:type="character" w:customStyle="1" w:styleId="TitleChar">
    <w:name w:val="Title Char"/>
    <w:basedOn w:val="DefaultParagraphFont"/>
    <w:link w:val="Title"/>
    <w:rsid w:val="00591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BFA"/>
    <w:pPr>
      <w:tabs>
        <w:tab w:val="left" w:pos="3600"/>
        <w:tab w:val="left" w:pos="3958"/>
      </w:tabs>
    </w:pPr>
  </w:style>
  <w:style w:type="paragraph" w:styleId="List">
    <w:name w:val="List"/>
    <w:basedOn w:val="BodyText"/>
    <w:next w:val="BodyText"/>
    <w:rsid w:val="00591BFA"/>
    <w:pPr>
      <w:tabs>
        <w:tab w:val="left" w:pos="340"/>
      </w:tabs>
      <w:spacing w:before="60" w:after="60"/>
      <w:ind w:left="340" w:hanging="340"/>
    </w:pPr>
  </w:style>
  <w:style w:type="paragraph" w:customStyle="1" w:styleId="Note">
    <w:name w:val="Note"/>
    <w:basedOn w:val="BodyText"/>
    <w:rsid w:val="00591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BFA"/>
    <w:pPr>
      <w:framePr w:wrap="auto" w:hAnchor="text" w:y="6049"/>
    </w:pPr>
    <w:rPr>
      <w:color w:val="000000"/>
      <w:sz w:val="40"/>
    </w:rPr>
  </w:style>
  <w:style w:type="paragraph" w:customStyle="1" w:styleId="TOCTitle">
    <w:name w:val="TOCTitle"/>
    <w:basedOn w:val="Heading1"/>
    <w:rsid w:val="00591BFA"/>
    <w:pPr>
      <w:spacing w:after="240"/>
      <w:jc w:val="center"/>
      <w:outlineLvl w:val="9"/>
    </w:pPr>
    <w:rPr>
      <w:caps/>
    </w:rPr>
  </w:style>
  <w:style w:type="paragraph" w:customStyle="1" w:styleId="Version">
    <w:name w:val="Version"/>
    <w:rsid w:val="00591B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BFA"/>
    <w:pPr>
      <w:keepNext w:val="0"/>
      <w:tabs>
        <w:tab w:val="right" w:pos="4176"/>
      </w:tabs>
      <w:ind w:left="198" w:hanging="198"/>
    </w:pPr>
    <w:rPr>
      <w:rFonts w:ascii="Garamond" w:hAnsi="Garamond"/>
    </w:rPr>
  </w:style>
  <w:style w:type="paragraph" w:styleId="IndexHeading">
    <w:name w:val="index heading"/>
    <w:basedOn w:val="Normal"/>
    <w:next w:val="Index1"/>
    <w:semiHidden/>
    <w:rsid w:val="00591BFA"/>
    <w:pPr>
      <w:spacing w:before="120" w:after="120"/>
    </w:pPr>
    <w:rPr>
      <w:rFonts w:ascii="Arial" w:hAnsi="Arial"/>
      <w:b/>
      <w:color w:val="918585"/>
      <w:sz w:val="24"/>
    </w:rPr>
  </w:style>
  <w:style w:type="paragraph" w:customStyle="1" w:styleId="Chapter">
    <w:name w:val="Chapter"/>
    <w:basedOn w:val="Normal"/>
    <w:rsid w:val="00591BFA"/>
    <w:pPr>
      <w:spacing w:before="240"/>
    </w:pPr>
    <w:rPr>
      <w:rFonts w:ascii="Times New Roman" w:hAnsi="Times New Roman"/>
      <w:smallCaps/>
      <w:spacing w:val="80"/>
      <w:sz w:val="28"/>
    </w:rPr>
  </w:style>
  <w:style w:type="paragraph" w:customStyle="1" w:styleId="InChapter">
    <w:name w:val="InChapter"/>
    <w:basedOn w:val="Heading3"/>
    <w:rsid w:val="00591BFA"/>
    <w:pPr>
      <w:spacing w:after="240"/>
      <w:outlineLvl w:val="9"/>
    </w:pPr>
    <w:rPr>
      <w:noProof/>
    </w:rPr>
  </w:style>
  <w:style w:type="paragraph" w:styleId="Index2">
    <w:name w:val="index 2"/>
    <w:basedOn w:val="Normal"/>
    <w:next w:val="Normal"/>
    <w:semiHidden/>
    <w:rsid w:val="00591BFA"/>
    <w:pPr>
      <w:tabs>
        <w:tab w:val="right" w:pos="4176"/>
      </w:tabs>
      <w:ind w:left="568" w:hanging="284"/>
    </w:pPr>
    <w:rPr>
      <w:rFonts w:ascii="Garamond" w:hAnsi="Garamond"/>
    </w:rPr>
  </w:style>
  <w:style w:type="paragraph" w:customStyle="1" w:styleId="Byline">
    <w:name w:val="Byline"/>
    <w:rsid w:val="00591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BFA"/>
    <w:pPr>
      <w:tabs>
        <w:tab w:val="clear" w:pos="3600"/>
        <w:tab w:val="clear" w:pos="3958"/>
      </w:tabs>
      <w:jc w:val="right"/>
    </w:pPr>
  </w:style>
  <w:style w:type="character" w:styleId="Emphasis">
    <w:name w:val="Emphasis"/>
    <w:basedOn w:val="DefaultParagraphFont"/>
    <w:qFormat/>
    <w:rsid w:val="00591BFA"/>
    <w:rPr>
      <w:i/>
    </w:rPr>
  </w:style>
  <w:style w:type="paragraph" w:styleId="Caption">
    <w:name w:val="caption"/>
    <w:basedOn w:val="BodyText"/>
    <w:next w:val="Normal"/>
    <w:qFormat/>
    <w:rsid w:val="00591BFA"/>
    <w:pPr>
      <w:framePr w:w="2268" w:hSpace="181" w:vSpace="181" w:wrap="around" w:vAnchor="text" w:hAnchor="page" w:x="1135" w:y="285" w:anchorLock="1"/>
    </w:pPr>
    <w:rPr>
      <w:i/>
    </w:rPr>
  </w:style>
  <w:style w:type="paragraph" w:customStyle="1" w:styleId="MiniTOCTitle">
    <w:name w:val="MiniTOCTitle"/>
    <w:basedOn w:val="Heading4"/>
    <w:rsid w:val="00591BFA"/>
    <w:pPr>
      <w:spacing w:before="240"/>
      <w:outlineLvl w:val="9"/>
    </w:pPr>
    <w:rPr>
      <w:noProof/>
      <w:sz w:val="24"/>
    </w:rPr>
  </w:style>
  <w:style w:type="paragraph" w:customStyle="1" w:styleId="MiniTOCItem">
    <w:name w:val="MiniTOCItem"/>
    <w:basedOn w:val="ListBullet"/>
    <w:rsid w:val="00591BFA"/>
    <w:pPr>
      <w:numPr>
        <w:numId w:val="0"/>
      </w:numPr>
      <w:tabs>
        <w:tab w:val="right" w:leader="dot" w:pos="6521"/>
      </w:tabs>
      <w:spacing w:before="0" w:after="0"/>
    </w:pPr>
  </w:style>
  <w:style w:type="paragraph" w:customStyle="1" w:styleId="TOFTitle">
    <w:name w:val="TOFTitle"/>
    <w:basedOn w:val="TOCTitle"/>
    <w:rsid w:val="00591BFA"/>
  </w:style>
  <w:style w:type="paragraph" w:styleId="TableofFigures">
    <w:name w:val="table of figures"/>
    <w:basedOn w:val="Normal"/>
    <w:next w:val="Normal"/>
    <w:semiHidden/>
    <w:rsid w:val="00591BFA"/>
    <w:pPr>
      <w:tabs>
        <w:tab w:val="right" w:leader="dot" w:pos="9072"/>
      </w:tabs>
      <w:ind w:left="970" w:hanging="403"/>
    </w:pPr>
    <w:rPr>
      <w:rFonts w:ascii="Times New Roman" w:hAnsi="Times New Roman"/>
      <w:b/>
    </w:rPr>
  </w:style>
  <w:style w:type="paragraph" w:styleId="ListNumber">
    <w:name w:val="List Number"/>
    <w:basedOn w:val="List"/>
    <w:rsid w:val="00591BFA"/>
    <w:pPr>
      <w:numPr>
        <w:numId w:val="11"/>
      </w:numPr>
    </w:pPr>
  </w:style>
  <w:style w:type="character" w:customStyle="1" w:styleId="WingdingSymbols">
    <w:name w:val="Wingding Symbols"/>
    <w:rsid w:val="00591BFA"/>
    <w:rPr>
      <w:rFonts w:ascii="Wingdings" w:hAnsi="Wingdings"/>
    </w:rPr>
  </w:style>
  <w:style w:type="paragraph" w:customStyle="1" w:styleId="TableHeading">
    <w:name w:val="Table Heading"/>
    <w:basedOn w:val="HeadingBase"/>
    <w:rsid w:val="00591BFA"/>
    <w:pPr>
      <w:keepLines/>
      <w:pBdr>
        <w:bottom w:val="single" w:sz="6" w:space="1" w:color="918585"/>
      </w:pBdr>
      <w:spacing w:before="240"/>
    </w:pPr>
  </w:style>
  <w:style w:type="character" w:customStyle="1" w:styleId="HotSpot">
    <w:name w:val="HotSpot"/>
    <w:rsid w:val="00591BFA"/>
    <w:rPr>
      <w:color w:val="0033CC"/>
      <w:u w:val="none"/>
    </w:rPr>
  </w:style>
  <w:style w:type="paragraph" w:customStyle="1" w:styleId="BodyTextRight">
    <w:name w:val="Body Text Right"/>
    <w:basedOn w:val="BodyText"/>
    <w:rsid w:val="00591BFA"/>
    <w:pPr>
      <w:spacing w:before="0" w:after="0"/>
      <w:jc w:val="right"/>
    </w:pPr>
  </w:style>
  <w:style w:type="paragraph" w:styleId="Index3">
    <w:name w:val="index 3"/>
    <w:basedOn w:val="ListNumber2"/>
    <w:next w:val="Normal"/>
    <w:semiHidden/>
    <w:rsid w:val="00591BFA"/>
    <w:pPr>
      <w:numPr>
        <w:numId w:val="0"/>
      </w:numPr>
      <w:tabs>
        <w:tab w:val="right" w:leader="dot" w:pos="4176"/>
      </w:tabs>
    </w:pPr>
  </w:style>
  <w:style w:type="paragraph" w:styleId="ListNumber2">
    <w:name w:val="List Number 2"/>
    <w:basedOn w:val="List2"/>
    <w:rsid w:val="00591BFA"/>
    <w:pPr>
      <w:numPr>
        <w:numId w:val="10"/>
      </w:numPr>
      <w:tabs>
        <w:tab w:val="clear" w:pos="1060"/>
      </w:tabs>
    </w:pPr>
  </w:style>
  <w:style w:type="paragraph" w:customStyle="1" w:styleId="MarginNote">
    <w:name w:val="Margin Note"/>
    <w:basedOn w:val="BodyText"/>
    <w:rsid w:val="00591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B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BFA"/>
    <w:rPr>
      <w:sz w:val="32"/>
    </w:rPr>
  </w:style>
  <w:style w:type="paragraph" w:customStyle="1" w:styleId="HeadingProcedure">
    <w:name w:val="Heading Procedure"/>
    <w:basedOn w:val="HeadingBase"/>
    <w:next w:val="Normal"/>
    <w:rsid w:val="00591BFA"/>
    <w:pPr>
      <w:tabs>
        <w:tab w:val="left" w:pos="0"/>
      </w:tabs>
      <w:spacing w:before="120" w:after="60"/>
    </w:pPr>
    <w:rPr>
      <w:i/>
      <w:color w:val="918585"/>
      <w:sz w:val="22"/>
    </w:rPr>
  </w:style>
  <w:style w:type="paragraph" w:customStyle="1" w:styleId="TableBodyText">
    <w:name w:val="Table Body Text"/>
    <w:basedOn w:val="BodyText"/>
    <w:rsid w:val="00591BFA"/>
    <w:pPr>
      <w:spacing w:before="60" w:after="60"/>
    </w:pPr>
  </w:style>
  <w:style w:type="paragraph" w:styleId="ListContinue">
    <w:name w:val="List Continue"/>
    <w:basedOn w:val="List"/>
    <w:rsid w:val="00591BFA"/>
    <w:pPr>
      <w:ind w:firstLine="0"/>
    </w:pPr>
  </w:style>
  <w:style w:type="paragraph" w:customStyle="1" w:styleId="ListNote">
    <w:name w:val="List Note"/>
    <w:basedOn w:val="List"/>
    <w:rsid w:val="00591BFA"/>
    <w:pPr>
      <w:pBdr>
        <w:top w:val="single" w:sz="6" w:space="2" w:color="918585"/>
        <w:bottom w:val="single" w:sz="6" w:space="2" w:color="918585"/>
      </w:pBdr>
      <w:tabs>
        <w:tab w:val="left" w:pos="1021"/>
      </w:tabs>
      <w:ind w:firstLine="0"/>
    </w:pPr>
  </w:style>
  <w:style w:type="paragraph" w:customStyle="1" w:styleId="Warning">
    <w:name w:val="Warning"/>
    <w:basedOn w:val="BodyText"/>
    <w:rsid w:val="00591BFA"/>
    <w:pPr>
      <w:shd w:val="clear" w:color="auto" w:fill="D9D9D9"/>
      <w:tabs>
        <w:tab w:val="left" w:pos="992"/>
      </w:tabs>
      <w:ind w:left="119" w:right="119"/>
    </w:pPr>
    <w:rPr>
      <w:sz w:val="20"/>
    </w:rPr>
  </w:style>
  <w:style w:type="paragraph" w:customStyle="1" w:styleId="MarginIcons">
    <w:name w:val="Margin Icons"/>
    <w:basedOn w:val="BodyText"/>
    <w:rsid w:val="00591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BFA"/>
    <w:rPr>
      <w:rFonts w:ascii="Courier New" w:hAnsi="Courier New"/>
    </w:rPr>
  </w:style>
  <w:style w:type="paragraph" w:customStyle="1" w:styleId="NoteBullet">
    <w:name w:val="Note Bullet"/>
    <w:basedOn w:val="Note"/>
    <w:rsid w:val="00591BFA"/>
    <w:pPr>
      <w:tabs>
        <w:tab w:val="clear" w:pos="680"/>
      </w:tabs>
      <w:spacing w:before="60" w:after="60"/>
    </w:pPr>
  </w:style>
  <w:style w:type="paragraph" w:customStyle="1" w:styleId="SubHeading2">
    <w:name w:val="SubHeading2"/>
    <w:basedOn w:val="HeadingBase"/>
    <w:rsid w:val="00591BFA"/>
    <w:pPr>
      <w:spacing w:before="240" w:after="60"/>
    </w:pPr>
    <w:rPr>
      <w:sz w:val="20"/>
    </w:rPr>
  </w:style>
  <w:style w:type="paragraph" w:customStyle="1" w:styleId="SubHeading1">
    <w:name w:val="SubHeading1"/>
    <w:basedOn w:val="HeadingBase"/>
    <w:rsid w:val="00591BFA"/>
    <w:pPr>
      <w:spacing w:before="240" w:after="60"/>
    </w:pPr>
    <w:rPr>
      <w:color w:val="918585"/>
      <w:sz w:val="22"/>
    </w:rPr>
  </w:style>
  <w:style w:type="paragraph" w:customStyle="1" w:styleId="SideHeading">
    <w:name w:val="Side Heading"/>
    <w:basedOn w:val="HeadingBase"/>
    <w:rsid w:val="00591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BFA"/>
    <w:pPr>
      <w:numPr>
        <w:numId w:val="12"/>
      </w:numPr>
    </w:pPr>
  </w:style>
  <w:style w:type="paragraph" w:styleId="PlainText">
    <w:name w:val="Plain Text"/>
    <w:basedOn w:val="Normal"/>
    <w:link w:val="PlainTextChar"/>
    <w:rsid w:val="00591BFA"/>
    <w:rPr>
      <w:sz w:val="20"/>
    </w:rPr>
  </w:style>
  <w:style w:type="character" w:customStyle="1" w:styleId="PlainTextChar">
    <w:name w:val="Plain Text Char"/>
    <w:basedOn w:val="DefaultParagraphFont"/>
    <w:link w:val="PlainText"/>
    <w:rsid w:val="00591B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BFA"/>
    <w:rPr>
      <w:b/>
      <w:smallCaps/>
    </w:rPr>
  </w:style>
  <w:style w:type="paragraph" w:customStyle="1" w:styleId="TableListNumber">
    <w:name w:val="Table List Number"/>
    <w:basedOn w:val="ListNumber"/>
    <w:rsid w:val="00591BFA"/>
    <w:pPr>
      <w:numPr>
        <w:numId w:val="0"/>
      </w:numPr>
    </w:pPr>
  </w:style>
  <w:style w:type="paragraph" w:styleId="TOC4">
    <w:name w:val="toc 4"/>
    <w:basedOn w:val="TOCBase"/>
    <w:next w:val="Normal"/>
    <w:semiHidden/>
    <w:rsid w:val="00591BFA"/>
    <w:pPr>
      <w:tabs>
        <w:tab w:val="right" w:leader="dot" w:pos="9071"/>
      </w:tabs>
      <w:ind w:left="1701"/>
    </w:pPr>
  </w:style>
  <w:style w:type="paragraph" w:customStyle="1" w:styleId="ListAlpha">
    <w:name w:val="List Alpha"/>
    <w:basedOn w:val="List"/>
    <w:rsid w:val="00591BFA"/>
    <w:pPr>
      <w:numPr>
        <w:numId w:val="9"/>
      </w:numPr>
    </w:pPr>
  </w:style>
  <w:style w:type="paragraph" w:customStyle="1" w:styleId="ListAlpha2">
    <w:name w:val="List Alpha 2"/>
    <w:basedOn w:val="List2"/>
    <w:rsid w:val="00591BFA"/>
    <w:pPr>
      <w:numPr>
        <w:numId w:val="8"/>
      </w:numPr>
    </w:pPr>
  </w:style>
  <w:style w:type="paragraph" w:styleId="List2">
    <w:name w:val="List 2"/>
    <w:basedOn w:val="BodyText"/>
    <w:rsid w:val="00591BFA"/>
    <w:pPr>
      <w:tabs>
        <w:tab w:val="left" w:pos="680"/>
      </w:tabs>
      <w:spacing w:before="60" w:after="60"/>
      <w:ind w:left="680" w:hanging="340"/>
    </w:pPr>
  </w:style>
  <w:style w:type="paragraph" w:styleId="List3">
    <w:name w:val="List 3"/>
    <w:basedOn w:val="BodyText"/>
    <w:rsid w:val="00591BFA"/>
    <w:pPr>
      <w:tabs>
        <w:tab w:val="left" w:pos="1021"/>
      </w:tabs>
      <w:spacing w:before="60" w:after="60"/>
      <w:ind w:left="1020" w:hanging="340"/>
    </w:pPr>
  </w:style>
  <w:style w:type="paragraph" w:styleId="List4">
    <w:name w:val="List 4"/>
    <w:basedOn w:val="BodyText"/>
    <w:rsid w:val="00591BFA"/>
    <w:pPr>
      <w:tabs>
        <w:tab w:val="left" w:pos="1361"/>
      </w:tabs>
      <w:spacing w:before="60" w:after="60"/>
      <w:ind w:left="1361" w:hanging="340"/>
    </w:pPr>
  </w:style>
  <w:style w:type="paragraph" w:styleId="List5">
    <w:name w:val="List 5"/>
    <w:basedOn w:val="BodyText"/>
    <w:rsid w:val="00591BFA"/>
    <w:pPr>
      <w:tabs>
        <w:tab w:val="left" w:pos="1701"/>
      </w:tabs>
      <w:spacing w:before="60" w:after="60"/>
      <w:ind w:left="1701" w:hanging="340"/>
    </w:pPr>
  </w:style>
  <w:style w:type="paragraph" w:styleId="ListBullet3">
    <w:name w:val="List Bullet 3"/>
    <w:basedOn w:val="List3"/>
    <w:rsid w:val="00591BFA"/>
    <w:pPr>
      <w:numPr>
        <w:numId w:val="15"/>
      </w:numPr>
      <w:tabs>
        <w:tab w:val="clear" w:pos="1021"/>
      </w:tabs>
      <w:ind w:left="1037" w:hanging="357"/>
    </w:pPr>
  </w:style>
  <w:style w:type="paragraph" w:styleId="ListBullet4">
    <w:name w:val="List Bullet 4"/>
    <w:basedOn w:val="List4"/>
    <w:rsid w:val="00591BFA"/>
    <w:pPr>
      <w:numPr>
        <w:numId w:val="3"/>
      </w:numPr>
    </w:pPr>
  </w:style>
  <w:style w:type="paragraph" w:styleId="ListBullet5">
    <w:name w:val="List Bullet 5"/>
    <w:basedOn w:val="List5"/>
    <w:rsid w:val="00591BFA"/>
    <w:pPr>
      <w:numPr>
        <w:numId w:val="4"/>
      </w:numPr>
    </w:pPr>
  </w:style>
  <w:style w:type="paragraph" w:styleId="ListContinue2">
    <w:name w:val="List Continue 2"/>
    <w:basedOn w:val="List2"/>
    <w:rsid w:val="00591BFA"/>
    <w:pPr>
      <w:ind w:firstLine="0"/>
    </w:pPr>
  </w:style>
  <w:style w:type="paragraph" w:styleId="ListContinue3">
    <w:name w:val="List Continue 3"/>
    <w:basedOn w:val="List3"/>
    <w:rsid w:val="00591BFA"/>
    <w:pPr>
      <w:ind w:left="1021" w:firstLine="0"/>
    </w:pPr>
  </w:style>
  <w:style w:type="paragraph" w:styleId="ListContinue4">
    <w:name w:val="List Continue 4"/>
    <w:basedOn w:val="List4"/>
    <w:rsid w:val="00591BFA"/>
    <w:pPr>
      <w:ind w:firstLine="0"/>
    </w:pPr>
  </w:style>
  <w:style w:type="paragraph" w:styleId="ListContinue5">
    <w:name w:val="List Continue 5"/>
    <w:basedOn w:val="List5"/>
    <w:rsid w:val="00591BFA"/>
    <w:pPr>
      <w:ind w:firstLine="0"/>
    </w:pPr>
  </w:style>
  <w:style w:type="paragraph" w:styleId="ListNumber3">
    <w:name w:val="List Number 3"/>
    <w:basedOn w:val="List3"/>
    <w:rsid w:val="00591BFA"/>
    <w:pPr>
      <w:numPr>
        <w:numId w:val="5"/>
      </w:numPr>
    </w:pPr>
  </w:style>
  <w:style w:type="paragraph" w:styleId="ListNumber4">
    <w:name w:val="List Number 4"/>
    <w:basedOn w:val="List4"/>
    <w:rsid w:val="00591BFA"/>
    <w:pPr>
      <w:numPr>
        <w:numId w:val="6"/>
      </w:numPr>
    </w:pPr>
  </w:style>
  <w:style w:type="paragraph" w:styleId="ListNumber5">
    <w:name w:val="List Number 5"/>
    <w:basedOn w:val="List5"/>
    <w:rsid w:val="00591BFA"/>
    <w:pPr>
      <w:numPr>
        <w:numId w:val="7"/>
      </w:numPr>
    </w:pPr>
  </w:style>
  <w:style w:type="paragraph" w:styleId="BlockText">
    <w:name w:val="Block Text"/>
    <w:basedOn w:val="Normal"/>
    <w:rsid w:val="00591BFA"/>
    <w:pPr>
      <w:spacing w:after="120"/>
      <w:ind w:left="1440" w:right="1440"/>
    </w:pPr>
  </w:style>
  <w:style w:type="character" w:customStyle="1" w:styleId="Subscript">
    <w:name w:val="Subscript"/>
    <w:basedOn w:val="DefaultParagraphFont"/>
    <w:rsid w:val="00591BFA"/>
    <w:rPr>
      <w:sz w:val="16"/>
      <w:vertAlign w:val="subscript"/>
    </w:rPr>
  </w:style>
  <w:style w:type="character" w:customStyle="1" w:styleId="Superscript">
    <w:name w:val="Superscript"/>
    <w:basedOn w:val="DefaultParagraphFont"/>
    <w:rsid w:val="00591BFA"/>
    <w:rPr>
      <w:sz w:val="16"/>
      <w:vertAlign w:val="superscript"/>
    </w:rPr>
  </w:style>
  <w:style w:type="character" w:customStyle="1" w:styleId="Symbols">
    <w:name w:val="Symbols"/>
    <w:basedOn w:val="DefaultParagraphFont"/>
    <w:rsid w:val="00591BFA"/>
    <w:rPr>
      <w:rFonts w:ascii="Symbol" w:hAnsi="Symbol"/>
    </w:rPr>
  </w:style>
  <w:style w:type="character" w:customStyle="1" w:styleId="MenuOptions">
    <w:name w:val="Menu Options"/>
    <w:basedOn w:val="DefaultParagraphFont"/>
    <w:rsid w:val="00591BFA"/>
    <w:rPr>
      <w:rFonts w:ascii="Arial Narrow" w:hAnsi="Arial Narrow"/>
      <w:smallCaps/>
    </w:rPr>
  </w:style>
  <w:style w:type="character" w:customStyle="1" w:styleId="Buttons">
    <w:name w:val="Buttons"/>
    <w:basedOn w:val="DefaultParagraphFont"/>
    <w:rsid w:val="00591BFA"/>
    <w:rPr>
      <w:b/>
    </w:rPr>
  </w:style>
  <w:style w:type="character" w:customStyle="1" w:styleId="Underlined">
    <w:name w:val="Underlined"/>
    <w:basedOn w:val="DefaultParagraphFont"/>
    <w:rsid w:val="00591BFA"/>
    <w:rPr>
      <w:u w:val="single"/>
    </w:rPr>
  </w:style>
  <w:style w:type="paragraph" w:customStyle="1" w:styleId="TableBodyTextRight">
    <w:name w:val="Table Body Text Right"/>
    <w:basedOn w:val="TableBodyText"/>
    <w:rsid w:val="00591BFA"/>
    <w:pPr>
      <w:widowControl w:val="0"/>
      <w:autoSpaceDE w:val="0"/>
      <w:autoSpaceDN w:val="0"/>
      <w:adjustRightInd w:val="0"/>
      <w:jc w:val="right"/>
    </w:pPr>
    <w:rPr>
      <w:rFonts w:cs="Arial"/>
      <w:szCs w:val="18"/>
    </w:rPr>
  </w:style>
  <w:style w:type="paragraph" w:customStyle="1" w:styleId="CopyrightText">
    <w:name w:val="Copyright Text"/>
    <w:basedOn w:val="BodyText"/>
    <w:rsid w:val="00591BFA"/>
    <w:rPr>
      <w:sz w:val="18"/>
    </w:rPr>
  </w:style>
  <w:style w:type="paragraph" w:customStyle="1" w:styleId="BodySmallRight">
    <w:name w:val="Body Small Right"/>
    <w:basedOn w:val="BodyTextRight"/>
    <w:rsid w:val="00591BFA"/>
    <w:rPr>
      <w:sz w:val="18"/>
      <w:szCs w:val="18"/>
    </w:rPr>
  </w:style>
  <w:style w:type="paragraph" w:customStyle="1" w:styleId="MarginEdition">
    <w:name w:val="Margin Edition"/>
    <w:basedOn w:val="MarginNote"/>
    <w:rsid w:val="00591BFA"/>
    <w:pPr>
      <w:spacing w:before="0" w:after="0"/>
    </w:pPr>
    <w:rPr>
      <w:rFonts w:ascii="Times New Roman" w:hAnsi="Times New Roman"/>
      <w:color w:val="999999"/>
    </w:rPr>
  </w:style>
  <w:style w:type="paragraph" w:customStyle="1" w:styleId="Spacer">
    <w:name w:val="Spacer"/>
    <w:basedOn w:val="Normal"/>
    <w:rsid w:val="00591BFA"/>
    <w:rPr>
      <w:sz w:val="2"/>
      <w:szCs w:val="2"/>
    </w:rPr>
  </w:style>
  <w:style w:type="character" w:customStyle="1" w:styleId="Small">
    <w:name w:val="Small"/>
    <w:basedOn w:val="DefaultParagraphFont"/>
    <w:rsid w:val="00591BFA"/>
    <w:rPr>
      <w:sz w:val="16"/>
    </w:rPr>
  </w:style>
  <w:style w:type="paragraph" w:customStyle="1" w:styleId="WideTable">
    <w:name w:val="Wide Table"/>
    <w:basedOn w:val="Normal"/>
    <w:rsid w:val="00591BFA"/>
    <w:pPr>
      <w:ind w:left="-1418"/>
    </w:pPr>
    <w:rPr>
      <w:sz w:val="2"/>
      <w:szCs w:val="2"/>
    </w:rPr>
  </w:style>
  <w:style w:type="character" w:styleId="PageNumber">
    <w:name w:val="page number"/>
    <w:basedOn w:val="DefaultParagraphFont"/>
    <w:rsid w:val="00591BFA"/>
  </w:style>
  <w:style w:type="paragraph" w:styleId="Quote">
    <w:name w:val="Quote"/>
    <w:basedOn w:val="Heading1"/>
    <w:link w:val="QuoteChar"/>
    <w:qFormat/>
    <w:rsid w:val="00591BFA"/>
    <w:rPr>
      <w:b w:val="0"/>
      <w:sz w:val="72"/>
      <w:szCs w:val="72"/>
      <w:lang w:val="en-NZ"/>
    </w:rPr>
  </w:style>
  <w:style w:type="character" w:customStyle="1" w:styleId="QuoteChar">
    <w:name w:val="Quote Char"/>
    <w:basedOn w:val="DefaultParagraphFont"/>
    <w:link w:val="Quote"/>
    <w:rsid w:val="00591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BFA"/>
    <w:pPr>
      <w:pageBreakBefore/>
    </w:pPr>
  </w:style>
  <w:style w:type="paragraph" w:customStyle="1" w:styleId="Border">
    <w:name w:val="Border"/>
    <w:basedOn w:val="Normal"/>
    <w:qFormat/>
    <w:rsid w:val="00591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BFA"/>
    <w:rPr>
      <w:b/>
      <w:bCs/>
      <w:i/>
      <w:iCs/>
      <w:color w:val="auto"/>
    </w:rPr>
  </w:style>
  <w:style w:type="paragraph" w:styleId="IntenseQuote">
    <w:name w:val="Intense Quote"/>
    <w:basedOn w:val="Normal"/>
    <w:next w:val="Normal"/>
    <w:link w:val="IntenseQuoteChar"/>
    <w:uiPriority w:val="30"/>
    <w:qFormat/>
    <w:rsid w:val="00591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B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BFA"/>
    <w:rPr>
      <w:smallCaps/>
      <w:color w:val="auto"/>
      <w:u w:val="single"/>
    </w:rPr>
  </w:style>
  <w:style w:type="character" w:styleId="IntenseReference">
    <w:name w:val="Intense Reference"/>
    <w:basedOn w:val="DefaultParagraphFont"/>
    <w:uiPriority w:val="32"/>
    <w:qFormat/>
    <w:rsid w:val="00591BFA"/>
    <w:rPr>
      <w:b/>
      <w:bCs/>
      <w:smallCaps/>
      <w:color w:val="auto"/>
      <w:spacing w:val="5"/>
      <w:u w:val="single"/>
    </w:rPr>
  </w:style>
  <w:style w:type="paragraph" w:customStyle="1" w:styleId="2ColumnHeading">
    <w:name w:val="2Column Heading"/>
    <w:basedOn w:val="BodyText"/>
    <w:qFormat/>
    <w:rsid w:val="00591BFA"/>
    <w:pPr>
      <w:spacing w:after="60"/>
      <w:ind w:left="-2268"/>
    </w:pPr>
    <w:rPr>
      <w:b/>
    </w:rPr>
  </w:style>
  <w:style w:type="paragraph" w:customStyle="1" w:styleId="Heading1TOC">
    <w:name w:val="Heading1 TOC"/>
    <w:basedOn w:val="Normal"/>
    <w:qFormat/>
    <w:rsid w:val="00591BFA"/>
    <w:pPr>
      <w:spacing w:before="240" w:after="120"/>
    </w:pPr>
    <w:rPr>
      <w:rFonts w:ascii="Times New Roman" w:hAnsi="Times New Roman"/>
      <w:b/>
      <w:sz w:val="32"/>
    </w:rPr>
  </w:style>
  <w:style w:type="paragraph" w:customStyle="1" w:styleId="Heading2TOC">
    <w:name w:val="Heading2 TOC"/>
    <w:basedOn w:val="Normal"/>
    <w:qFormat/>
    <w:rsid w:val="00591BFA"/>
    <w:pPr>
      <w:spacing w:before="240" w:after="60"/>
    </w:pPr>
    <w:rPr>
      <w:rFonts w:ascii="Times New Roman" w:hAnsi="Times New Roman"/>
      <w:b/>
      <w:sz w:val="28"/>
    </w:rPr>
  </w:style>
  <w:style w:type="character" w:customStyle="1" w:styleId="Underline">
    <w:name w:val="Underline"/>
    <w:basedOn w:val="DefaultParagraphFont"/>
    <w:qFormat/>
    <w:rsid w:val="00591BFA"/>
    <w:rPr>
      <w:u w:val="single"/>
    </w:rPr>
  </w:style>
  <w:style w:type="character" w:customStyle="1" w:styleId="BoldandItalics">
    <w:name w:val="Bold and Italics"/>
    <w:qFormat/>
    <w:rsid w:val="00591BFA"/>
    <w:rPr>
      <w:b/>
      <w:i/>
      <w:u w:val="none"/>
    </w:rPr>
  </w:style>
  <w:style w:type="paragraph" w:styleId="BalloonText">
    <w:name w:val="Balloon Text"/>
    <w:basedOn w:val="Normal"/>
    <w:link w:val="BalloonTextChar"/>
    <w:rsid w:val="00591BFA"/>
    <w:rPr>
      <w:rFonts w:ascii="Tahoma" w:hAnsi="Tahoma" w:cs="Tahoma"/>
      <w:sz w:val="16"/>
      <w:szCs w:val="16"/>
    </w:rPr>
  </w:style>
  <w:style w:type="character" w:customStyle="1" w:styleId="BalloonTextChar">
    <w:name w:val="Balloon Text Char"/>
    <w:basedOn w:val="DefaultParagraphFont"/>
    <w:link w:val="BalloonText"/>
    <w:rsid w:val="00591B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B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2475</Words>
  <Characters>15697</Characters>
  <Application>Microsoft Office Word</Application>
  <DocSecurity>0</DocSecurity>
  <Lines>659</Lines>
  <Paragraphs>278</Paragraphs>
  <ScaleCrop>false</ScaleCrop>
  <Company>Author-it Software Corporation Ltd.</Company>
  <LinksUpToDate>false</LinksUpToDate>
  <CharactersWithSpaces>17952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UETTDRIS01B Install electrical equipment (network infrastructure).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2012-05-26T12:09:00Z</dcterms:modified>
</cp:coreProperties>
</file>