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92B" w:rsidP="008D692B">
      <w:pPr>
        <w:pStyle w:val="Title"/>
      </w:pPr>
      <w:bookmarkStart w:id="0" w:name="_GoBack"/>
      <w:bookmarkEnd w:id="0"/>
      <w:r>
        <w:fldChar w:fldCharType="begin"/>
      </w:r>
      <w:r>
        <w:instrText xml:space="preserve"> TITLE   \* MERGEFORMAT </w:instrText>
      </w:r>
      <w:r>
        <w:fldChar w:fldCharType="separate"/>
      </w:r>
      <w:r>
        <w:t>UETTDREL04B Working safely near live electrical apparatus as non electrical worker</w:t>
      </w:r>
      <w:r>
        <w:fldChar w:fldCharType="end"/>
      </w:r>
    </w:p>
    <w:p w:rsidR="008D692B" w:rsidP="008D692B">
      <w:pPr>
        <w:pStyle w:val="Version"/>
        <w:sectPr w:rsidSect="00A122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23E" w:rsidP="00A1223E">
      <w:pPr>
        <w:pStyle w:val="SuperHeading"/>
      </w:pPr>
      <w:r w:rsidRPr="00A1223E">
        <w:t>UETTDREL04B Working safely near live electrical apparatus as non electrical worker</w:t>
      </w:r>
    </w:p>
    <w:p w:rsidR="00000000" w:rsidRPr="00A1223E" w:rsidP="00A1223E">
      <w:pPr>
        <w:pStyle w:val="Heading1"/>
      </w:pPr>
      <w:bookmarkStart w:id="1" w:name="O_275461"/>
      <w:bookmarkEnd w:id="1"/>
      <w:r w:rsidRPr="00A1223E">
        <w:t>Modification History</w:t>
      </w:r>
    </w:p>
    <w:p w:rsidR="00000000" w:rsidRPr="00A1223E" w:rsidP="00A1223E">
      <w:pPr>
        <w:pStyle w:val="BodyText"/>
      </w:pPr>
      <w:r w:rsidRPr="00A1223E">
        <w:t>Not Applicable</w:t>
      </w:r>
    </w:p>
    <w:p w:rsidR="00000000" w:rsidRPr="00A1223E" w:rsidP="00A1223E">
      <w:pPr>
        <w:pStyle w:val="AllowPageBreak"/>
      </w:pPr>
    </w:p>
    <w:p w:rsidR="00000000" w:rsidRPr="00A1223E" w:rsidP="00A1223E">
      <w:pPr>
        <w:pStyle w:val="Heading1"/>
      </w:pPr>
      <w:bookmarkStart w:id="2" w:name="O_231375"/>
      <w:bookmarkEnd w:id="2"/>
      <w:r w:rsidRPr="00A1223E">
        <w:t>Unit Descriptor</w:t>
      </w:r>
    </w:p>
    <w:tbl>
      <w:tblPr>
        <w:tblW w:w="0" w:type="auto"/>
        <w:tblLayout w:type="fixed"/>
        <w:tblCellMar>
          <w:left w:w="62" w:type="dxa"/>
          <w:right w:w="62" w:type="dxa"/>
        </w:tblCellMar>
        <w:tblLook w:val="0000"/>
      </w:tblPr>
      <w:tblGrid>
        <w:gridCol w:w="2700"/>
        <w:gridCol w:w="5760"/>
      </w:tblGrid>
      <w:tr w:rsidTr="008D69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1</w:t>
            </w:r>
            <w:r w:rsidRPr="00A1223E">
              <w:t xml:space="preserve">) </w:t>
            </w:r>
          </w:p>
          <w:p w:rsidR="00000000" w:rsidP="00A1223E">
            <w:pPr>
              <w:pStyle w:val="BodyText"/>
              <w:rPr>
                <w:lang w:val="en-NZ"/>
              </w:rPr>
            </w:pPr>
            <w:r w:rsidRPr="00A1223E">
              <w:rPr>
                <w:rStyle w:val="SpecialBold"/>
              </w:rPr>
              <w:t>1</w:t>
            </w:r>
            <w:r w:rsidRPr="00A1223E">
              <w:t>.</w:t>
            </w:r>
            <w:r w:rsidRPr="00A1223E">
              <w:rPr>
                <w:rStyle w:val="SpecialBold"/>
              </w:rPr>
              <w:t>1</w:t>
            </w:r>
            <w:r w:rsidRPr="00A1223E">
              <w:t xml:space="preserve">) </w:t>
            </w:r>
            <w:r w:rsidRPr="00A1223E">
              <w:rPr>
                <w:rStyle w:val="SpecialBold"/>
              </w:rPr>
              <w:t>Descriptor</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This Competency Standard Unit covers compliance with working safely up to the defined "safe approach distance" near energised electrical apparatus (inc. electrical powerlines) for non-electrical worker. It includes work functions that may be performed, suc</w:t>
            </w:r>
            <w:r w:rsidRPr="00A1223E">
              <w:t>h as vegetation control, scaffolding, rigging, painting, and/or any other activity that requires working safely and complying with requirements and/or established procedures near live electrical apparatus by a non-electrical worker. Also included is the pr</w:t>
            </w:r>
            <w:r w:rsidRPr="00A1223E">
              <w:t>eparation of risk assessment control measures that encompass job safety assessment. It does not include any work that is or may be performed by other competent operatives within the defined "safe working zone". The defined "safe working zone" is that so de</w:t>
            </w:r>
            <w:r w:rsidRPr="00A1223E">
              <w:t>fined by relevant State or Territory regulatory agencies/bodies, local government legislation, Industry bi-partite body - Guidelines/Codes of Practices or other related requirements for Safe work and access near live Electrical and Mechanical Apparatus.</w:t>
            </w:r>
          </w:p>
        </w:tc>
      </w:tr>
    </w:tbl>
    <w:p w:rsidR="008D692B" w:rsidP="00A1223E">
      <w:pPr>
        <w:pStyle w:val="BodyText"/>
      </w:pPr>
    </w:p>
    <w:p w:rsidR="008D692B" w:rsidP="00A1223E">
      <w:pPr>
        <w:pStyle w:val="BodyText"/>
      </w:pPr>
    </w:p>
    <w:p w:rsidR="00000000" w:rsidRPr="00A1223E" w:rsidP="00A1223E">
      <w:pPr>
        <w:pStyle w:val="Heading1"/>
      </w:pPr>
      <w:bookmarkStart w:id="3" w:name="O_231380"/>
      <w:bookmarkEnd w:id="3"/>
      <w:r w:rsidRPr="00A1223E">
        <w:t>Application of the Unit</w:t>
      </w:r>
    </w:p>
    <w:tbl>
      <w:tblPr>
        <w:tblW w:w="0" w:type="auto"/>
        <w:tblLayout w:type="fixed"/>
        <w:tblCellMar>
          <w:left w:w="62" w:type="dxa"/>
          <w:right w:w="62" w:type="dxa"/>
        </w:tblCellMar>
        <w:tblLook w:val="0000"/>
      </w:tblPr>
      <w:tblGrid>
        <w:gridCol w:w="2700"/>
        <w:gridCol w:w="5760"/>
      </w:tblGrid>
      <w:tr w:rsidTr="008D69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4</w:t>
            </w:r>
            <w:r w:rsidRPr="00A1223E">
              <w:t>)</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This competency standards unit shall apply to Transmission, Distribution, Rail Traction, Telecommunications and Vegetation Management Control industry sectors.</w:t>
            </w:r>
          </w:p>
        </w:tc>
      </w:tr>
    </w:tbl>
    <w:p w:rsidR="008D692B" w:rsidP="00A1223E">
      <w:pPr>
        <w:pStyle w:val="BodyText"/>
      </w:pPr>
    </w:p>
    <w:p w:rsidR="008D692B" w:rsidP="00A1223E">
      <w:pPr>
        <w:pStyle w:val="BodyText"/>
      </w:pPr>
    </w:p>
    <w:p w:rsidR="00000000" w:rsidRPr="00A1223E" w:rsidP="00A1223E">
      <w:pPr>
        <w:pStyle w:val="Heading1"/>
      </w:pPr>
      <w:bookmarkStart w:id="4" w:name="O_231376"/>
      <w:bookmarkEnd w:id="4"/>
      <w:r w:rsidRPr="00A1223E">
        <w:t>Licensing/Regulatory Information</w:t>
      </w:r>
    </w:p>
    <w:tbl>
      <w:tblPr>
        <w:tblW w:w="0" w:type="auto"/>
        <w:tblLayout w:type="fixed"/>
        <w:tblCellMar>
          <w:left w:w="62" w:type="dxa"/>
          <w:right w:w="62" w:type="dxa"/>
        </w:tblCellMar>
        <w:tblLook w:val="0000"/>
      </w:tblPr>
      <w:tblGrid>
        <w:gridCol w:w="8460"/>
      </w:tblGrid>
      <w:tr w:rsidTr="008D692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1</w:t>
            </w:r>
            <w:r w:rsidRPr="00A1223E">
              <w:t>.</w:t>
            </w:r>
            <w:r w:rsidRPr="00A1223E">
              <w:rPr>
                <w:rStyle w:val="SpecialBold"/>
              </w:rPr>
              <w:t>2</w:t>
            </w:r>
            <w:r w:rsidRPr="00A1223E">
              <w:t xml:space="preserve">) </w:t>
            </w:r>
            <w:r w:rsidRPr="00A1223E">
              <w:rPr>
                <w:rStyle w:val="SpecialBold"/>
              </w:rPr>
              <w:t>License to practice</w:t>
            </w:r>
          </w:p>
        </w:tc>
      </w:tr>
      <w:tr w:rsidTr="008D692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The skills and knowledge described in this unit may require a licence/registration to practice in the work place subject to regulations for undertaking of electrical work. Practice in workplace and</w:t>
            </w:r>
            <w:r w:rsidRPr="00A1223E">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A1223E">
              <w:t>ommonwealth, State/Territory or Local Government legislation and regulations may exist that limits the age of operating certain equipment.</w:t>
            </w:r>
          </w:p>
        </w:tc>
      </w:tr>
    </w:tbl>
    <w:p w:rsidR="008D692B" w:rsidP="00A1223E">
      <w:pPr>
        <w:pStyle w:val="BodyText"/>
      </w:pPr>
    </w:p>
    <w:p w:rsidR="008D692B" w:rsidP="00A1223E">
      <w:pPr>
        <w:pStyle w:val="BodyText"/>
      </w:pPr>
    </w:p>
    <w:p w:rsidR="00000000" w:rsidRPr="00A1223E" w:rsidP="00A1223E">
      <w:pPr>
        <w:pStyle w:val="Heading1"/>
      </w:pPr>
      <w:bookmarkStart w:id="5" w:name="O_231377"/>
      <w:bookmarkEnd w:id="5"/>
      <w:r w:rsidRPr="00A1223E">
        <w:t>Pre-Requisites</w:t>
      </w:r>
    </w:p>
    <w:tbl>
      <w:tblPr>
        <w:tblW w:w="0" w:type="auto"/>
        <w:tblLayout w:type="fixed"/>
        <w:tblCellMar>
          <w:left w:w="62" w:type="dxa"/>
          <w:right w:w="62" w:type="dxa"/>
        </w:tblCellMar>
        <w:tblLook w:val="0000"/>
      </w:tblPr>
      <w:tblGrid>
        <w:gridCol w:w="2700"/>
        <w:gridCol w:w="5760"/>
      </w:tblGrid>
      <w:tr w:rsidTr="008D69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Prerequisite Unit</w:t>
            </w:r>
            <w:r w:rsidRPr="00A1223E">
              <w:t>(</w:t>
            </w:r>
            <w:r w:rsidRPr="00A1223E">
              <w:rPr>
                <w:rStyle w:val="SpecialBold"/>
              </w:rPr>
              <w:t>s</w:t>
            </w:r>
            <w:r w:rsidRPr="00A1223E">
              <w:t>)</w:t>
            </w:r>
          </w:p>
        </w:tc>
        <w:tc>
          <w:tcPr>
            <w:tcW w:w="57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2</w:t>
            </w:r>
            <w:r w:rsidRPr="00A1223E">
              <w:t xml:space="preserve">) </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223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2</w:t>
            </w:r>
            <w:r w:rsidRPr="00A1223E">
              <w:t>.</w:t>
            </w:r>
            <w:r w:rsidRPr="00A1223E">
              <w:rPr>
                <w:rStyle w:val="SpecialBold"/>
              </w:rPr>
              <w:t>1</w:t>
            </w:r>
            <w:r w:rsidRPr="00A1223E">
              <w:t xml:space="preserve">) </w:t>
            </w:r>
            <w:r w:rsidRPr="00A1223E">
              <w:rPr>
                <w:rStyle w:val="SpecialBold"/>
              </w:rPr>
              <w:t>Competencies</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There are no prerequisite competencies to this unit.</w:t>
            </w:r>
          </w:p>
        </w:tc>
      </w:tr>
    </w:tbl>
    <w:p w:rsidR="008D692B" w:rsidP="00A1223E">
      <w:pPr>
        <w:pStyle w:val="BodyText"/>
      </w:pPr>
    </w:p>
    <w:p w:rsidR="008D692B" w:rsidP="00A1223E">
      <w:pPr>
        <w:pStyle w:val="BodyText"/>
      </w:pPr>
    </w:p>
    <w:p w:rsidR="00000000" w:rsidRPr="00A1223E" w:rsidP="00A1223E">
      <w:pPr>
        <w:pStyle w:val="Heading1"/>
      </w:pPr>
      <w:bookmarkStart w:id="6" w:name="O_231379"/>
      <w:bookmarkEnd w:id="6"/>
      <w:r w:rsidRPr="00A1223E">
        <w:t>Employability Skills Information</w:t>
      </w:r>
    </w:p>
    <w:tbl>
      <w:tblPr>
        <w:tblW w:w="0" w:type="auto"/>
        <w:tblLayout w:type="fixed"/>
        <w:tblCellMar>
          <w:left w:w="62" w:type="dxa"/>
          <w:right w:w="62" w:type="dxa"/>
        </w:tblCellMar>
        <w:tblLook w:val="0000"/>
      </w:tblPr>
      <w:tblGrid>
        <w:gridCol w:w="2700"/>
        <w:gridCol w:w="5760"/>
      </w:tblGrid>
      <w:tr w:rsidTr="008D69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3</w:t>
            </w:r>
            <w:r w:rsidRPr="00A1223E">
              <w:t>)</w:t>
            </w:r>
          </w:p>
          <w:p w:rsidR="00000000" w:rsidRPr="00A1223E" w:rsidP="00A1223E">
            <w:pPr>
              <w:pStyle w:val="BodyText"/>
            </w:pPr>
            <w:r w:rsidRPr="00A1223E">
              <w:t>The required outcomes described in this unit of competency contain applicable facets of Employability Skills. The Employabilit</w:t>
            </w:r>
            <w:r w:rsidRPr="00A1223E">
              <w:t>y Skills Summary of the qualification in which this unit of competency is packaged will assist in identifying Employability Skill requirements.</w:t>
            </w:r>
          </w:p>
        </w:tc>
      </w:tr>
    </w:tbl>
    <w:p w:rsidR="008D692B" w:rsidP="00A1223E">
      <w:pPr>
        <w:pStyle w:val="BodyText"/>
      </w:pPr>
    </w:p>
    <w:p w:rsidR="008D692B" w:rsidP="00A1223E">
      <w:pPr>
        <w:pStyle w:val="BodyText"/>
      </w:pPr>
    </w:p>
    <w:p w:rsidR="00000000" w:rsidRPr="00A1223E" w:rsidP="00A1223E">
      <w:pPr>
        <w:pStyle w:val="Heading1"/>
      </w:pPr>
      <w:bookmarkStart w:id="7" w:name="O_293507"/>
      <w:bookmarkEnd w:id="7"/>
      <w:r w:rsidRPr="00A1223E">
        <w:t>Elements and Performance Criteria Pre-Content</w:t>
      </w:r>
    </w:p>
    <w:tbl>
      <w:tblPr>
        <w:tblW w:w="0" w:type="auto"/>
        <w:tblLayout w:type="fixed"/>
        <w:tblCellMar>
          <w:left w:w="62" w:type="dxa"/>
          <w:right w:w="62" w:type="dxa"/>
        </w:tblCellMar>
        <w:tblLook w:val="0000"/>
      </w:tblPr>
      <w:tblGrid>
        <w:gridCol w:w="2700"/>
        <w:gridCol w:w="5760"/>
      </w:tblGrid>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6</w:t>
            </w:r>
            <w:r w:rsidRPr="00A1223E">
              <w:t xml:space="preserve">) </w:t>
            </w:r>
            <w:r w:rsidRPr="00A1223E">
              <w:rPr>
                <w:rStyle w:val="SpecialBold"/>
              </w:rPr>
              <w:t>Elements</w:t>
            </w:r>
            <w:r w:rsidRPr="00A1223E">
              <w:t xml:space="preserve">: Elements describe </w:t>
            </w:r>
            <w:r w:rsidRPr="00A1223E">
              <w:t xml:space="preserve">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Performance Criteria describe the required performance needed to demonstrate achievement of the element. Assessment of performance is to be consistent with the evidence guide.</w:t>
            </w:r>
          </w:p>
        </w:tc>
      </w:tr>
    </w:tbl>
    <w:p w:rsidR="00000000" w:rsidRPr="00A1223E" w:rsidP="00A1223E">
      <w:pPr>
        <w:pStyle w:val="BodyText"/>
      </w:pPr>
    </w:p>
    <w:p w:rsidR="00000000" w:rsidRPr="00A1223E" w:rsidP="00A1223E">
      <w:pPr>
        <w:pStyle w:val="AllowPageBreak"/>
      </w:pPr>
    </w:p>
    <w:p w:rsidR="00000000" w:rsidRPr="00A1223E" w:rsidP="00A1223E">
      <w:pPr>
        <w:pStyle w:val="Heading1"/>
      </w:pPr>
      <w:bookmarkStart w:id="8" w:name="O_240175"/>
      <w:bookmarkEnd w:id="8"/>
      <w:r w:rsidRPr="00A1223E">
        <w:t>Element</w:t>
      </w:r>
      <w:r w:rsidRPr="00A1223E">
        <w:t>s and Performance Criteria</w:t>
      </w:r>
    </w:p>
    <w:tbl>
      <w:tblPr>
        <w:tblW w:w="0" w:type="auto"/>
        <w:tblLayout w:type="fixed"/>
        <w:tblCellMar>
          <w:left w:w="62" w:type="dxa"/>
          <w:right w:w="62" w:type="dxa"/>
        </w:tblCellMar>
        <w:tblLook w:val="0000"/>
      </w:tblPr>
      <w:tblGrid>
        <w:gridCol w:w="404"/>
        <w:gridCol w:w="2296"/>
        <w:gridCol w:w="900"/>
        <w:gridCol w:w="4860"/>
      </w:tblGrid>
      <w:tr w:rsidTr="008D692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PERFORMANCE CRITERIA</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w:t>
            </w:r>
          </w:p>
        </w:tc>
        <w:tc>
          <w:tcPr>
            <w:tcW w:w="2296" w:type="dxa"/>
            <w:vMerge w:val="restart"/>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Prepare to work safely near live electrical apparatus as non-electrical worker</w:t>
            </w: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1.1</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Instructions related to the work to be performed safely near live electrical apparatus as non-electrical worker are received and confirmed.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1.2</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Relevant requirements and established procedures to be followed and, relevant personnel to be communicated wi</w:t>
            </w:r>
            <w:r w:rsidRPr="00A1223E">
              <w:t>th for the work to be performed are identified.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1.3</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OHS policies and procedures to be followed for the work to be performed are received and confirmed.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1.4</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Suggestio</w:t>
            </w:r>
            <w:r w:rsidRPr="00A1223E">
              <w:t>ns to assist in meeting the safety requirements for working near live electrical apparatus as a non-electrical worker are made to others involved in the work.</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1.5</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Hazards are identified, OHS risks assessed and control measures are prioritised, implement</w:t>
            </w:r>
            <w:r w:rsidRPr="00A1223E">
              <w:t>ed and monitored including emergency exits kept clear according to established 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1.6</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 xml:space="preserve">Scope of responsibility and process of relevant work permit(s) issue is identified, received and confirmed according to requirements and established </w:t>
            </w:r>
            <w:r w:rsidRPr="00A1223E">
              <w:t>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1.7</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Relevant responsibility associated with First Aid, Safety Observers and/or other related work safety procedures at the worksite are identified in accordance with requirements and established procedures to ensure safety measures are follo</w:t>
            </w:r>
            <w:r w:rsidRPr="00A1223E">
              <w:t>wed in the instance of an incident.</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1.8</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Processes for identifying and reporting client issues to appropriate personnel in accordance with industry/acceptable /community standards are identified.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1.9</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Site and the work schedule to be prepared are confi</w:t>
            </w:r>
            <w:r w:rsidRPr="00A1223E">
              <w:t>rmed according to given instructions for a quality outcome and to minimise risk and damage to property, commerce, stock and individuals in accordance and established 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1.10</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Electricity infrastructure assets, related voltages and requirements for working safely near live electrical apparatus as non-electrical worker are identified.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1.11</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Safe approach distances including any zones thereof that may apply, as defined in indust</w:t>
            </w:r>
            <w:r w:rsidRPr="00A1223E">
              <w:t>ry guidelines, requirements and/or established procedures for the intended work are confirmed.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2</w:t>
            </w:r>
          </w:p>
        </w:tc>
        <w:tc>
          <w:tcPr>
            <w:tcW w:w="2296"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Carry out the work safely near live electrical apparatus as non-electrical worker.</w:t>
            </w: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2.1</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OHS principles and practices to reduce the incidents of accidents are i</w:t>
            </w:r>
            <w:r w:rsidRPr="00A1223E">
              <w:t>dentified in accordance with given instructions, requirements and/or established 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2.2</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Working safely and complying with all safety requirements for working near live electrical apparatus as a non-electrical worker are followed in accordance w</w:t>
            </w:r>
            <w:r w:rsidRPr="00A1223E">
              <w:t>ith given instructions and established routines/procedures.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2.3</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Processes for monitoring and reporting/referring hazards and OHS risks to the immediate authorised personnel for directions according to established procedures are followed.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2.4</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Non-routine events are referred to the immediate authorised personnel for directions according to established 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2.5</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Unexpected events associated with working safely near live electrical apparatus as a non-electrical worker are responded to usi</w:t>
            </w:r>
            <w:r w:rsidRPr="00A1223E">
              <w:t>ng acquired known solutions and skills related to routine procedures to ensure work instructions and established procedures are met.</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w:t>
            </w:r>
          </w:p>
        </w:tc>
        <w:tc>
          <w:tcPr>
            <w:tcW w:w="2296" w:type="dxa"/>
            <w:vMerge w:val="restart"/>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Complete the work safely near live electrical apparatus as non-electrical worker.</w:t>
            </w: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3.1</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Work schedule and anomalies for co</w:t>
            </w:r>
            <w:r w:rsidRPr="00A1223E">
              <w:t>mpletion and checking of the work are reported to authorised personnel in accordance with established 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3.2</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Processes for reporting to authorised personnel accidents and/or incidents are confirmed in accordance with established 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3.3</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Requirements for returning work permit(s) and/or access authorisation permits are confirmed.</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3.4</w:t>
            </w:r>
          </w:p>
        </w:tc>
        <w:tc>
          <w:tcPr>
            <w:tcW w:w="48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Appropriate personnel are notified of work completion according to established procedures.</w:t>
            </w:r>
          </w:p>
        </w:tc>
      </w:tr>
      <w:tr w:rsidTr="008D692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3.5</w:t>
            </w:r>
          </w:p>
        </w:tc>
        <w:tc>
          <w:tcPr>
            <w:tcW w:w="48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Works completion records, report forms/data sheets are completed accurately in accordance with given instructions and established procedures.</w:t>
            </w:r>
          </w:p>
        </w:tc>
      </w:tr>
    </w:tbl>
    <w:p w:rsidR="008D692B" w:rsidP="00A1223E">
      <w:pPr>
        <w:pStyle w:val="BodyText"/>
      </w:pPr>
    </w:p>
    <w:p w:rsidR="008D692B" w:rsidP="00A1223E">
      <w:pPr>
        <w:pStyle w:val="BodyText"/>
      </w:pPr>
    </w:p>
    <w:p w:rsidR="00000000" w:rsidRPr="00A1223E" w:rsidP="00A1223E">
      <w:pPr>
        <w:pStyle w:val="Heading1"/>
      </w:pPr>
      <w:bookmarkStart w:id="9" w:name="O_263966"/>
      <w:bookmarkEnd w:id="9"/>
      <w:r w:rsidRPr="00A1223E">
        <w:t>Required Skills and Knowledge</w:t>
      </w:r>
    </w:p>
    <w:tbl>
      <w:tblPr>
        <w:tblW w:w="0" w:type="auto"/>
        <w:tblLayout w:type="fixed"/>
        <w:tblCellMar>
          <w:left w:w="62" w:type="dxa"/>
          <w:right w:w="62" w:type="dxa"/>
        </w:tblCellMar>
        <w:tblLook w:val="0000"/>
      </w:tblPr>
      <w:tblGrid>
        <w:gridCol w:w="2700"/>
        <w:gridCol w:w="1080"/>
        <w:gridCol w:w="4680"/>
      </w:tblGrid>
      <w:tr w:rsidTr="008D692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REQUIRED SKILLS AND KNOWLEDGE</w:t>
            </w:r>
          </w:p>
        </w:tc>
      </w:tr>
      <w:tr w:rsidTr="008D692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7</w:t>
            </w:r>
            <w:r w:rsidRPr="00A1223E">
              <w:t xml:space="preserve">) </w:t>
            </w:r>
            <w:r w:rsidRPr="00A1223E">
              <w:rPr>
                <w:rStyle w:val="SpecialBold"/>
              </w:rPr>
              <w:t>Essential Knowledge and Associated Skills</w:t>
            </w:r>
            <w:r w:rsidRPr="00A1223E">
              <w:t xml:space="preserve"> (</w:t>
            </w:r>
            <w:r w:rsidRPr="00A1223E">
              <w:rPr>
                <w:rStyle w:val="SpecialBold"/>
              </w:rPr>
              <w:t>EKAS</w:t>
            </w:r>
            <w:r w:rsidRPr="00A1223E">
              <w:t>): This describes the essential skills and knowledge and their level, required for this unit.</w:t>
            </w:r>
          </w:p>
        </w:tc>
      </w:tr>
      <w:tr w:rsidTr="008D692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Evidence shall show that knowledge has been acquired of working safely near live electrical apparatus as non ele</w:t>
            </w:r>
            <w:r w:rsidRPr="00A1223E">
              <w:t>ctrical worker.</w:t>
            </w:r>
          </w:p>
          <w:p w:rsidR="00000000" w:rsidRPr="00A1223E" w:rsidP="00A1223E">
            <w:pPr>
              <w:pStyle w:val="BodyText"/>
            </w:pPr>
            <w:r w:rsidRPr="00A1223E">
              <w:t>All knowledge and skills detailed in this unit should be contextualised to current industry practices and technologies.</w:t>
            </w:r>
          </w:p>
          <w:p w:rsidR="00000000" w:rsidP="00A1223E">
            <w:pPr>
              <w:pStyle w:val="BodyText"/>
              <w:rPr>
                <w:lang w:val="en-NZ"/>
              </w:rPr>
            </w:pPr>
            <w:r w:rsidRPr="00A1223E">
              <w:t>The extent of the essential knowledge and associated skills (EKAS) required is given in Volume 2 - Part 2.2 EKAS. It for</w:t>
            </w:r>
            <w:r w:rsidRPr="00A1223E">
              <w:t>ms an integral part of this unit.</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E2.8.1.1</w:t>
            </w:r>
          </w:p>
        </w:tc>
        <w:tc>
          <w:tcPr>
            <w:tcW w:w="468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Basic electrical principles</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E2.18.1</w:t>
            </w:r>
          </w:p>
        </w:tc>
        <w:tc>
          <w:tcPr>
            <w:tcW w:w="468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Occupational Health and Safety principles</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 xml:space="preserve">T2.2.2 </w:t>
            </w:r>
          </w:p>
        </w:tc>
        <w:tc>
          <w:tcPr>
            <w:tcW w:w="468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Transmission, distribution and rail power systems</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 xml:space="preserve">T2.5.3 </w:t>
            </w:r>
          </w:p>
        </w:tc>
        <w:tc>
          <w:tcPr>
            <w:tcW w:w="468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Fundamentals for working safely near live electrical apparatus</w:t>
            </w:r>
          </w:p>
        </w:tc>
      </w:tr>
    </w:tbl>
    <w:p w:rsidR="008D692B" w:rsidP="00A1223E">
      <w:pPr>
        <w:pStyle w:val="BodyText"/>
      </w:pPr>
    </w:p>
    <w:p w:rsidR="008D692B" w:rsidP="00A1223E">
      <w:pPr>
        <w:pStyle w:val="BodyText"/>
      </w:pPr>
    </w:p>
    <w:p w:rsidR="00000000" w:rsidRPr="00A1223E" w:rsidP="00A1223E">
      <w:pPr>
        <w:pStyle w:val="Heading1"/>
      </w:pPr>
      <w:bookmarkStart w:id="10" w:name="O_248158"/>
      <w:bookmarkEnd w:id="10"/>
      <w:r w:rsidRPr="00A1223E">
        <w:t>Evidence Guide</w:t>
      </w:r>
    </w:p>
    <w:tbl>
      <w:tblPr>
        <w:tblW w:w="0" w:type="auto"/>
        <w:tblLayout w:type="fixed"/>
        <w:tblCellMar>
          <w:left w:w="62" w:type="dxa"/>
          <w:right w:w="62" w:type="dxa"/>
        </w:tblCellMar>
        <w:tblLook w:val="0000"/>
      </w:tblPr>
      <w:tblGrid>
        <w:gridCol w:w="2160"/>
        <w:gridCol w:w="540"/>
        <w:gridCol w:w="900"/>
        <w:gridCol w:w="1800"/>
        <w:gridCol w:w="3060"/>
      </w:tblGrid>
      <w:tr w:rsidTr="008D692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EVIDENCE GUIDE</w:t>
            </w:r>
          </w:p>
        </w:tc>
      </w:tr>
      <w:tr w:rsidTr="008D692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9</w:t>
            </w:r>
            <w:r w:rsidRPr="00A1223E">
              <w:t xml:space="preserve">) This provides essential advice for assessment of the competency standard unit and must be read </w:t>
            </w:r>
            <w:r w:rsidRPr="00A1223E">
              <w:t>in conjunction with the Performance Criteria and the range statement of the competency standard unit and the Training Package Assessment Guidelines.</w:t>
            </w:r>
          </w:p>
          <w:p w:rsidR="00000000" w:rsidP="00A1223E">
            <w:pPr>
              <w:pStyle w:val="BodyText"/>
              <w:rPr>
                <w:lang w:val="en-NZ"/>
              </w:rPr>
            </w:pPr>
            <w:r w:rsidRPr="00A1223E">
              <w:t>The Evidence Guide forms an integral part of this Competency Standard Unit and shall be used in conjunction</w:t>
            </w:r>
            <w:r w:rsidRPr="00A1223E">
              <w:t xml:space="preserve"> with all component parts of this unit and, performed in accordance with the Assessment Guidelines of this Training Package.</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9</w:t>
            </w:r>
            <w:r w:rsidRPr="00A1223E">
              <w:t>.</w:t>
            </w:r>
            <w:r w:rsidRPr="00A1223E">
              <w:rPr>
                <w:rStyle w:val="SpecialBold"/>
              </w:rPr>
              <w:t>1</w:t>
            </w:r>
            <w:r w:rsidRPr="00A1223E">
              <w:t xml:space="preserve">) </w:t>
            </w:r>
          </w:p>
          <w:p w:rsidR="00000000" w:rsidRPr="00A1223E" w:rsidP="00A1223E">
            <w:pPr>
              <w:pStyle w:val="BodyText"/>
            </w:pPr>
            <w:r w:rsidRPr="00A1223E">
              <w:t xml:space="preserve">Longitudinal competency development approaches to assessment, such as Profiling, require data to </w:t>
            </w:r>
            <w:r w:rsidRPr="00A1223E">
              <w:t>be reliably gathered in a form that can be consistently interpreted over time. This approach is best utilised in Apprenticeship programs and reduces assessment intervention. It is the Industry's preferred model for apprenticeships. However, where summative</w:t>
            </w:r>
            <w:r w:rsidRPr="00A1223E">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A1223E">
              <w:t>, assessment in part or full can occur outside the workplace. However, it must be in accord with Industry and, Regulatory policy in this regard.</w:t>
            </w:r>
          </w:p>
          <w:p w:rsidR="00000000" w:rsidRPr="00A1223E" w:rsidP="00A1223E">
            <w:pPr>
              <w:pStyle w:val="BodyText"/>
            </w:pPr>
            <w:r w:rsidRPr="00A1223E">
              <w:t>Methods chosen for a particular assessment will be influenced by various factors. These include the extent of t</w:t>
            </w:r>
            <w:r w:rsidRPr="00A1223E">
              <w:t>he assessment, the most effective locations for the assessment activities to take place, access to physical resources, additional safety measures that may be required and the critical nature of the competencies being assessed.</w:t>
            </w:r>
          </w:p>
          <w:p w:rsidR="00000000" w:rsidRPr="00A1223E" w:rsidP="00A1223E">
            <w:pPr>
              <w:pStyle w:val="BodyText"/>
            </w:pPr>
            <w:r w:rsidRPr="00A1223E">
              <w:t>The critical safety nature of</w:t>
            </w:r>
            <w:r w:rsidRPr="00A1223E">
              <w:t xml:space="preserve"> working with electricity, electrical equipment, gas or any other hazardous substance/material carries risk in deeming a person competent. Hence, sources of evidence need to be 'rich' in nature so as to minimise error in judgment.</w:t>
            </w:r>
          </w:p>
          <w:p w:rsidR="00000000" w:rsidP="00A1223E">
            <w:pPr>
              <w:pStyle w:val="BodyText"/>
              <w:rPr>
                <w:lang w:val="en-NZ"/>
              </w:rPr>
            </w:pPr>
            <w:r w:rsidRPr="00A1223E">
              <w:t>Activities associated wit</w:t>
            </w:r>
            <w:r w:rsidRPr="00A1223E">
              <w:t>h normal every day work have a bearing on the decision as to how much and how detailed the data gathered will contribute to its 'richness'. Some skills are more critical to safety and operational requirements while the same skills may be more or less frequ</w:t>
            </w:r>
            <w:r w:rsidRPr="00A1223E">
              <w:t>ently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8D692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9</w:t>
            </w:r>
            <w:r w:rsidRPr="00A1223E">
              <w:t>.</w:t>
            </w:r>
            <w:r w:rsidRPr="00A1223E">
              <w:rPr>
                <w:rStyle w:val="SpecialBold"/>
              </w:rPr>
              <w:t>2</w:t>
            </w:r>
            <w:r w:rsidRPr="00A1223E">
              <w:t xml:space="preserve">) </w:t>
            </w:r>
          </w:p>
          <w:p w:rsidR="00000000" w:rsidP="00A1223E">
            <w:pPr>
              <w:pStyle w:val="BodyText"/>
              <w:rPr>
                <w:lang w:val="en-NZ"/>
              </w:rPr>
            </w:pPr>
            <w:r w:rsidRPr="00A1223E">
              <w:t>Before the critical aspects of evidence are considered all prerequisites shall be met.</w:t>
            </w:r>
          </w:p>
        </w:tc>
      </w:tr>
      <w:tr w:rsidTr="008D692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A1223E">
            <w:pPr>
              <w:pStyle w:val="ListBullet"/>
              <w:rPr>
                <w:lang w:val="en-NZ"/>
              </w:rPr>
            </w:pPr>
            <w:r w:rsidRPr="00A1223E">
              <w:t xml:space="preserve">A </w:t>
            </w:r>
            <w:r w:rsidRPr="00A1223E">
              <w:t>representative body of Performance Criteria demonstrated within the timeframes typically expected of the discipline, work function and industrial environment. In particular this shall incorporate evidence that shows a candidate is able to:</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223E" w:rsidP="00A1223E">
            <w:pPr>
              <w:pStyle w:val="ListBullet2"/>
            </w:pPr>
            <w:r w:rsidRPr="00A1223E">
              <w:t>Implement Occupational Health and Safety workplace procedures and practices including the use of risk control measures as specified in the Performance Criteria and range; and</w:t>
            </w:r>
          </w:p>
          <w:p w:rsidR="00000000" w:rsidRPr="00A1223E" w:rsidP="00A1223E">
            <w:pPr>
              <w:pStyle w:val="ListBullet2"/>
            </w:pPr>
            <w:r w:rsidRPr="00A1223E">
              <w:t>Apply sustainable energy principles and practices as specified in the Performance</w:t>
            </w:r>
            <w:r w:rsidRPr="00A1223E">
              <w:t xml:space="preserve"> Criteria and range; and</w:t>
            </w:r>
          </w:p>
          <w:p w:rsidR="00000000" w:rsidRPr="00A1223E" w:rsidP="00A1223E">
            <w:pPr>
              <w:pStyle w:val="ListBullet2"/>
            </w:pPr>
            <w:r w:rsidRPr="00A1223E">
              <w:t>Demonstrate an understanding of the essential knowledge and associated skills as described in this unit to such an extent that the learner's performance outcome is reported in accordance with the preferred approach; namely a percen</w:t>
            </w:r>
            <w:r w:rsidRPr="00A1223E">
              <w:t>tile graded result, where required by the regulated environment; and</w:t>
            </w:r>
          </w:p>
          <w:p w:rsidR="00000000" w:rsidRPr="00A1223E" w:rsidP="00A1223E">
            <w:pPr>
              <w:pStyle w:val="ListBullet2"/>
            </w:pPr>
            <w:r w:rsidRPr="00A1223E">
              <w:t>Demonstrate an appropriate level of employability skills; and</w:t>
            </w:r>
          </w:p>
          <w:p w:rsidR="00000000" w:rsidP="00A1223E">
            <w:pPr>
              <w:pStyle w:val="ListBullet2"/>
              <w:rPr>
                <w:lang w:val="en-NZ"/>
              </w:rPr>
            </w:pPr>
            <w:r w:rsidRPr="00A1223E">
              <w:t>Conduct work observing the relevant Anti Discrimination legislation, regulations, policies and workplace procedures; and</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223E">
            <w:pPr>
              <w:pStyle w:val="ListBullet"/>
              <w:rPr>
                <w:lang w:val="en-NZ"/>
              </w:rPr>
            </w:pPr>
            <w:r w:rsidRPr="00A1223E">
              <w:t>Demonstrated performance across a representative range of contexts from the prescribed items below:</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1223E">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rPr>
                <w:rStyle w:val="SpecialBold"/>
              </w:rPr>
              <w:t>Range of tools</w:t>
            </w:r>
            <w:r w:rsidRPr="00A1223E">
              <w:t>/</w:t>
            </w:r>
            <w:r w:rsidRPr="00A1223E">
              <w:rPr>
                <w:rStyle w:val="SpecialBold"/>
              </w:rPr>
              <w:t>equipment</w:t>
            </w:r>
            <w:r w:rsidRPr="00A1223E">
              <w:t>/</w:t>
            </w:r>
            <w:r w:rsidRPr="00A1223E">
              <w:rPr>
                <w:rStyle w:val="SpecialBold"/>
              </w:rPr>
              <w:t>materials</w:t>
            </w:r>
            <w:r w:rsidRPr="00A1223E">
              <w:t>/</w:t>
            </w:r>
            <w:r w:rsidRPr="00A1223E">
              <w:rPr>
                <w:rStyle w:val="SpecialBold"/>
              </w:rPr>
              <w:t>procedures</w:t>
            </w:r>
            <w:r w:rsidRPr="00A1223E">
              <w:t>/</w:t>
            </w:r>
            <w:r w:rsidRPr="00A1223E">
              <w:rPr>
                <w:rStyle w:val="SpecialBold"/>
              </w:rPr>
              <w:t>workplaces</w:t>
            </w:r>
            <w:r w:rsidRPr="00A1223E">
              <w:t>/</w:t>
            </w:r>
            <w:r w:rsidRPr="00A1223E">
              <w:rPr>
                <w:rStyle w:val="SpecialBold"/>
              </w:rPr>
              <w:t>other variables</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1223E">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3E" w:rsidP="00A1223E">
            <w:pPr>
              <w:pStyle w:val="BodyText"/>
            </w:pPr>
            <w:r w:rsidRPr="00A1223E">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3E" w:rsidP="00A1223E">
            <w:pPr>
              <w:pStyle w:val="BodyText"/>
            </w:pPr>
            <w:r w:rsidRPr="00A1223E">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rPr>
                <w:rStyle w:val="SpecialBold"/>
              </w:rPr>
              <w:t>Item List</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3E" w:rsidP="00A1223E">
            <w:pPr>
              <w:pStyle w:val="BodyText"/>
            </w:pPr>
            <w:r w:rsidRPr="00A1223E">
              <w:t>Confirmation of the "safe working zone" for Safe work and access near live Electrical Apparatus</w:t>
            </w:r>
          </w:p>
          <w:p w:rsidR="00000000" w:rsidRPr="00A1223E" w:rsidP="00A1223E">
            <w:pPr>
              <w:pStyle w:val="BodyText"/>
            </w:pPr>
            <w:r w:rsidRPr="00A1223E">
              <w:t>Identification of the relevant technical standards. Acts, regulations and codes/guidelines</w:t>
            </w:r>
          </w:p>
          <w:p w:rsidR="00000000" w:rsidP="00A1223E">
            <w:pPr>
              <w:pStyle w:val="BodyText"/>
              <w:rPr>
                <w:lang w:val="en-NZ"/>
              </w:rPr>
            </w:pPr>
            <w:r w:rsidRPr="00A1223E">
              <w:t>Identification of established (Enterprise) procedures</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3E" w:rsidP="00A1223E">
            <w:pPr>
              <w:pStyle w:val="BodyText"/>
            </w:pPr>
            <w:r w:rsidRPr="00A1223E">
              <w:t>Confirmation of the principles of electricity, the three phase power system, electri</w:t>
            </w:r>
            <w:r w:rsidRPr="00A1223E">
              <w:t>c shock and resuscitation, power system</w:t>
            </w:r>
          </w:p>
          <w:p w:rsidR="00000000" w:rsidRPr="00A1223E" w:rsidP="00A1223E">
            <w:pPr>
              <w:pStyle w:val="BodyText"/>
            </w:pPr>
            <w:r w:rsidRPr="00A1223E">
              <w:t>Recognition of aerial voltage systems</w:t>
            </w:r>
          </w:p>
          <w:p w:rsidR="00000000" w:rsidRPr="00A1223E" w:rsidP="00A1223E">
            <w:pPr>
              <w:pStyle w:val="BodyText"/>
            </w:pPr>
            <w:r w:rsidRPr="00A1223E">
              <w:t>Identification of Low Voltage Aerial Circuits</w:t>
            </w:r>
          </w:p>
          <w:p w:rsidR="00000000" w:rsidP="00A1223E">
            <w:pPr>
              <w:pStyle w:val="BodyText"/>
              <w:rPr>
                <w:lang w:val="en-NZ"/>
              </w:rPr>
            </w:pPr>
            <w:r w:rsidRPr="00A1223E">
              <w:t>Identification of High Voltage</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3E" w:rsidP="00A1223E">
            <w:pPr>
              <w:pStyle w:val="BodyText"/>
            </w:pPr>
            <w:r w:rsidRPr="00A1223E">
              <w:t>Procedures in the event of an incident</w:t>
            </w:r>
          </w:p>
          <w:p w:rsidR="00000000" w:rsidRPr="00A1223E" w:rsidP="00A1223E">
            <w:pPr>
              <w:pStyle w:val="BodyText"/>
            </w:pPr>
            <w:r w:rsidRPr="00A1223E">
              <w:t>Events constituting an incident</w:t>
            </w:r>
          </w:p>
          <w:p w:rsidR="00000000" w:rsidRPr="00A1223E" w:rsidP="00A1223E">
            <w:pPr>
              <w:pStyle w:val="BodyText"/>
            </w:pPr>
            <w:r w:rsidRPr="00A1223E">
              <w:t>Procedures for responding to incidents</w:t>
            </w:r>
          </w:p>
          <w:p w:rsidR="00000000" w:rsidRPr="00A1223E" w:rsidP="00A1223E">
            <w:pPr>
              <w:pStyle w:val="BodyText"/>
            </w:pPr>
            <w:r w:rsidRPr="00A1223E">
              <w:t>Hazard and risk assessment procedure</w:t>
            </w:r>
          </w:p>
          <w:p w:rsidR="00000000" w:rsidRPr="00A1223E" w:rsidP="00A1223E">
            <w:pPr>
              <w:pStyle w:val="BodyText"/>
            </w:pPr>
            <w:r w:rsidRPr="00A1223E">
              <w:t>Conduct Work-site Hazard Assessment</w:t>
            </w:r>
          </w:p>
          <w:p w:rsidR="00000000" w:rsidRPr="00A1223E" w:rsidP="00A1223E">
            <w:pPr>
              <w:pStyle w:val="BodyText"/>
            </w:pPr>
            <w:r w:rsidRPr="00A1223E">
              <w:t>Confirmation of essential components of Hazard Assessment Checks</w:t>
            </w:r>
          </w:p>
          <w:p w:rsidR="00000000" w:rsidRPr="00A1223E" w:rsidP="00A1223E">
            <w:pPr>
              <w:pStyle w:val="BodyText"/>
            </w:pPr>
            <w:r w:rsidRPr="00A1223E">
              <w:t>Applying Hazard Identification in Electrical Work</w:t>
            </w:r>
          </w:p>
          <w:p w:rsidR="00000000" w:rsidRPr="00A1223E" w:rsidP="00A1223E">
            <w:pPr>
              <w:pStyle w:val="BodyText"/>
            </w:pPr>
            <w:r w:rsidRPr="00A1223E">
              <w:t>Confirmation of the Basic Saf</w:t>
            </w:r>
            <w:r w:rsidRPr="00A1223E">
              <w:t>ety Principles for Work on Electrical works</w:t>
            </w:r>
          </w:p>
          <w:p w:rsidR="00000000" w:rsidRPr="00A1223E" w:rsidP="00A1223E">
            <w:pPr>
              <w:pStyle w:val="BodyText"/>
            </w:pPr>
            <w:r w:rsidRPr="00A1223E">
              <w:t>Hazard Identification and Risk Assessment</w:t>
            </w:r>
          </w:p>
          <w:p w:rsidR="00000000" w:rsidRPr="00A1223E" w:rsidP="00A1223E">
            <w:pPr>
              <w:pStyle w:val="BodyText"/>
            </w:pPr>
            <w:r w:rsidRPr="00A1223E">
              <w:t>Hazard Control</w:t>
            </w:r>
          </w:p>
          <w:p w:rsidR="00000000" w:rsidRPr="00A1223E" w:rsidP="00A1223E">
            <w:pPr>
              <w:pStyle w:val="BodyText"/>
            </w:pPr>
            <w:r w:rsidRPr="00A1223E">
              <w:t>Risk Assessment and Management (JSAs) Control</w:t>
            </w:r>
          </w:p>
          <w:p w:rsidR="00000000" w:rsidP="00A1223E">
            <w:pPr>
              <w:pStyle w:val="BodyText"/>
              <w:rPr>
                <w:lang w:val="en-NZ"/>
              </w:rPr>
            </w:pPr>
            <w:r w:rsidRPr="00A1223E">
              <w:t>The Hierarchy of Controls including Evaluation, Worksite Hazard and Risk Assessment Checklist, Pre-job Hazard</w:t>
            </w:r>
            <w:r w:rsidRPr="00A1223E">
              <w:t xml:space="preserve"> Assessment Check (HAC) Items, Planned Inspection and Pre-Work Hazard Risk Assessment Form</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23E" w:rsidP="00A1223E">
            <w:pPr>
              <w:pStyle w:val="BodyText"/>
            </w:pPr>
            <w:r w:rsidRPr="00A1223E">
              <w:t>Use of work permits and/or authorisation permits</w:t>
            </w:r>
          </w:p>
          <w:p w:rsidR="00000000" w:rsidRPr="00A1223E" w:rsidP="00A1223E">
            <w:pPr>
              <w:pStyle w:val="BodyText"/>
            </w:pPr>
            <w:r w:rsidRPr="00A1223E">
              <w:t>Sustainable energy principles and practices</w:t>
            </w:r>
          </w:p>
          <w:p w:rsidR="00000000" w:rsidP="00A1223E">
            <w:pPr>
              <w:pStyle w:val="BodyText"/>
              <w:rPr>
                <w:lang w:val="en-NZ"/>
              </w:rPr>
            </w:pPr>
            <w:r w:rsidRPr="00A1223E">
              <w:t>Possible affects of weather conditions on working near electrical apparatus as a non-electrical worker</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23E">
            <w:pPr>
              <w:pStyle w:val="BodyText"/>
              <w:rPr>
                <w:lang w:val="en-NZ"/>
              </w:rPr>
            </w:pPr>
            <w:r w:rsidRPr="00A1223E">
              <w:t>Dealing with an unplanned event by drawing on essential knowledge and associated skills to provide appropriate solutions incor</w:t>
            </w:r>
            <w:r w:rsidRPr="00A1223E">
              <w:t>porated in the holistic assessment with the above listed items.</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9</w:t>
            </w:r>
            <w:r w:rsidRPr="00A1223E">
              <w:t>.</w:t>
            </w:r>
            <w:r w:rsidRPr="00A1223E">
              <w:rPr>
                <w:rStyle w:val="SpecialBold"/>
              </w:rPr>
              <w:t>3</w:t>
            </w:r>
            <w:r w:rsidRPr="00A1223E">
              <w:t xml:space="preserve">) </w:t>
            </w:r>
          </w:p>
          <w:p w:rsidR="00000000" w:rsidRPr="00A1223E" w:rsidP="00A1223E">
            <w:pPr>
              <w:pStyle w:val="BodyText"/>
            </w:pPr>
            <w:r w:rsidRPr="00A1223E">
              <w:t>This unit should be assessed as it relates to normal work practice using procedures, information and resources typical of a workplace. T</w:t>
            </w:r>
            <w:r w:rsidRPr="00A1223E">
              <w:t>his should include:</w:t>
            </w:r>
          </w:p>
          <w:p w:rsidR="00000000" w:rsidRPr="00A1223E" w:rsidP="00A1223E">
            <w:pPr>
              <w:pStyle w:val="ListBullet"/>
            </w:pPr>
            <w:r w:rsidRPr="00A1223E">
              <w:t>OHS policy and work procedures and instructions.</w:t>
            </w:r>
          </w:p>
          <w:p w:rsidR="00000000" w:rsidP="00A1223E">
            <w:pPr>
              <w:pStyle w:val="ListBullet"/>
              <w:rPr>
                <w:lang w:val="en-NZ"/>
              </w:rPr>
            </w:pPr>
            <w:r w:rsidRPr="00A1223E">
              <w:t>Suitable work environment, facilities, equipment and materials to safely undertake actual work near live electrical apparatus</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In addition to the resources listed above, in Context of and specific resources for assessment, evidence should show demonstrated competency working below ground, in limited spaces, with different structural/construction types and method and in a variety o</w:t>
            </w:r>
            <w:r w:rsidRPr="00A1223E">
              <w:t xml:space="preserve">f environments. </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9</w:t>
            </w:r>
            <w:r w:rsidRPr="00A1223E">
              <w:t>.</w:t>
            </w:r>
            <w:r w:rsidRPr="00A1223E">
              <w:rPr>
                <w:rStyle w:val="SpecialBold"/>
              </w:rPr>
              <w:t>4</w:t>
            </w:r>
            <w:r w:rsidRPr="00A1223E">
              <w:t xml:space="preserve">) </w:t>
            </w:r>
          </w:p>
          <w:p w:rsidR="00000000" w:rsidRPr="00A1223E" w:rsidP="00A1223E">
            <w:pPr>
              <w:pStyle w:val="BodyText"/>
            </w:pPr>
            <w:r w:rsidRPr="00A1223E">
              <w:t>This Competency Standard Unit shall be assessed by methods given in Volume 1, Part 3 "Assessment Guidelines".</w:t>
            </w:r>
          </w:p>
          <w:p w:rsidR="00000000" w:rsidP="00A1223E">
            <w:pPr>
              <w:pStyle w:val="BodyText"/>
              <w:rPr>
                <w:lang w:val="en-NZ"/>
              </w:rPr>
            </w:pPr>
            <w:r w:rsidRPr="00A1223E">
              <w:t>Note:</w:t>
            </w:r>
            <w:r w:rsidRPr="00A1223E">
              <w:br/>
              <w:t>Competent performance with inherent safe working practices is expected in the Industry to wh</w:t>
            </w:r>
            <w:r w:rsidRPr="00A1223E">
              <w:t xml:space="preserve">ich this Competency Standard Unit applies. This requires that the specified essential knowledge and associated skills are assessed in a structured environment which is primarily intended for learning/assessment and incorporates all necessary equipment and </w:t>
            </w:r>
            <w:r w:rsidRPr="00A1223E">
              <w:t>facilities for learners to develop and demonstrate the essential knowledge and associated skills described in this unit.</w:t>
            </w:r>
          </w:p>
        </w:tc>
      </w:tr>
      <w:tr w:rsidTr="008D692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9</w:t>
            </w:r>
            <w:r w:rsidRPr="00A1223E">
              <w:t>.</w:t>
            </w:r>
            <w:r w:rsidRPr="00A1223E">
              <w:rPr>
                <w:rStyle w:val="SpecialBold"/>
              </w:rPr>
              <w:t>5</w:t>
            </w:r>
            <w:r w:rsidRPr="00A1223E">
              <w:t>)</w:t>
            </w:r>
          </w:p>
        </w:tc>
      </w:tr>
      <w:tr w:rsidTr="008D692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For optimisation of training and assessment effort, competence in this unit is not recommended to be assessed concurrently with any other unit.</w:t>
            </w:r>
          </w:p>
        </w:tc>
      </w:tr>
    </w:tbl>
    <w:p w:rsidR="008D692B" w:rsidP="00A1223E">
      <w:pPr>
        <w:pStyle w:val="BodyText"/>
      </w:pPr>
    </w:p>
    <w:p w:rsidR="008D692B" w:rsidP="00A1223E">
      <w:pPr>
        <w:pStyle w:val="BodyText"/>
      </w:pPr>
    </w:p>
    <w:p w:rsidR="00000000" w:rsidRPr="00A1223E" w:rsidP="00A1223E">
      <w:pPr>
        <w:pStyle w:val="Heading1"/>
      </w:pPr>
      <w:bookmarkStart w:id="11" w:name="O_256142"/>
      <w:bookmarkEnd w:id="11"/>
      <w:r w:rsidRPr="00A1223E">
        <w:t>Range Statement</w:t>
      </w:r>
    </w:p>
    <w:tbl>
      <w:tblPr>
        <w:tblW w:w="0" w:type="auto"/>
        <w:tblLayout w:type="fixed"/>
        <w:tblCellMar>
          <w:left w:w="62" w:type="dxa"/>
          <w:right w:w="62" w:type="dxa"/>
        </w:tblCellMar>
        <w:tblLook w:val="0000"/>
      </w:tblPr>
      <w:tblGrid>
        <w:gridCol w:w="2160"/>
        <w:gridCol w:w="6300"/>
      </w:tblGrid>
      <w:tr w:rsidTr="008D692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RANGE STATEMENT</w:t>
            </w:r>
          </w:p>
        </w:tc>
      </w:tr>
      <w:tr w:rsidTr="008D692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8</w:t>
            </w:r>
            <w:r w:rsidRPr="00A1223E">
              <w:t>) This relates to the competency standard unit as a whole providing the range of contexts and conditions to which the Performance Criteria apply. It allows for different work environments and situations that will affect performance.</w:t>
            </w:r>
          </w:p>
        </w:tc>
      </w:tr>
      <w:tr w:rsidTr="008D692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This Competency Stand</w:t>
            </w:r>
            <w:r w:rsidRPr="00A1223E">
              <w:t>ard Unit shall/may be demonstrated in relation to safe working so defined by relevant State or Territory regulatory agencies/bodies, local government legislation, Industry bi-partite body - Guidelines/Codes of Practices or other related requirements for Sa</w:t>
            </w:r>
            <w:r w:rsidRPr="00A1223E">
              <w:t>fe work and access near live Electrical Apparatus.</w:t>
            </w:r>
          </w:p>
          <w:p w:rsidR="00000000" w:rsidRPr="00A1223E" w:rsidP="00A1223E">
            <w:pPr>
              <w:pStyle w:val="BodyText"/>
            </w:pPr>
            <w:r w:rsidRPr="00A1223E">
              <w:t>Work functions that may be performed, such as vegetation control, operation of cranes, elevating work platforms, excavators, concrete pumps etc, scaffolding, rigging, painting, and/or any other activity th</w:t>
            </w:r>
            <w:r w:rsidRPr="00A1223E">
              <w:t>at requires working safely and complying with requirements and/or established procedures near live electrical apparatus by a non-electrical worker/</w:t>
            </w:r>
          </w:p>
          <w:p w:rsidR="00000000" w:rsidRPr="00A1223E" w:rsidP="00A1223E">
            <w:pPr>
              <w:pStyle w:val="BodyText"/>
            </w:pPr>
            <w:r w:rsidRPr="00A1223E">
              <w:t>Working safely up to the defined "safe working zone" near energised electrical apparatus (inc. electrical po</w:t>
            </w:r>
            <w:r w:rsidRPr="00A1223E">
              <w:t>werlines) for non-electrical worker including an understanding of risk assessment control measures that encompass job safety assessment but excluding any work that is or may be performed by other competent operatives within the defined "safe working zone".</w:t>
            </w:r>
            <w:r w:rsidRPr="00A1223E">
              <w:t xml:space="preserve"> </w:t>
            </w:r>
          </w:p>
          <w:p w:rsidR="00000000" w:rsidRPr="00A1223E" w:rsidP="00A1223E">
            <w:pPr>
              <w:pStyle w:val="BodyText"/>
            </w:pPr>
            <w:r w:rsidRPr="00A1223E">
              <w:t>Safe use of plant, equipment and tools within electrical environments including but not limited by the electricity supply infrastructure assets, infrastructure constructions and excavations including an understanding of safe approach distances zones/Safe</w:t>
            </w:r>
            <w:r w:rsidRPr="00A1223E">
              <w:t xml:space="preserve"> Working Clearance, work permit(s) and/or access authorisation permits, technical standards and Industry Guidelines, rural applications, road construction, pavements and effect of inclement weather</w:t>
            </w:r>
          </w:p>
          <w:p w:rsidR="00000000" w:rsidP="00A1223E">
            <w:pPr>
              <w:pStyle w:val="BodyText"/>
              <w:rPr>
                <w:lang w:val="en-NZ"/>
              </w:rPr>
            </w:pPr>
            <w:r w:rsidRPr="00A1223E">
              <w:t>The following constants and variables included in the elem</w:t>
            </w:r>
            <w:r w:rsidRPr="00A1223E">
              <w:t>ent/Performance Criteria in this unit are fully described in the Definitions Section 1 of this volume and form an integral part of the Range Statement of this unit:</w:t>
            </w:r>
          </w:p>
        </w:tc>
      </w:tr>
      <w:tr w:rsidTr="008D692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1223E" w:rsidP="00A1223E">
            <w:pPr>
              <w:pStyle w:val="ListBullet"/>
            </w:pPr>
            <w:r w:rsidRPr="00A1223E">
              <w:t>Appropriate and relevant persons</w:t>
            </w:r>
          </w:p>
          <w:p w:rsidR="00000000" w:rsidRPr="00A1223E" w:rsidP="00A1223E">
            <w:pPr>
              <w:pStyle w:val="ListBullet"/>
            </w:pPr>
            <w:r w:rsidRPr="00A1223E">
              <w:t xml:space="preserve">Appropriate authorities </w:t>
            </w:r>
          </w:p>
          <w:p w:rsidR="00000000" w:rsidRPr="00A1223E" w:rsidP="00A1223E">
            <w:pPr>
              <w:pStyle w:val="ListBullet"/>
            </w:pPr>
            <w:r w:rsidRPr="00A1223E">
              <w:t>Assessing risk</w:t>
            </w:r>
          </w:p>
          <w:p w:rsidR="00000000" w:rsidRPr="00A1223E" w:rsidP="00A1223E">
            <w:pPr>
              <w:pStyle w:val="ListBullet"/>
            </w:pPr>
            <w:r w:rsidRPr="00A1223E">
              <w:t>Authorisation</w:t>
            </w:r>
          </w:p>
          <w:p w:rsidR="00000000" w:rsidRPr="00A1223E" w:rsidP="00A1223E">
            <w:pPr>
              <w:pStyle w:val="ListBullet"/>
            </w:pPr>
            <w:r w:rsidRPr="00A1223E">
              <w:t>Drawings and specifications</w:t>
            </w:r>
          </w:p>
          <w:p w:rsidR="00000000" w:rsidRPr="00A1223E" w:rsidP="00A1223E">
            <w:pPr>
              <w:pStyle w:val="ListBullet"/>
            </w:pPr>
            <w:r w:rsidRPr="00A1223E">
              <w:t>Emergency</w:t>
            </w:r>
          </w:p>
          <w:p w:rsidR="00000000" w:rsidRPr="00A1223E" w:rsidP="00A1223E">
            <w:pPr>
              <w:pStyle w:val="ListBullet"/>
            </w:pPr>
            <w:r w:rsidRPr="00A1223E">
              <w:t>Established procedures</w:t>
            </w:r>
          </w:p>
          <w:p w:rsidR="00000000" w:rsidRPr="00A1223E" w:rsidP="00A1223E">
            <w:pPr>
              <w:pStyle w:val="ListBullet"/>
            </w:pPr>
            <w:r w:rsidRPr="00A1223E">
              <w:t>Hazards</w:t>
            </w:r>
          </w:p>
          <w:p w:rsidR="00000000" w:rsidRPr="00A1223E" w:rsidP="00A1223E">
            <w:pPr>
              <w:pStyle w:val="ListBullet"/>
            </w:pPr>
            <w:r w:rsidRPr="00A1223E">
              <w:t>Identifying hazards</w:t>
            </w:r>
          </w:p>
          <w:p w:rsidR="00000000" w:rsidRPr="00A1223E" w:rsidP="00A1223E">
            <w:pPr>
              <w:pStyle w:val="ListBullet"/>
            </w:pPr>
            <w:r w:rsidRPr="00A1223E">
              <w:t>Legislation</w:t>
            </w:r>
          </w:p>
          <w:p w:rsidR="00000000" w:rsidRPr="00A1223E" w:rsidP="00A1223E">
            <w:pPr>
              <w:pStyle w:val="ListBullet"/>
            </w:pPr>
            <w:r w:rsidRPr="00A1223E">
              <w:t>Notification</w:t>
            </w:r>
          </w:p>
          <w:p w:rsidR="00000000" w:rsidRPr="00A1223E" w:rsidP="00A1223E">
            <w:pPr>
              <w:pStyle w:val="ListBullet"/>
            </w:pPr>
            <w:r w:rsidRPr="00A1223E">
              <w:t>OHS practices</w:t>
            </w:r>
          </w:p>
          <w:p w:rsidR="00000000" w:rsidRPr="00A1223E" w:rsidP="00A1223E">
            <w:pPr>
              <w:pStyle w:val="ListBullet"/>
            </w:pPr>
            <w:r w:rsidRPr="00A1223E">
              <w:t>OHS issues</w:t>
            </w:r>
          </w:p>
          <w:p w:rsidR="00000000" w:rsidRPr="00A1223E" w:rsidP="00A1223E">
            <w:pPr>
              <w:pStyle w:val="ListBullet"/>
            </w:pPr>
            <w:r w:rsidRPr="00A1223E">
              <w:t>Permits and/or permits to work</w:t>
            </w:r>
          </w:p>
          <w:p w:rsidR="00000000" w:rsidRPr="00A1223E" w:rsidP="00A1223E">
            <w:pPr>
              <w:pStyle w:val="ListBullet"/>
            </w:pPr>
            <w:r w:rsidRPr="00A1223E">
              <w:t>Work clearance systems</w:t>
            </w:r>
          </w:p>
        </w:tc>
      </w:tr>
    </w:tbl>
    <w:p w:rsidR="008D692B" w:rsidP="00A1223E">
      <w:pPr>
        <w:pStyle w:val="BodyText"/>
      </w:pPr>
    </w:p>
    <w:p w:rsidR="008D692B" w:rsidP="00A1223E">
      <w:pPr>
        <w:pStyle w:val="BodyText"/>
      </w:pPr>
    </w:p>
    <w:p w:rsidR="00000000" w:rsidRPr="00A1223E" w:rsidP="00A1223E">
      <w:pPr>
        <w:pStyle w:val="Heading1"/>
      </w:pPr>
      <w:bookmarkStart w:id="12" w:name="O_297155"/>
      <w:bookmarkEnd w:id="12"/>
      <w:r w:rsidRPr="00A1223E">
        <w:t>Unit Sector(s)</w:t>
      </w:r>
    </w:p>
    <w:p w:rsidR="00000000" w:rsidRPr="00A1223E" w:rsidP="00A1223E">
      <w:pPr>
        <w:pStyle w:val="BodyText"/>
      </w:pPr>
      <w:r w:rsidRPr="00A1223E">
        <w:t>Not Applicable</w:t>
      </w:r>
    </w:p>
    <w:p w:rsidR="00000000" w:rsidRPr="00A1223E" w:rsidP="00A1223E">
      <w:pPr>
        <w:pStyle w:val="AllowPageBreak"/>
      </w:pPr>
    </w:p>
    <w:p w:rsidR="00000000" w:rsidRPr="00A1223E" w:rsidP="00A1223E">
      <w:pPr>
        <w:pStyle w:val="Heading1"/>
      </w:pPr>
      <w:bookmarkStart w:id="13" w:name="O_231378"/>
      <w:bookmarkEnd w:id="13"/>
      <w:r w:rsidRPr="00A1223E">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D692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2</w:t>
            </w:r>
            <w:r w:rsidRPr="00A1223E">
              <w:t>.</w:t>
            </w:r>
            <w:r w:rsidRPr="00A1223E">
              <w:rPr>
                <w:rStyle w:val="SpecialBold"/>
              </w:rPr>
              <w:t>2 Literacy and numeracy skills</w:t>
            </w:r>
          </w:p>
          <w:p w:rsidR="00000000" w:rsidP="00A1223E">
            <w:pPr>
              <w:pStyle w:val="BodyText"/>
              <w:rPr>
                <w:lang w:val="en-NZ"/>
              </w:rPr>
            </w:pPr>
            <w:r w:rsidRPr="00A1223E">
              <w:t xml:space="preserve">Participants are best equipped to achieve this unit if they have reading, writing and numeracy skills indicated by the following scales. Description of each scale is given in Volume </w:t>
            </w:r>
            <w:r w:rsidRPr="00A1223E">
              <w:t>2, Part 3 "Literacy and Numeracy"</w:t>
            </w:r>
          </w:p>
        </w:tc>
      </w:tr>
      <w:tr w:rsidTr="008D692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Reading</w:t>
            </w:r>
          </w:p>
        </w:tc>
        <w:tc>
          <w:tcPr>
            <w:tcW w:w="1182"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w:t>
            </w:r>
          </w:p>
        </w:tc>
        <w:tc>
          <w:tcPr>
            <w:tcW w:w="1739"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Writing</w:t>
            </w:r>
          </w:p>
        </w:tc>
        <w:tc>
          <w:tcPr>
            <w:tcW w:w="1182"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3</w:t>
            </w:r>
          </w:p>
        </w:tc>
        <w:tc>
          <w:tcPr>
            <w:tcW w:w="1721"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t>Numeracy</w:t>
            </w:r>
          </w:p>
        </w:tc>
        <w:tc>
          <w:tcPr>
            <w:tcW w:w="1182"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3</w:t>
            </w:r>
          </w:p>
        </w:tc>
      </w:tr>
    </w:tbl>
    <w:p w:rsidR="008D692B" w:rsidP="00A1223E">
      <w:pPr>
        <w:pStyle w:val="BodyText"/>
      </w:pPr>
    </w:p>
    <w:p w:rsidR="008D692B" w:rsidP="00A1223E">
      <w:pPr>
        <w:pStyle w:val="BodyText"/>
      </w:pPr>
    </w:p>
    <w:p w:rsidR="00000000" w:rsidRPr="00A1223E" w:rsidP="00A1223E">
      <w:pPr>
        <w:pStyle w:val="Heading1"/>
      </w:pPr>
      <w:bookmarkStart w:id="14" w:name="O_231381"/>
      <w:bookmarkEnd w:id="14"/>
      <w:r w:rsidRPr="00A1223E">
        <w:t>Competency Field</w:t>
      </w:r>
    </w:p>
    <w:tbl>
      <w:tblPr>
        <w:tblW w:w="0" w:type="auto"/>
        <w:tblLayout w:type="fixed"/>
        <w:tblCellMar>
          <w:left w:w="62" w:type="dxa"/>
          <w:right w:w="62" w:type="dxa"/>
        </w:tblCellMar>
        <w:tblLook w:val="0000"/>
      </w:tblPr>
      <w:tblGrid>
        <w:gridCol w:w="2700"/>
        <w:gridCol w:w="5760"/>
      </w:tblGrid>
      <w:tr w:rsidTr="008D69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1223E">
            <w:pPr>
              <w:pStyle w:val="BodyText"/>
              <w:rPr>
                <w:lang w:val="en-NZ"/>
              </w:rPr>
            </w:pPr>
            <w:r w:rsidRPr="00A1223E">
              <w:rPr>
                <w:rStyle w:val="SpecialBold"/>
              </w:rPr>
              <w:t>5</w:t>
            </w:r>
            <w:r w:rsidRPr="00A1223E">
              <w:t>)</w:t>
            </w:r>
          </w:p>
        </w:tc>
      </w:tr>
      <w:tr w:rsidTr="008D69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23E" w:rsidP="00A1223E">
            <w:pPr>
              <w:pStyle w:val="BodyText"/>
            </w:pPr>
            <w:r w:rsidRPr="00A1223E">
              <w:t>Entry Level - Cross Discipline Units.</w:t>
            </w:r>
          </w:p>
        </w:tc>
      </w:tr>
    </w:tbl>
    <w:p w:rsidR="008D692B" w:rsidP="00A1223E">
      <w:pPr>
        <w:pStyle w:val="BodyText"/>
      </w:pPr>
    </w:p>
    <w:p w:rsidR="008D692B" w:rsidP="00A1223E">
      <w:pPr>
        <w:pStyle w:val="BodyText"/>
      </w:pPr>
    </w:p>
    <w:p w:rsidR="00000000" w:rsidRPr="00A1223E" w:rsidP="00A1223E"/>
    <w:sectPr w:rsidSect="00A122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92B" w:rsidP="008D69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2B" w:rsidP="00A122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692B" w:rsidP="00A122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692B" w:rsidP="00A122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E" w:rsidRPr="008D692B" w:rsidP="008D69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92B" w:rsidRPr="002D2AF8" w:rsidP="00A1223E">
    <w:pPr>
      <w:pStyle w:val="Header"/>
      <w:framePr w:wrap="around"/>
    </w:pPr>
    <w:r>
      <w:fldChar w:fldCharType="begin"/>
    </w:r>
    <w:r>
      <w:instrText xml:space="preserve"> TITLE   \* MERGEFORMAT </w:instrText>
    </w:r>
    <w:r>
      <w:fldChar w:fldCharType="separate"/>
    </w:r>
    <w:r>
      <w:t>UETTDREL04B Working safely near live electrical apparatus as non electrical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D692B" w:rsidP="00A12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A48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EF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8C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23E"/>
    <w:pPr>
      <w:spacing w:before="360" w:after="60"/>
      <w:outlineLvl w:val="0"/>
    </w:pPr>
    <w:rPr>
      <w:sz w:val="32"/>
    </w:rPr>
  </w:style>
  <w:style w:type="paragraph" w:styleId="Heading2">
    <w:name w:val="heading 2"/>
    <w:basedOn w:val="HeadingBase"/>
    <w:next w:val="BodyText"/>
    <w:link w:val="Heading2Char"/>
    <w:qFormat/>
    <w:rsid w:val="00A1223E"/>
    <w:pPr>
      <w:keepLines/>
      <w:spacing w:before="240" w:after="120"/>
      <w:outlineLvl w:val="1"/>
    </w:pPr>
    <w:rPr>
      <w:sz w:val="28"/>
      <w:szCs w:val="40"/>
    </w:rPr>
  </w:style>
  <w:style w:type="paragraph" w:styleId="Heading3">
    <w:name w:val="heading 3"/>
    <w:basedOn w:val="HeadingBase"/>
    <w:next w:val="BodyText"/>
    <w:link w:val="Heading3Char"/>
    <w:qFormat/>
    <w:rsid w:val="00A1223E"/>
    <w:pPr>
      <w:spacing w:before="180" w:after="120"/>
      <w:outlineLvl w:val="2"/>
    </w:pPr>
    <w:rPr>
      <w:spacing w:val="-10"/>
      <w:kern w:val="32"/>
    </w:rPr>
  </w:style>
  <w:style w:type="paragraph" w:styleId="Heading4">
    <w:name w:val="heading 4"/>
    <w:basedOn w:val="HeadingBase"/>
    <w:next w:val="BodyText"/>
    <w:link w:val="Heading4Char"/>
    <w:qFormat/>
    <w:rsid w:val="00A1223E"/>
    <w:pPr>
      <w:spacing w:before="160" w:after="120"/>
      <w:outlineLvl w:val="3"/>
    </w:pPr>
    <w:rPr>
      <w:sz w:val="22"/>
    </w:rPr>
  </w:style>
  <w:style w:type="paragraph" w:styleId="Heading5">
    <w:name w:val="heading 5"/>
    <w:basedOn w:val="HeadingBase"/>
    <w:next w:val="Normal"/>
    <w:link w:val="Heading5Char"/>
    <w:qFormat/>
    <w:rsid w:val="00A1223E"/>
    <w:pPr>
      <w:spacing w:before="80"/>
      <w:outlineLvl w:val="4"/>
    </w:pPr>
    <w:rPr>
      <w:color w:val="918585"/>
      <w:sz w:val="20"/>
    </w:rPr>
  </w:style>
  <w:style w:type="paragraph" w:styleId="Heading6">
    <w:name w:val="heading 6"/>
    <w:basedOn w:val="HeadingBase"/>
    <w:next w:val="Normal"/>
    <w:link w:val="Heading6Char"/>
    <w:qFormat/>
    <w:rsid w:val="00A1223E"/>
    <w:pPr>
      <w:spacing w:before="60"/>
      <w:outlineLvl w:val="5"/>
    </w:pPr>
    <w:rPr>
      <w:color w:val="918585"/>
      <w:sz w:val="20"/>
    </w:rPr>
  </w:style>
  <w:style w:type="paragraph" w:styleId="Heading7">
    <w:name w:val="heading 7"/>
    <w:basedOn w:val="Normal"/>
    <w:next w:val="Normal"/>
    <w:link w:val="Heading7Char"/>
    <w:qFormat/>
    <w:rsid w:val="00A1223E"/>
    <w:pPr>
      <w:ind w:left="720"/>
      <w:outlineLvl w:val="6"/>
    </w:pPr>
    <w:rPr>
      <w:i/>
    </w:rPr>
  </w:style>
  <w:style w:type="paragraph" w:styleId="Heading8">
    <w:name w:val="heading 8"/>
    <w:basedOn w:val="Normal"/>
    <w:next w:val="Normal"/>
    <w:link w:val="Heading8Char"/>
    <w:qFormat/>
    <w:rsid w:val="00A1223E"/>
    <w:pPr>
      <w:ind w:left="720"/>
      <w:outlineLvl w:val="7"/>
    </w:pPr>
    <w:rPr>
      <w:i/>
    </w:rPr>
  </w:style>
  <w:style w:type="paragraph" w:styleId="Heading9">
    <w:name w:val="heading 9"/>
    <w:basedOn w:val="Normal"/>
    <w:next w:val="Normal"/>
    <w:link w:val="Heading9Char"/>
    <w:qFormat/>
    <w:rsid w:val="00A1223E"/>
    <w:pPr>
      <w:ind w:left="720"/>
      <w:outlineLvl w:val="8"/>
    </w:pPr>
    <w:rPr>
      <w:i/>
    </w:rPr>
  </w:style>
  <w:style w:type="character" w:default="1" w:styleId="DefaultParagraphFont">
    <w:name w:val="Default Paragraph Font"/>
    <w:uiPriority w:val="1"/>
    <w:unhideWhenUsed/>
    <w:rsid w:val="00A12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23E"/>
  </w:style>
  <w:style w:type="character" w:customStyle="1" w:styleId="Heading1Char">
    <w:name w:val="Heading 1 Char"/>
    <w:basedOn w:val="DefaultParagraphFont"/>
    <w:link w:val="Heading1"/>
    <w:rsid w:val="00A1223E"/>
    <w:rPr>
      <w:rFonts w:ascii="Times New Roman" w:eastAsia="Times New Roman" w:hAnsi="Times New Roman" w:cs="Times New Roman"/>
      <w:b/>
      <w:sz w:val="32"/>
      <w:szCs w:val="20"/>
      <w:lang w:eastAsia="en-US"/>
    </w:rPr>
  </w:style>
  <w:style w:type="paragraph" w:styleId="BodyText">
    <w:name w:val="Body Text"/>
    <w:basedOn w:val="Normal"/>
    <w:link w:val="BodyTextChar"/>
    <w:rsid w:val="00A122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23E"/>
    <w:rPr>
      <w:rFonts w:ascii="Times New Roman" w:eastAsia="Times New Roman" w:hAnsi="Times New Roman" w:cs="Times New Roman"/>
      <w:sz w:val="24"/>
      <w:lang w:eastAsia="en-US"/>
    </w:rPr>
  </w:style>
  <w:style w:type="paragraph" w:styleId="Footer">
    <w:name w:val="footer"/>
    <w:basedOn w:val="Normal"/>
    <w:link w:val="FooterChar"/>
    <w:rsid w:val="00A12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23E"/>
    <w:rPr>
      <w:rFonts w:ascii="Times New Roman" w:eastAsia="Times New Roman" w:hAnsi="Times New Roman" w:cs="Times New Roman"/>
      <w:sz w:val="16"/>
      <w:lang w:eastAsia="en-US"/>
    </w:rPr>
  </w:style>
  <w:style w:type="paragraph" w:styleId="ListBullet">
    <w:name w:val="List Bullet"/>
    <w:basedOn w:val="List"/>
    <w:rsid w:val="00A1223E"/>
    <w:pPr>
      <w:numPr>
        <w:numId w:val="13"/>
      </w:numPr>
      <w:tabs>
        <w:tab w:val="clear" w:pos="340"/>
      </w:tabs>
      <w:spacing w:before="40" w:after="40"/>
    </w:pPr>
  </w:style>
  <w:style w:type="character" w:customStyle="1" w:styleId="SpecialBold">
    <w:name w:val="Special Bold"/>
    <w:basedOn w:val="DefaultParagraphFont"/>
    <w:rsid w:val="00A1223E"/>
    <w:rPr>
      <w:b/>
      <w:spacing w:val="0"/>
    </w:rPr>
  </w:style>
  <w:style w:type="paragraph" w:styleId="ListBullet2">
    <w:name w:val="List Bullet 2"/>
    <w:basedOn w:val="List2"/>
    <w:rsid w:val="00A1223E"/>
    <w:pPr>
      <w:numPr>
        <w:numId w:val="14"/>
      </w:numPr>
      <w:tabs>
        <w:tab w:val="clear" w:pos="680"/>
      </w:tabs>
    </w:pPr>
  </w:style>
  <w:style w:type="paragraph" w:customStyle="1" w:styleId="SuperHeading">
    <w:name w:val="SuperHeading"/>
    <w:basedOn w:val="Normal"/>
    <w:rsid w:val="00A1223E"/>
    <w:pPr>
      <w:spacing w:before="240" w:after="120"/>
      <w:outlineLvl w:val="0"/>
    </w:pPr>
    <w:rPr>
      <w:rFonts w:ascii="Times New Roman" w:hAnsi="Times New Roman"/>
      <w:b/>
      <w:sz w:val="28"/>
    </w:rPr>
  </w:style>
  <w:style w:type="paragraph" w:customStyle="1" w:styleId="AllowPageBreak">
    <w:name w:val="AllowPageBreak"/>
    <w:rsid w:val="00A12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23E"/>
    <w:rPr>
      <w:rFonts w:ascii="Courier New" w:eastAsia="Times New Roman" w:hAnsi="Courier New" w:cs="Times New Roman"/>
      <w:i/>
      <w:szCs w:val="20"/>
      <w:lang w:eastAsia="en-US"/>
    </w:rPr>
  </w:style>
  <w:style w:type="paragraph" w:customStyle="1" w:styleId="HeadingBase">
    <w:name w:val="Heading Base"/>
    <w:rsid w:val="00A12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23E"/>
    <w:pPr>
      <w:tabs>
        <w:tab w:val="right" w:leader="dot" w:pos="9072"/>
      </w:tabs>
      <w:ind w:left="567"/>
    </w:pPr>
    <w:rPr>
      <w:szCs w:val="22"/>
    </w:rPr>
  </w:style>
  <w:style w:type="paragraph" w:customStyle="1" w:styleId="TOCBase">
    <w:name w:val="TOC Base"/>
    <w:rsid w:val="00A12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23E"/>
    <w:pPr>
      <w:tabs>
        <w:tab w:val="right" w:leader="dot" w:pos="9072"/>
      </w:tabs>
      <w:spacing w:before="40" w:after="40"/>
      <w:ind w:left="284"/>
    </w:pPr>
    <w:rPr>
      <w:rFonts w:ascii="Times New Roman" w:hAnsi="Times New Roman"/>
    </w:rPr>
  </w:style>
  <w:style w:type="paragraph" w:styleId="TOC1">
    <w:name w:val="toc 1"/>
    <w:basedOn w:val="TOCBase"/>
    <w:next w:val="Normal"/>
    <w:rsid w:val="00A122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23E"/>
    <w:pPr>
      <w:spacing w:before="5040"/>
      <w:jc w:val="center"/>
    </w:pPr>
    <w:rPr>
      <w:sz w:val="48"/>
      <w:szCs w:val="72"/>
      <w:lang w:val="en-US"/>
    </w:rPr>
  </w:style>
  <w:style w:type="character" w:customStyle="1" w:styleId="TitleChar">
    <w:name w:val="Title Char"/>
    <w:basedOn w:val="DefaultParagraphFont"/>
    <w:link w:val="Title"/>
    <w:rsid w:val="00A12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23E"/>
    <w:pPr>
      <w:tabs>
        <w:tab w:val="left" w:pos="3600"/>
        <w:tab w:val="left" w:pos="3958"/>
      </w:tabs>
    </w:pPr>
  </w:style>
  <w:style w:type="paragraph" w:styleId="List">
    <w:name w:val="List"/>
    <w:basedOn w:val="BodyText"/>
    <w:next w:val="BodyText"/>
    <w:rsid w:val="00A1223E"/>
    <w:pPr>
      <w:tabs>
        <w:tab w:val="left" w:pos="340"/>
      </w:tabs>
      <w:spacing w:before="60" w:after="60"/>
      <w:ind w:left="340" w:hanging="340"/>
    </w:pPr>
  </w:style>
  <w:style w:type="paragraph" w:customStyle="1" w:styleId="Note">
    <w:name w:val="Note"/>
    <w:basedOn w:val="BodyText"/>
    <w:rsid w:val="00A12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23E"/>
    <w:pPr>
      <w:framePr w:wrap="auto" w:hAnchor="text" w:y="6049"/>
    </w:pPr>
    <w:rPr>
      <w:color w:val="000000"/>
      <w:sz w:val="40"/>
    </w:rPr>
  </w:style>
  <w:style w:type="paragraph" w:customStyle="1" w:styleId="TOCTitle">
    <w:name w:val="TOCTitle"/>
    <w:basedOn w:val="Heading1"/>
    <w:rsid w:val="00A1223E"/>
    <w:pPr>
      <w:spacing w:after="240"/>
      <w:jc w:val="center"/>
      <w:outlineLvl w:val="9"/>
    </w:pPr>
    <w:rPr>
      <w:caps/>
    </w:rPr>
  </w:style>
  <w:style w:type="paragraph" w:customStyle="1" w:styleId="Version">
    <w:name w:val="Version"/>
    <w:rsid w:val="00A12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23E"/>
    <w:pPr>
      <w:keepNext w:val="0"/>
      <w:tabs>
        <w:tab w:val="right" w:pos="4176"/>
      </w:tabs>
      <w:ind w:left="198" w:hanging="198"/>
    </w:pPr>
    <w:rPr>
      <w:rFonts w:ascii="Garamond" w:hAnsi="Garamond"/>
    </w:rPr>
  </w:style>
  <w:style w:type="paragraph" w:styleId="IndexHeading">
    <w:name w:val="index heading"/>
    <w:basedOn w:val="Normal"/>
    <w:next w:val="Index1"/>
    <w:semiHidden/>
    <w:rsid w:val="00A1223E"/>
    <w:pPr>
      <w:spacing w:before="120" w:after="120"/>
    </w:pPr>
    <w:rPr>
      <w:rFonts w:ascii="Arial" w:hAnsi="Arial"/>
      <w:b/>
      <w:color w:val="918585"/>
      <w:sz w:val="24"/>
    </w:rPr>
  </w:style>
  <w:style w:type="paragraph" w:styleId="Header">
    <w:name w:val="header"/>
    <w:basedOn w:val="Normal"/>
    <w:link w:val="HeaderChar"/>
    <w:rsid w:val="00A12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23E"/>
    <w:rPr>
      <w:rFonts w:ascii="Times New Roman" w:eastAsia="Times New Roman" w:hAnsi="Times New Roman" w:cs="Times New Roman"/>
      <w:sz w:val="16"/>
      <w:szCs w:val="20"/>
      <w:lang w:val="en-GB" w:eastAsia="en-US"/>
    </w:rPr>
  </w:style>
  <w:style w:type="paragraph" w:customStyle="1" w:styleId="Chapter">
    <w:name w:val="Chapter"/>
    <w:basedOn w:val="Normal"/>
    <w:rsid w:val="00A1223E"/>
    <w:pPr>
      <w:spacing w:before="240"/>
    </w:pPr>
    <w:rPr>
      <w:rFonts w:ascii="Times New Roman" w:hAnsi="Times New Roman"/>
      <w:smallCaps/>
      <w:spacing w:val="80"/>
      <w:sz w:val="28"/>
    </w:rPr>
  </w:style>
  <w:style w:type="paragraph" w:customStyle="1" w:styleId="InChapter">
    <w:name w:val="InChapter"/>
    <w:basedOn w:val="Heading3"/>
    <w:rsid w:val="00A1223E"/>
    <w:pPr>
      <w:spacing w:after="240"/>
      <w:outlineLvl w:val="9"/>
    </w:pPr>
    <w:rPr>
      <w:noProof/>
    </w:rPr>
  </w:style>
  <w:style w:type="paragraph" w:styleId="Index2">
    <w:name w:val="index 2"/>
    <w:basedOn w:val="Normal"/>
    <w:next w:val="Normal"/>
    <w:semiHidden/>
    <w:rsid w:val="00A1223E"/>
    <w:pPr>
      <w:tabs>
        <w:tab w:val="right" w:pos="4176"/>
      </w:tabs>
      <w:ind w:left="568" w:hanging="284"/>
    </w:pPr>
    <w:rPr>
      <w:rFonts w:ascii="Garamond" w:hAnsi="Garamond"/>
    </w:rPr>
  </w:style>
  <w:style w:type="paragraph" w:customStyle="1" w:styleId="Byline">
    <w:name w:val="Byline"/>
    <w:rsid w:val="00A12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23E"/>
    <w:pPr>
      <w:tabs>
        <w:tab w:val="clear" w:pos="3600"/>
        <w:tab w:val="clear" w:pos="3958"/>
      </w:tabs>
      <w:jc w:val="right"/>
    </w:pPr>
  </w:style>
  <w:style w:type="character" w:styleId="Emphasis">
    <w:name w:val="Emphasis"/>
    <w:basedOn w:val="DefaultParagraphFont"/>
    <w:qFormat/>
    <w:rsid w:val="00A1223E"/>
    <w:rPr>
      <w:i/>
    </w:rPr>
  </w:style>
  <w:style w:type="paragraph" w:styleId="Caption">
    <w:name w:val="caption"/>
    <w:basedOn w:val="BodyText"/>
    <w:next w:val="Normal"/>
    <w:qFormat/>
    <w:rsid w:val="00A1223E"/>
    <w:pPr>
      <w:framePr w:w="2268" w:hSpace="181" w:vSpace="181" w:wrap="around" w:vAnchor="text" w:hAnchor="page" w:x="1135" w:y="285" w:anchorLock="1"/>
    </w:pPr>
    <w:rPr>
      <w:i/>
    </w:rPr>
  </w:style>
  <w:style w:type="paragraph" w:customStyle="1" w:styleId="MiniTOCTitle">
    <w:name w:val="MiniTOCTitle"/>
    <w:basedOn w:val="Heading4"/>
    <w:rsid w:val="00A1223E"/>
    <w:pPr>
      <w:spacing w:before="240"/>
      <w:outlineLvl w:val="9"/>
    </w:pPr>
    <w:rPr>
      <w:noProof/>
      <w:sz w:val="24"/>
    </w:rPr>
  </w:style>
  <w:style w:type="paragraph" w:customStyle="1" w:styleId="MiniTOCItem">
    <w:name w:val="MiniTOCItem"/>
    <w:basedOn w:val="ListBullet"/>
    <w:rsid w:val="00A1223E"/>
    <w:pPr>
      <w:numPr>
        <w:numId w:val="0"/>
      </w:numPr>
      <w:tabs>
        <w:tab w:val="right" w:leader="dot" w:pos="6521"/>
      </w:tabs>
      <w:spacing w:before="0" w:after="0"/>
    </w:pPr>
  </w:style>
  <w:style w:type="paragraph" w:customStyle="1" w:styleId="TOFTitle">
    <w:name w:val="TOFTitle"/>
    <w:basedOn w:val="TOCTitle"/>
    <w:rsid w:val="00A1223E"/>
  </w:style>
  <w:style w:type="paragraph" w:styleId="TableofFigures">
    <w:name w:val="table of figures"/>
    <w:basedOn w:val="Normal"/>
    <w:next w:val="Normal"/>
    <w:semiHidden/>
    <w:rsid w:val="00A1223E"/>
    <w:pPr>
      <w:tabs>
        <w:tab w:val="right" w:leader="dot" w:pos="9072"/>
      </w:tabs>
      <w:ind w:left="970" w:hanging="403"/>
    </w:pPr>
    <w:rPr>
      <w:rFonts w:ascii="Times New Roman" w:hAnsi="Times New Roman"/>
      <w:b/>
    </w:rPr>
  </w:style>
  <w:style w:type="paragraph" w:styleId="ListNumber">
    <w:name w:val="List Number"/>
    <w:basedOn w:val="List"/>
    <w:rsid w:val="00A1223E"/>
    <w:pPr>
      <w:numPr>
        <w:numId w:val="11"/>
      </w:numPr>
    </w:pPr>
  </w:style>
  <w:style w:type="character" w:customStyle="1" w:styleId="WingdingSymbols">
    <w:name w:val="Wingding Symbols"/>
    <w:rsid w:val="00A1223E"/>
    <w:rPr>
      <w:rFonts w:ascii="Wingdings" w:hAnsi="Wingdings"/>
    </w:rPr>
  </w:style>
  <w:style w:type="paragraph" w:customStyle="1" w:styleId="TableHeading">
    <w:name w:val="Table Heading"/>
    <w:basedOn w:val="HeadingBase"/>
    <w:rsid w:val="00A1223E"/>
    <w:pPr>
      <w:keepLines/>
      <w:pBdr>
        <w:bottom w:val="single" w:sz="6" w:space="1" w:color="918585"/>
      </w:pBdr>
      <w:spacing w:before="240"/>
    </w:pPr>
  </w:style>
  <w:style w:type="character" w:customStyle="1" w:styleId="HotSpot">
    <w:name w:val="HotSpot"/>
    <w:rsid w:val="00A1223E"/>
    <w:rPr>
      <w:color w:val="0033CC"/>
      <w:u w:val="none"/>
    </w:rPr>
  </w:style>
  <w:style w:type="paragraph" w:customStyle="1" w:styleId="BodyTextRight">
    <w:name w:val="Body Text Right"/>
    <w:basedOn w:val="BodyText"/>
    <w:rsid w:val="00A1223E"/>
    <w:pPr>
      <w:spacing w:before="0" w:after="0"/>
      <w:jc w:val="right"/>
    </w:pPr>
  </w:style>
  <w:style w:type="paragraph" w:styleId="Index3">
    <w:name w:val="index 3"/>
    <w:basedOn w:val="ListNumber2"/>
    <w:next w:val="Normal"/>
    <w:semiHidden/>
    <w:rsid w:val="00A1223E"/>
    <w:pPr>
      <w:numPr>
        <w:numId w:val="0"/>
      </w:numPr>
      <w:tabs>
        <w:tab w:val="right" w:leader="dot" w:pos="4176"/>
      </w:tabs>
    </w:pPr>
  </w:style>
  <w:style w:type="paragraph" w:styleId="ListNumber2">
    <w:name w:val="List Number 2"/>
    <w:basedOn w:val="List2"/>
    <w:rsid w:val="00A1223E"/>
    <w:pPr>
      <w:numPr>
        <w:numId w:val="10"/>
      </w:numPr>
      <w:tabs>
        <w:tab w:val="clear" w:pos="1060"/>
      </w:tabs>
    </w:pPr>
  </w:style>
  <w:style w:type="paragraph" w:customStyle="1" w:styleId="MarginNote">
    <w:name w:val="Margin Note"/>
    <w:basedOn w:val="BodyText"/>
    <w:rsid w:val="00A12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23E"/>
    <w:rPr>
      <w:sz w:val="32"/>
    </w:rPr>
  </w:style>
  <w:style w:type="paragraph" w:customStyle="1" w:styleId="HeadingProcedure">
    <w:name w:val="Heading Procedure"/>
    <w:basedOn w:val="HeadingBase"/>
    <w:next w:val="Normal"/>
    <w:rsid w:val="00A1223E"/>
    <w:pPr>
      <w:tabs>
        <w:tab w:val="left" w:pos="0"/>
      </w:tabs>
      <w:spacing w:before="120" w:after="60"/>
    </w:pPr>
    <w:rPr>
      <w:i/>
      <w:color w:val="918585"/>
      <w:sz w:val="22"/>
    </w:rPr>
  </w:style>
  <w:style w:type="paragraph" w:customStyle="1" w:styleId="TableBodyText">
    <w:name w:val="Table Body Text"/>
    <w:basedOn w:val="BodyText"/>
    <w:rsid w:val="00A1223E"/>
    <w:pPr>
      <w:spacing w:before="60" w:after="60"/>
    </w:pPr>
  </w:style>
  <w:style w:type="paragraph" w:styleId="ListContinue">
    <w:name w:val="List Continue"/>
    <w:basedOn w:val="List"/>
    <w:rsid w:val="00A1223E"/>
    <w:pPr>
      <w:ind w:firstLine="0"/>
    </w:pPr>
  </w:style>
  <w:style w:type="paragraph" w:customStyle="1" w:styleId="ListNote">
    <w:name w:val="List Note"/>
    <w:basedOn w:val="List"/>
    <w:rsid w:val="00A1223E"/>
    <w:pPr>
      <w:pBdr>
        <w:top w:val="single" w:sz="6" w:space="2" w:color="918585"/>
        <w:bottom w:val="single" w:sz="6" w:space="2" w:color="918585"/>
      </w:pBdr>
      <w:tabs>
        <w:tab w:val="left" w:pos="1021"/>
      </w:tabs>
      <w:ind w:firstLine="0"/>
    </w:pPr>
  </w:style>
  <w:style w:type="paragraph" w:customStyle="1" w:styleId="Warning">
    <w:name w:val="Warning"/>
    <w:basedOn w:val="BodyText"/>
    <w:rsid w:val="00A1223E"/>
    <w:pPr>
      <w:shd w:val="clear" w:color="auto" w:fill="D9D9D9"/>
      <w:tabs>
        <w:tab w:val="left" w:pos="992"/>
      </w:tabs>
      <w:ind w:left="119" w:right="119"/>
    </w:pPr>
    <w:rPr>
      <w:sz w:val="20"/>
    </w:rPr>
  </w:style>
  <w:style w:type="paragraph" w:customStyle="1" w:styleId="MarginIcons">
    <w:name w:val="Margin Icons"/>
    <w:basedOn w:val="BodyText"/>
    <w:rsid w:val="00A12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23E"/>
    <w:rPr>
      <w:rFonts w:ascii="Courier New" w:hAnsi="Courier New"/>
    </w:rPr>
  </w:style>
  <w:style w:type="paragraph" w:customStyle="1" w:styleId="NoteBullet">
    <w:name w:val="Note Bullet"/>
    <w:basedOn w:val="Note"/>
    <w:rsid w:val="00A1223E"/>
    <w:pPr>
      <w:tabs>
        <w:tab w:val="clear" w:pos="680"/>
      </w:tabs>
      <w:spacing w:before="60" w:after="60"/>
    </w:pPr>
  </w:style>
  <w:style w:type="paragraph" w:customStyle="1" w:styleId="SubHeading2">
    <w:name w:val="SubHeading2"/>
    <w:basedOn w:val="HeadingBase"/>
    <w:rsid w:val="00A1223E"/>
    <w:pPr>
      <w:spacing w:before="240" w:after="60"/>
    </w:pPr>
    <w:rPr>
      <w:sz w:val="20"/>
    </w:rPr>
  </w:style>
  <w:style w:type="paragraph" w:customStyle="1" w:styleId="SubHeading1">
    <w:name w:val="SubHeading1"/>
    <w:basedOn w:val="HeadingBase"/>
    <w:rsid w:val="00A1223E"/>
    <w:pPr>
      <w:spacing w:before="240" w:after="60"/>
    </w:pPr>
    <w:rPr>
      <w:color w:val="918585"/>
      <w:sz w:val="22"/>
    </w:rPr>
  </w:style>
  <w:style w:type="paragraph" w:customStyle="1" w:styleId="SideHeading">
    <w:name w:val="Side Heading"/>
    <w:basedOn w:val="HeadingBase"/>
    <w:rsid w:val="00A12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23E"/>
    <w:pPr>
      <w:numPr>
        <w:numId w:val="12"/>
      </w:numPr>
    </w:pPr>
  </w:style>
  <w:style w:type="paragraph" w:styleId="PlainText">
    <w:name w:val="Plain Text"/>
    <w:basedOn w:val="Normal"/>
    <w:link w:val="PlainTextChar"/>
    <w:rsid w:val="00A1223E"/>
    <w:rPr>
      <w:sz w:val="20"/>
    </w:rPr>
  </w:style>
  <w:style w:type="character" w:customStyle="1" w:styleId="PlainTextChar">
    <w:name w:val="Plain Text Char"/>
    <w:basedOn w:val="DefaultParagraphFont"/>
    <w:link w:val="PlainText"/>
    <w:rsid w:val="00A1223E"/>
    <w:rPr>
      <w:rFonts w:ascii="Courier New" w:eastAsia="Times New Roman" w:hAnsi="Courier New" w:cs="Times New Roman"/>
      <w:sz w:val="20"/>
      <w:szCs w:val="20"/>
      <w:lang w:eastAsia="en-US"/>
    </w:rPr>
  </w:style>
  <w:style w:type="character" w:customStyle="1" w:styleId="MenuOption">
    <w:name w:val="Menu Option"/>
    <w:basedOn w:val="DefaultParagraphFont"/>
    <w:rsid w:val="00A1223E"/>
    <w:rPr>
      <w:b/>
      <w:smallCaps/>
    </w:rPr>
  </w:style>
  <w:style w:type="paragraph" w:customStyle="1" w:styleId="TableListNumber">
    <w:name w:val="Table List Number"/>
    <w:basedOn w:val="ListNumber"/>
    <w:rsid w:val="00A1223E"/>
    <w:pPr>
      <w:numPr>
        <w:numId w:val="0"/>
      </w:numPr>
    </w:pPr>
  </w:style>
  <w:style w:type="paragraph" w:styleId="TOC4">
    <w:name w:val="toc 4"/>
    <w:basedOn w:val="TOCBase"/>
    <w:next w:val="Normal"/>
    <w:semiHidden/>
    <w:rsid w:val="00A1223E"/>
    <w:pPr>
      <w:tabs>
        <w:tab w:val="right" w:leader="dot" w:pos="9071"/>
      </w:tabs>
      <w:ind w:left="1701"/>
    </w:pPr>
  </w:style>
  <w:style w:type="paragraph" w:customStyle="1" w:styleId="ListAlpha">
    <w:name w:val="List Alpha"/>
    <w:basedOn w:val="List"/>
    <w:rsid w:val="00A1223E"/>
    <w:pPr>
      <w:numPr>
        <w:numId w:val="9"/>
      </w:numPr>
    </w:pPr>
  </w:style>
  <w:style w:type="paragraph" w:customStyle="1" w:styleId="ListAlpha2">
    <w:name w:val="List Alpha 2"/>
    <w:basedOn w:val="List2"/>
    <w:rsid w:val="00A1223E"/>
    <w:pPr>
      <w:numPr>
        <w:numId w:val="8"/>
      </w:numPr>
    </w:pPr>
  </w:style>
  <w:style w:type="paragraph" w:styleId="List2">
    <w:name w:val="List 2"/>
    <w:basedOn w:val="BodyText"/>
    <w:rsid w:val="00A1223E"/>
    <w:pPr>
      <w:tabs>
        <w:tab w:val="left" w:pos="680"/>
      </w:tabs>
      <w:spacing w:before="60" w:after="60"/>
      <w:ind w:left="680" w:hanging="340"/>
    </w:pPr>
  </w:style>
  <w:style w:type="paragraph" w:styleId="List3">
    <w:name w:val="List 3"/>
    <w:basedOn w:val="BodyText"/>
    <w:rsid w:val="00A1223E"/>
    <w:pPr>
      <w:tabs>
        <w:tab w:val="left" w:pos="1021"/>
      </w:tabs>
      <w:spacing w:before="60" w:after="60"/>
      <w:ind w:left="1020" w:hanging="340"/>
    </w:pPr>
  </w:style>
  <w:style w:type="paragraph" w:styleId="List4">
    <w:name w:val="List 4"/>
    <w:basedOn w:val="BodyText"/>
    <w:rsid w:val="00A1223E"/>
    <w:pPr>
      <w:tabs>
        <w:tab w:val="left" w:pos="1361"/>
      </w:tabs>
      <w:spacing w:before="60" w:after="60"/>
      <w:ind w:left="1361" w:hanging="340"/>
    </w:pPr>
  </w:style>
  <w:style w:type="paragraph" w:styleId="List5">
    <w:name w:val="List 5"/>
    <w:basedOn w:val="BodyText"/>
    <w:rsid w:val="00A1223E"/>
    <w:pPr>
      <w:tabs>
        <w:tab w:val="left" w:pos="1701"/>
      </w:tabs>
      <w:spacing w:before="60" w:after="60"/>
      <w:ind w:left="1701" w:hanging="340"/>
    </w:pPr>
  </w:style>
  <w:style w:type="paragraph" w:styleId="ListBullet3">
    <w:name w:val="List Bullet 3"/>
    <w:basedOn w:val="List3"/>
    <w:rsid w:val="00A1223E"/>
    <w:pPr>
      <w:numPr>
        <w:numId w:val="15"/>
      </w:numPr>
      <w:tabs>
        <w:tab w:val="clear" w:pos="1021"/>
      </w:tabs>
      <w:ind w:left="1037" w:hanging="357"/>
    </w:pPr>
  </w:style>
  <w:style w:type="paragraph" w:styleId="ListBullet4">
    <w:name w:val="List Bullet 4"/>
    <w:basedOn w:val="List4"/>
    <w:rsid w:val="00A1223E"/>
    <w:pPr>
      <w:numPr>
        <w:numId w:val="3"/>
      </w:numPr>
    </w:pPr>
  </w:style>
  <w:style w:type="paragraph" w:styleId="ListBullet5">
    <w:name w:val="List Bullet 5"/>
    <w:basedOn w:val="List5"/>
    <w:rsid w:val="00A1223E"/>
    <w:pPr>
      <w:numPr>
        <w:numId w:val="4"/>
      </w:numPr>
    </w:pPr>
  </w:style>
  <w:style w:type="paragraph" w:styleId="ListContinue2">
    <w:name w:val="List Continue 2"/>
    <w:basedOn w:val="List2"/>
    <w:rsid w:val="00A1223E"/>
    <w:pPr>
      <w:ind w:firstLine="0"/>
    </w:pPr>
  </w:style>
  <w:style w:type="paragraph" w:styleId="ListContinue3">
    <w:name w:val="List Continue 3"/>
    <w:basedOn w:val="List3"/>
    <w:rsid w:val="00A1223E"/>
    <w:pPr>
      <w:ind w:left="1021" w:firstLine="0"/>
    </w:pPr>
  </w:style>
  <w:style w:type="paragraph" w:styleId="ListContinue4">
    <w:name w:val="List Continue 4"/>
    <w:basedOn w:val="List4"/>
    <w:rsid w:val="00A1223E"/>
    <w:pPr>
      <w:ind w:firstLine="0"/>
    </w:pPr>
  </w:style>
  <w:style w:type="paragraph" w:styleId="ListContinue5">
    <w:name w:val="List Continue 5"/>
    <w:basedOn w:val="List5"/>
    <w:rsid w:val="00A1223E"/>
    <w:pPr>
      <w:ind w:firstLine="0"/>
    </w:pPr>
  </w:style>
  <w:style w:type="paragraph" w:styleId="ListNumber3">
    <w:name w:val="List Number 3"/>
    <w:basedOn w:val="List3"/>
    <w:rsid w:val="00A1223E"/>
    <w:pPr>
      <w:numPr>
        <w:numId w:val="5"/>
      </w:numPr>
    </w:pPr>
  </w:style>
  <w:style w:type="paragraph" w:styleId="ListNumber4">
    <w:name w:val="List Number 4"/>
    <w:basedOn w:val="List4"/>
    <w:rsid w:val="00A1223E"/>
    <w:pPr>
      <w:numPr>
        <w:numId w:val="6"/>
      </w:numPr>
    </w:pPr>
  </w:style>
  <w:style w:type="paragraph" w:styleId="ListNumber5">
    <w:name w:val="List Number 5"/>
    <w:basedOn w:val="List5"/>
    <w:rsid w:val="00A1223E"/>
    <w:pPr>
      <w:numPr>
        <w:numId w:val="7"/>
      </w:numPr>
    </w:pPr>
  </w:style>
  <w:style w:type="paragraph" w:styleId="BlockText">
    <w:name w:val="Block Text"/>
    <w:basedOn w:val="Normal"/>
    <w:rsid w:val="00A1223E"/>
    <w:pPr>
      <w:spacing w:after="120"/>
      <w:ind w:left="1440" w:right="1440"/>
    </w:pPr>
  </w:style>
  <w:style w:type="character" w:customStyle="1" w:styleId="Subscript">
    <w:name w:val="Subscript"/>
    <w:basedOn w:val="DefaultParagraphFont"/>
    <w:rsid w:val="00A1223E"/>
    <w:rPr>
      <w:sz w:val="16"/>
      <w:vertAlign w:val="subscript"/>
    </w:rPr>
  </w:style>
  <w:style w:type="character" w:customStyle="1" w:styleId="Superscript">
    <w:name w:val="Superscript"/>
    <w:basedOn w:val="DefaultParagraphFont"/>
    <w:rsid w:val="00A1223E"/>
    <w:rPr>
      <w:sz w:val="16"/>
      <w:vertAlign w:val="superscript"/>
    </w:rPr>
  </w:style>
  <w:style w:type="character" w:customStyle="1" w:styleId="Symbols">
    <w:name w:val="Symbols"/>
    <w:basedOn w:val="DefaultParagraphFont"/>
    <w:rsid w:val="00A1223E"/>
    <w:rPr>
      <w:rFonts w:ascii="Symbol" w:hAnsi="Symbol"/>
    </w:rPr>
  </w:style>
  <w:style w:type="character" w:customStyle="1" w:styleId="MenuOptions">
    <w:name w:val="Menu Options"/>
    <w:basedOn w:val="DefaultParagraphFont"/>
    <w:rsid w:val="00A1223E"/>
    <w:rPr>
      <w:rFonts w:ascii="Arial Narrow" w:hAnsi="Arial Narrow"/>
      <w:smallCaps/>
    </w:rPr>
  </w:style>
  <w:style w:type="character" w:customStyle="1" w:styleId="Buttons">
    <w:name w:val="Buttons"/>
    <w:basedOn w:val="DefaultParagraphFont"/>
    <w:rsid w:val="00A1223E"/>
    <w:rPr>
      <w:b/>
    </w:rPr>
  </w:style>
  <w:style w:type="character" w:customStyle="1" w:styleId="Underlined">
    <w:name w:val="Underlined"/>
    <w:basedOn w:val="DefaultParagraphFont"/>
    <w:rsid w:val="00A1223E"/>
    <w:rPr>
      <w:u w:val="single"/>
    </w:rPr>
  </w:style>
  <w:style w:type="paragraph" w:customStyle="1" w:styleId="TableBodyTextRight">
    <w:name w:val="Table Body Text Right"/>
    <w:basedOn w:val="TableBodyText"/>
    <w:rsid w:val="00A1223E"/>
    <w:pPr>
      <w:widowControl w:val="0"/>
      <w:autoSpaceDE w:val="0"/>
      <w:autoSpaceDN w:val="0"/>
      <w:adjustRightInd w:val="0"/>
      <w:jc w:val="right"/>
    </w:pPr>
    <w:rPr>
      <w:rFonts w:cs="Arial"/>
      <w:szCs w:val="18"/>
    </w:rPr>
  </w:style>
  <w:style w:type="paragraph" w:customStyle="1" w:styleId="CopyrightText">
    <w:name w:val="Copyright Text"/>
    <w:basedOn w:val="BodyText"/>
    <w:rsid w:val="00A1223E"/>
    <w:rPr>
      <w:sz w:val="18"/>
    </w:rPr>
  </w:style>
  <w:style w:type="paragraph" w:customStyle="1" w:styleId="BodySmallRight">
    <w:name w:val="Body Small Right"/>
    <w:basedOn w:val="BodyTextRight"/>
    <w:rsid w:val="00A1223E"/>
    <w:rPr>
      <w:sz w:val="18"/>
      <w:szCs w:val="18"/>
    </w:rPr>
  </w:style>
  <w:style w:type="paragraph" w:customStyle="1" w:styleId="MarginEdition">
    <w:name w:val="Margin Edition"/>
    <w:basedOn w:val="MarginNote"/>
    <w:rsid w:val="00A1223E"/>
    <w:pPr>
      <w:spacing w:before="0" w:after="0"/>
    </w:pPr>
    <w:rPr>
      <w:rFonts w:ascii="Times New Roman" w:hAnsi="Times New Roman"/>
      <w:color w:val="999999"/>
    </w:rPr>
  </w:style>
  <w:style w:type="paragraph" w:customStyle="1" w:styleId="Spacer">
    <w:name w:val="Spacer"/>
    <w:basedOn w:val="Normal"/>
    <w:rsid w:val="00A1223E"/>
    <w:rPr>
      <w:sz w:val="2"/>
      <w:szCs w:val="2"/>
    </w:rPr>
  </w:style>
  <w:style w:type="character" w:customStyle="1" w:styleId="Small">
    <w:name w:val="Small"/>
    <w:basedOn w:val="DefaultParagraphFont"/>
    <w:rsid w:val="00A1223E"/>
    <w:rPr>
      <w:sz w:val="16"/>
    </w:rPr>
  </w:style>
  <w:style w:type="paragraph" w:customStyle="1" w:styleId="WideTable">
    <w:name w:val="Wide Table"/>
    <w:basedOn w:val="Normal"/>
    <w:rsid w:val="00A1223E"/>
    <w:pPr>
      <w:ind w:left="-1418"/>
    </w:pPr>
    <w:rPr>
      <w:sz w:val="2"/>
      <w:szCs w:val="2"/>
    </w:rPr>
  </w:style>
  <w:style w:type="character" w:styleId="PageNumber">
    <w:name w:val="page number"/>
    <w:basedOn w:val="DefaultParagraphFont"/>
    <w:rsid w:val="00A1223E"/>
  </w:style>
  <w:style w:type="paragraph" w:styleId="Quote">
    <w:name w:val="Quote"/>
    <w:basedOn w:val="Heading1"/>
    <w:link w:val="QuoteChar"/>
    <w:qFormat/>
    <w:rsid w:val="00A1223E"/>
    <w:rPr>
      <w:b w:val="0"/>
      <w:sz w:val="72"/>
      <w:szCs w:val="72"/>
      <w:lang w:val="en-NZ"/>
    </w:rPr>
  </w:style>
  <w:style w:type="character" w:customStyle="1" w:styleId="QuoteChar">
    <w:name w:val="Quote Char"/>
    <w:basedOn w:val="DefaultParagraphFont"/>
    <w:link w:val="Quote"/>
    <w:rsid w:val="00A12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23E"/>
    <w:pPr>
      <w:pageBreakBefore/>
    </w:pPr>
  </w:style>
  <w:style w:type="paragraph" w:customStyle="1" w:styleId="Border">
    <w:name w:val="Border"/>
    <w:basedOn w:val="Normal"/>
    <w:qFormat/>
    <w:rsid w:val="00A12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23E"/>
    <w:rPr>
      <w:b/>
      <w:bCs/>
      <w:i/>
      <w:iCs/>
      <w:color w:val="auto"/>
    </w:rPr>
  </w:style>
  <w:style w:type="paragraph" w:styleId="IntenseQuote">
    <w:name w:val="Intense Quote"/>
    <w:basedOn w:val="Normal"/>
    <w:next w:val="Normal"/>
    <w:link w:val="IntenseQuoteChar"/>
    <w:uiPriority w:val="30"/>
    <w:qFormat/>
    <w:rsid w:val="00A12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23E"/>
    <w:rPr>
      <w:smallCaps/>
      <w:color w:val="auto"/>
      <w:u w:val="single"/>
    </w:rPr>
  </w:style>
  <w:style w:type="character" w:styleId="IntenseReference">
    <w:name w:val="Intense Reference"/>
    <w:basedOn w:val="DefaultParagraphFont"/>
    <w:uiPriority w:val="32"/>
    <w:qFormat/>
    <w:rsid w:val="00A1223E"/>
    <w:rPr>
      <w:b/>
      <w:bCs/>
      <w:smallCaps/>
      <w:color w:val="auto"/>
      <w:spacing w:val="5"/>
      <w:u w:val="single"/>
    </w:rPr>
  </w:style>
  <w:style w:type="paragraph" w:customStyle="1" w:styleId="2ColumnHeading">
    <w:name w:val="2Column Heading"/>
    <w:basedOn w:val="BodyText"/>
    <w:qFormat/>
    <w:rsid w:val="00A1223E"/>
    <w:pPr>
      <w:spacing w:after="60"/>
      <w:ind w:left="-2268"/>
    </w:pPr>
    <w:rPr>
      <w:b/>
    </w:rPr>
  </w:style>
  <w:style w:type="paragraph" w:customStyle="1" w:styleId="Heading1TOC">
    <w:name w:val="Heading1 TOC"/>
    <w:basedOn w:val="Normal"/>
    <w:qFormat/>
    <w:rsid w:val="00A1223E"/>
    <w:pPr>
      <w:spacing w:before="240" w:after="120"/>
    </w:pPr>
    <w:rPr>
      <w:rFonts w:ascii="Times New Roman" w:hAnsi="Times New Roman"/>
      <w:b/>
      <w:sz w:val="32"/>
    </w:rPr>
  </w:style>
  <w:style w:type="paragraph" w:customStyle="1" w:styleId="Heading2TOC">
    <w:name w:val="Heading2 TOC"/>
    <w:basedOn w:val="Normal"/>
    <w:qFormat/>
    <w:rsid w:val="00A1223E"/>
    <w:pPr>
      <w:spacing w:before="240" w:after="60"/>
    </w:pPr>
    <w:rPr>
      <w:rFonts w:ascii="Times New Roman" w:hAnsi="Times New Roman"/>
      <w:b/>
      <w:sz w:val="28"/>
    </w:rPr>
  </w:style>
  <w:style w:type="character" w:customStyle="1" w:styleId="Underline">
    <w:name w:val="Underline"/>
    <w:basedOn w:val="DefaultParagraphFont"/>
    <w:qFormat/>
    <w:rsid w:val="00A1223E"/>
    <w:rPr>
      <w:u w:val="single"/>
    </w:rPr>
  </w:style>
  <w:style w:type="character" w:customStyle="1" w:styleId="BoldandItalics">
    <w:name w:val="Bold and Italics"/>
    <w:qFormat/>
    <w:rsid w:val="00A1223E"/>
    <w:rPr>
      <w:b/>
      <w:i/>
      <w:u w:val="none"/>
    </w:rPr>
  </w:style>
  <w:style w:type="paragraph" w:styleId="BalloonText">
    <w:name w:val="Balloon Text"/>
    <w:basedOn w:val="Normal"/>
    <w:link w:val="BalloonTextChar"/>
    <w:rsid w:val="00A1223E"/>
    <w:rPr>
      <w:rFonts w:ascii="Tahoma" w:hAnsi="Tahoma" w:cs="Tahoma"/>
      <w:sz w:val="16"/>
      <w:szCs w:val="16"/>
    </w:rPr>
  </w:style>
  <w:style w:type="character" w:customStyle="1" w:styleId="BalloonTextChar">
    <w:name w:val="Balloon Text Char"/>
    <w:basedOn w:val="DefaultParagraphFont"/>
    <w:link w:val="BalloonText"/>
    <w:rsid w:val="00A12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2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23E"/>
    <w:rPr>
      <w:b/>
      <w:color w:val="660033"/>
      <w:spacing w:val="0"/>
    </w:rPr>
  </w:style>
  <w:style w:type="paragraph" w:customStyle="1" w:styleId="Nameditemlist">
    <w:name w:val="Named item list"/>
    <w:basedOn w:val="BodyText"/>
    <w:qFormat/>
    <w:rsid w:val="00A122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2439</Words>
  <Characters>15073</Characters>
  <Application>Microsoft Office Word</Application>
  <DocSecurity>0</DocSecurity>
  <Lines>578</Lines>
  <Paragraphs>203</Paragraphs>
  <ScaleCrop>false</ScaleCrop>
  <Company>Author-it Software Corporation Ltd.</Company>
  <LinksUpToDate>false</LinksUpToDate>
  <CharactersWithSpaces>17344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UETTDREL04B Working safely near live electrical apparatus as non electrical worker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2012-10-10T06:24:00Z</dcterms:created>
  <dcterms:modified xsi:type="dcterms:W3CDTF">2012-10-10T06:24:00Z</dcterms:modified>
</cp:coreProperties>
</file>