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7AC" w:rsidP="002C47AC">
      <w:pPr>
        <w:pStyle w:val="Title"/>
      </w:pPr>
      <w:bookmarkStart w:id="0" w:name="_GoBack"/>
      <w:bookmarkEnd w:id="0"/>
      <w:r>
        <w:fldChar w:fldCharType="begin"/>
      </w:r>
      <w:r>
        <w:instrText xml:space="preserve"> TITLE   \* MERGEFORMAT </w:instrText>
      </w:r>
      <w:r>
        <w:fldChar w:fldCharType="separate"/>
      </w:r>
      <w:r>
        <w:t>UETTDREL03B Comply with environmental and incidental response procedures</w:t>
      </w:r>
      <w:r>
        <w:fldChar w:fldCharType="end"/>
      </w:r>
    </w:p>
    <w:p w:rsidR="002C47AC" w:rsidP="002C47AC">
      <w:pPr>
        <w:pStyle w:val="Version"/>
        <w:sectPr w:rsidSect="002A1A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1AA3" w:rsidP="002A1AA3">
      <w:pPr>
        <w:pStyle w:val="SuperHeading"/>
      </w:pPr>
      <w:r w:rsidRPr="002A1AA3">
        <w:t>UETTDREL03B Comply with environmental and incidental response procedures</w:t>
      </w:r>
    </w:p>
    <w:p w:rsidR="00000000" w:rsidRPr="002A1AA3" w:rsidP="002A1AA3">
      <w:pPr>
        <w:pStyle w:val="Heading1"/>
      </w:pPr>
      <w:bookmarkStart w:id="1" w:name="O_275460"/>
      <w:bookmarkEnd w:id="1"/>
      <w:r w:rsidRPr="002A1AA3">
        <w:t>Modification History</w:t>
      </w:r>
    </w:p>
    <w:p w:rsidR="00000000" w:rsidRPr="002A1AA3" w:rsidP="002A1AA3">
      <w:pPr>
        <w:pStyle w:val="BodyText"/>
      </w:pPr>
      <w:r w:rsidRPr="002A1AA3">
        <w:t>Not Applicable</w:t>
      </w:r>
    </w:p>
    <w:p w:rsidR="00000000" w:rsidRPr="002A1AA3" w:rsidP="002A1AA3">
      <w:pPr>
        <w:pStyle w:val="AllowPageBreak"/>
      </w:pPr>
    </w:p>
    <w:p w:rsidR="00000000" w:rsidRPr="002A1AA3" w:rsidP="002A1AA3">
      <w:pPr>
        <w:pStyle w:val="Heading1"/>
      </w:pPr>
      <w:bookmarkStart w:id="2" w:name="O_231368"/>
      <w:bookmarkEnd w:id="2"/>
      <w:r w:rsidRPr="002A1AA3">
        <w:t>Unit Descriptor</w:t>
      </w:r>
    </w:p>
    <w:tbl>
      <w:tblPr>
        <w:tblW w:w="0" w:type="auto"/>
        <w:tblLayout w:type="fixed"/>
        <w:tblCellMar>
          <w:left w:w="62" w:type="dxa"/>
          <w:right w:w="62" w:type="dxa"/>
        </w:tblCellMar>
        <w:tblLook w:val="0000"/>
      </w:tblPr>
      <w:tblGrid>
        <w:gridCol w:w="2700"/>
        <w:gridCol w:w="5760"/>
      </w:tblGrid>
      <w:tr w:rsidTr="002C47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rPr>
                <w:rStyle w:val="SpecialBold"/>
              </w:rPr>
              <w:t>1</w:t>
            </w:r>
            <w:r w:rsidRPr="002A1AA3">
              <w:t xml:space="preserve">) </w:t>
            </w:r>
          </w:p>
          <w:p w:rsidR="00000000" w:rsidP="002A1AA3">
            <w:pPr>
              <w:pStyle w:val="BodyText"/>
              <w:rPr>
                <w:lang w:val="en-NZ"/>
              </w:rPr>
            </w:pPr>
            <w:r w:rsidRPr="002A1AA3">
              <w:rPr>
                <w:rStyle w:val="SpecialBold"/>
              </w:rPr>
              <w:t>1</w:t>
            </w:r>
            <w:r w:rsidRPr="002A1AA3">
              <w:t>.</w:t>
            </w:r>
            <w:r w:rsidRPr="002A1AA3">
              <w:rPr>
                <w:rStyle w:val="SpecialBold"/>
              </w:rPr>
              <w:t>1</w:t>
            </w:r>
            <w:r w:rsidRPr="002A1AA3">
              <w:t xml:space="preserve">) </w:t>
            </w:r>
            <w:r w:rsidRPr="002A1AA3">
              <w:rPr>
                <w:rStyle w:val="SpecialBold"/>
              </w:rPr>
              <w:t>Descriptor</w:t>
            </w:r>
          </w:p>
        </w:tc>
      </w:tr>
      <w:tr w:rsidTr="002C47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t>This Competency Standard Unit covers the compliance of environmental and incidental response procedures whilst undertaking tasks in the Electricity Supply Industry workplace and refers to relevant legislation, codes and practices and established procedures</w:t>
            </w:r>
            <w:r w:rsidRPr="002A1AA3">
              <w:t xml:space="preserve">. The competency standard refers to compliance with relevant sections of Federal and State OHS and Environmental Protection Acts. The checking of plant and equipment should be performed through visual and mechanical checks. The plant and equipment used is </w:t>
            </w:r>
            <w:r w:rsidRPr="002A1AA3">
              <w:t>that typically used in preparing worksites and compliance with environmental policies and procedures. Relevant regulations and procedures are referred to, but not limited to, the worksite and the use of plant; machinery/equipment; cleaning materials and ai</w:t>
            </w:r>
            <w:r w:rsidRPr="002A1AA3">
              <w:t>ds; equipment operation; personal protective equipment e.g. safety boots, eye and ear protection, safety helmets.</w:t>
            </w:r>
          </w:p>
        </w:tc>
      </w:tr>
    </w:tbl>
    <w:p w:rsidR="002C47AC" w:rsidP="002A1AA3">
      <w:pPr>
        <w:pStyle w:val="BodyText"/>
      </w:pPr>
    </w:p>
    <w:p w:rsidR="002C47AC" w:rsidP="002A1AA3">
      <w:pPr>
        <w:pStyle w:val="BodyText"/>
      </w:pPr>
    </w:p>
    <w:p w:rsidR="00000000" w:rsidRPr="002A1AA3" w:rsidP="002A1AA3">
      <w:pPr>
        <w:pStyle w:val="Heading1"/>
      </w:pPr>
      <w:bookmarkStart w:id="3" w:name="O_231373"/>
      <w:bookmarkEnd w:id="3"/>
      <w:r w:rsidRPr="002A1AA3">
        <w:t>Application of the Unit</w:t>
      </w:r>
    </w:p>
    <w:tbl>
      <w:tblPr>
        <w:tblW w:w="0" w:type="auto"/>
        <w:tblLayout w:type="fixed"/>
        <w:tblCellMar>
          <w:left w:w="62" w:type="dxa"/>
          <w:right w:w="62" w:type="dxa"/>
        </w:tblCellMar>
        <w:tblLook w:val="0000"/>
      </w:tblPr>
      <w:tblGrid>
        <w:gridCol w:w="2700"/>
        <w:gridCol w:w="5760"/>
      </w:tblGrid>
      <w:tr w:rsidTr="002C47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rPr>
                <w:rStyle w:val="SpecialBold"/>
              </w:rPr>
              <w:t>4</w:t>
            </w:r>
            <w:r w:rsidRPr="002A1AA3">
              <w:t>)</w:t>
            </w:r>
          </w:p>
        </w:tc>
      </w:tr>
      <w:tr w:rsidTr="002C47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t>This Competency Standard Unit is intended to augment formally acquire</w:t>
            </w:r>
            <w:r w:rsidRPr="002A1AA3">
              <w:t>d competencies. It is suitable for employment-based programs under an approved contract of training.</w:t>
            </w:r>
          </w:p>
        </w:tc>
      </w:tr>
    </w:tbl>
    <w:p w:rsidR="002C47AC" w:rsidP="002A1AA3">
      <w:pPr>
        <w:pStyle w:val="BodyText"/>
      </w:pPr>
    </w:p>
    <w:p w:rsidR="002C47AC" w:rsidP="002A1AA3">
      <w:pPr>
        <w:pStyle w:val="BodyText"/>
      </w:pPr>
    </w:p>
    <w:p w:rsidR="00000000" w:rsidRPr="002A1AA3" w:rsidP="002A1AA3">
      <w:pPr>
        <w:pStyle w:val="Heading1"/>
      </w:pPr>
      <w:bookmarkStart w:id="4" w:name="O_231369"/>
      <w:bookmarkEnd w:id="4"/>
      <w:r w:rsidRPr="002A1AA3">
        <w:t>Licensing/Regulatory Information</w:t>
      </w:r>
    </w:p>
    <w:tbl>
      <w:tblPr>
        <w:tblW w:w="0" w:type="auto"/>
        <w:tblLayout w:type="fixed"/>
        <w:tblCellMar>
          <w:left w:w="62" w:type="dxa"/>
          <w:right w:w="62" w:type="dxa"/>
        </w:tblCellMar>
        <w:tblLook w:val="0000"/>
      </w:tblPr>
      <w:tblGrid>
        <w:gridCol w:w="8460"/>
      </w:tblGrid>
      <w:tr w:rsidTr="002C47A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rPr>
                <w:rStyle w:val="SpecialBold"/>
              </w:rPr>
              <w:t>1</w:t>
            </w:r>
            <w:r w:rsidRPr="002A1AA3">
              <w:t>.</w:t>
            </w:r>
            <w:r w:rsidRPr="002A1AA3">
              <w:rPr>
                <w:rStyle w:val="SpecialBold"/>
              </w:rPr>
              <w:t>2</w:t>
            </w:r>
            <w:r w:rsidRPr="002A1AA3">
              <w:t xml:space="preserve">) </w:t>
            </w:r>
            <w:r w:rsidRPr="002A1AA3">
              <w:rPr>
                <w:rStyle w:val="SpecialBold"/>
              </w:rPr>
              <w:t>License to practice</w:t>
            </w:r>
          </w:p>
        </w:tc>
      </w:tr>
      <w:tr w:rsidTr="002C47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t>The skills and knowledge described in this un</w:t>
            </w:r>
            <w:r w:rsidRPr="002A1AA3">
              <w:t>it may require a licence/registration to practice in the work place subject to regulations for undertaking of electrical work. Practice in workplace and during training is also subject to regulations directly related to Occupational Health and Safety, elec</w:t>
            </w:r>
            <w:r w:rsidRPr="002A1AA3">
              <w:t>tricity/telecommunications/gas/water industry safety and compliance, industrial relations, environmental protection, anti discrimination and training. Commonwealth, State/Territory or Local Government legislation and regulations may exist that limits the a</w:t>
            </w:r>
            <w:r w:rsidRPr="002A1AA3">
              <w:t>ge of operating certain equipment.</w:t>
            </w:r>
          </w:p>
        </w:tc>
      </w:tr>
    </w:tbl>
    <w:p w:rsidR="002C47AC" w:rsidP="002A1AA3">
      <w:pPr>
        <w:pStyle w:val="BodyText"/>
      </w:pPr>
    </w:p>
    <w:p w:rsidR="002C47AC" w:rsidP="002A1AA3">
      <w:pPr>
        <w:pStyle w:val="BodyText"/>
      </w:pPr>
    </w:p>
    <w:p w:rsidR="00000000" w:rsidRPr="002A1AA3" w:rsidP="002A1AA3">
      <w:pPr>
        <w:pStyle w:val="Heading1"/>
      </w:pPr>
      <w:bookmarkStart w:id="5" w:name="O_231370"/>
      <w:bookmarkEnd w:id="5"/>
      <w:r w:rsidRPr="002A1AA3">
        <w:t>Pre-Requisites</w:t>
      </w:r>
    </w:p>
    <w:tbl>
      <w:tblPr>
        <w:tblW w:w="0" w:type="auto"/>
        <w:tblLayout w:type="fixed"/>
        <w:tblCellMar>
          <w:left w:w="62" w:type="dxa"/>
          <w:right w:w="62" w:type="dxa"/>
        </w:tblCellMar>
        <w:tblLook w:val="0000"/>
      </w:tblPr>
      <w:tblGrid>
        <w:gridCol w:w="2700"/>
        <w:gridCol w:w="5760"/>
      </w:tblGrid>
      <w:tr w:rsidTr="002C47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rPr>
                <w:rStyle w:val="SpecialBold"/>
              </w:rPr>
              <w:t>Prerequisite Unit</w:t>
            </w:r>
            <w:r w:rsidRPr="002A1AA3">
              <w:t>(</w:t>
            </w:r>
            <w:r w:rsidRPr="002A1AA3">
              <w:rPr>
                <w:rStyle w:val="SpecialBold"/>
              </w:rPr>
              <w:t>s</w:t>
            </w:r>
            <w:r w:rsidRPr="002A1AA3">
              <w:t>)</w:t>
            </w:r>
          </w:p>
        </w:tc>
        <w:tc>
          <w:tcPr>
            <w:tcW w:w="57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rPr>
                <w:rStyle w:val="SpecialBold"/>
              </w:rPr>
              <w:t>2</w:t>
            </w:r>
            <w:r w:rsidRPr="002A1AA3">
              <w:t xml:space="preserve">) </w:t>
            </w:r>
          </w:p>
        </w:tc>
      </w:tr>
      <w:tr w:rsidTr="002C47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A1AA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rPr>
                <w:rStyle w:val="SpecialBold"/>
              </w:rPr>
              <w:t>2</w:t>
            </w:r>
            <w:r w:rsidRPr="002A1AA3">
              <w:t>.</w:t>
            </w:r>
            <w:r w:rsidRPr="002A1AA3">
              <w:rPr>
                <w:rStyle w:val="SpecialBold"/>
              </w:rPr>
              <w:t>1</w:t>
            </w:r>
            <w:r w:rsidRPr="002A1AA3">
              <w:t xml:space="preserve">) </w:t>
            </w:r>
            <w:r w:rsidRPr="002A1AA3">
              <w:rPr>
                <w:rStyle w:val="SpecialBold"/>
              </w:rPr>
              <w:t>Competencies</w:t>
            </w:r>
          </w:p>
        </w:tc>
      </w:tr>
      <w:tr w:rsidTr="002C47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t>There are no prerequisite competencies to this unit.</w:t>
            </w:r>
          </w:p>
        </w:tc>
      </w:tr>
    </w:tbl>
    <w:p w:rsidR="002C47AC" w:rsidP="002A1AA3">
      <w:pPr>
        <w:pStyle w:val="BodyText"/>
      </w:pPr>
    </w:p>
    <w:p w:rsidR="002C47AC" w:rsidP="002A1AA3">
      <w:pPr>
        <w:pStyle w:val="BodyText"/>
      </w:pPr>
    </w:p>
    <w:p w:rsidR="00000000" w:rsidRPr="002A1AA3" w:rsidP="002A1AA3">
      <w:pPr>
        <w:pStyle w:val="Heading1"/>
      </w:pPr>
      <w:bookmarkStart w:id="6" w:name="O_231372"/>
      <w:bookmarkEnd w:id="6"/>
      <w:r w:rsidRPr="002A1AA3">
        <w:t>Employability Skills Information</w:t>
      </w:r>
    </w:p>
    <w:tbl>
      <w:tblPr>
        <w:tblW w:w="0" w:type="auto"/>
        <w:tblLayout w:type="fixed"/>
        <w:tblCellMar>
          <w:left w:w="62" w:type="dxa"/>
          <w:right w:w="62" w:type="dxa"/>
        </w:tblCellMar>
        <w:tblLook w:val="0000"/>
      </w:tblPr>
      <w:tblGrid>
        <w:gridCol w:w="2700"/>
        <w:gridCol w:w="5760"/>
      </w:tblGrid>
      <w:tr w:rsidTr="002C47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rPr>
                <w:rStyle w:val="SpecialBold"/>
              </w:rPr>
              <w:t>3</w:t>
            </w:r>
            <w:r w:rsidRPr="002A1AA3">
              <w:t>)</w:t>
            </w:r>
          </w:p>
          <w:p w:rsidR="00000000" w:rsidRPr="002A1AA3" w:rsidP="002A1AA3">
            <w:pPr>
              <w:pStyle w:val="BodyText"/>
            </w:pPr>
            <w:r w:rsidRPr="002A1AA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A1AA3">
              <w:t>requirements.</w:t>
            </w:r>
          </w:p>
        </w:tc>
      </w:tr>
    </w:tbl>
    <w:p w:rsidR="002C47AC" w:rsidP="002A1AA3">
      <w:pPr>
        <w:pStyle w:val="BodyText"/>
      </w:pPr>
    </w:p>
    <w:p w:rsidR="002C47AC" w:rsidP="002A1AA3">
      <w:pPr>
        <w:pStyle w:val="BodyText"/>
      </w:pPr>
    </w:p>
    <w:p w:rsidR="00000000" w:rsidRPr="002A1AA3" w:rsidP="002A1AA3">
      <w:pPr>
        <w:pStyle w:val="Heading1"/>
      </w:pPr>
      <w:bookmarkStart w:id="7" w:name="O_293506"/>
      <w:bookmarkEnd w:id="7"/>
      <w:r w:rsidRPr="002A1AA3">
        <w:t>Elements and Performance Criteria Pre-Content</w:t>
      </w:r>
    </w:p>
    <w:tbl>
      <w:tblPr>
        <w:tblW w:w="0" w:type="auto"/>
        <w:tblLayout w:type="fixed"/>
        <w:tblCellMar>
          <w:left w:w="62" w:type="dxa"/>
          <w:right w:w="62" w:type="dxa"/>
        </w:tblCellMar>
        <w:tblLook w:val="0000"/>
      </w:tblPr>
      <w:tblGrid>
        <w:gridCol w:w="2700"/>
        <w:gridCol w:w="5760"/>
      </w:tblGrid>
      <w:tr w:rsidTr="002C47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rPr>
                <w:rStyle w:val="SpecialBold"/>
              </w:rPr>
              <w:t>6</w:t>
            </w:r>
            <w:r w:rsidRPr="002A1AA3">
              <w:t xml:space="preserve">) </w:t>
            </w:r>
            <w:r w:rsidRPr="002A1AA3">
              <w:rPr>
                <w:rStyle w:val="SpecialBold"/>
              </w:rPr>
              <w:t>Elements</w:t>
            </w:r>
            <w:r w:rsidRPr="002A1AA3">
              <w:t xml:space="preserve">: Elements describe the essential outcomes of a competency standard unit </w:t>
            </w:r>
          </w:p>
        </w:tc>
        <w:tc>
          <w:tcPr>
            <w:tcW w:w="5760" w:type="dxa"/>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t>Performance Criteria describe the required performance needed to demonstrate achievement of the element. Assessment of performance is to be consistent with the evidence guide.</w:t>
            </w:r>
          </w:p>
        </w:tc>
      </w:tr>
    </w:tbl>
    <w:p w:rsidR="00000000" w:rsidRPr="002A1AA3" w:rsidP="002A1AA3">
      <w:pPr>
        <w:pStyle w:val="BodyText"/>
      </w:pPr>
    </w:p>
    <w:p w:rsidR="00000000" w:rsidRPr="002A1AA3" w:rsidP="002A1AA3">
      <w:pPr>
        <w:pStyle w:val="AllowPageBreak"/>
      </w:pPr>
    </w:p>
    <w:p w:rsidR="00000000" w:rsidRPr="002A1AA3" w:rsidP="002A1AA3">
      <w:pPr>
        <w:pStyle w:val="Heading1"/>
      </w:pPr>
      <w:bookmarkStart w:id="8" w:name="O_240174"/>
      <w:bookmarkEnd w:id="8"/>
      <w:r w:rsidRPr="002A1AA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C47A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rPr>
                <w:rStyle w:val="SpecialBold"/>
              </w:rPr>
              <w:t>PERFORMANCE CRITER</w:t>
            </w:r>
            <w:r w:rsidRPr="002A1AA3">
              <w:rPr>
                <w:rStyle w:val="SpecialBold"/>
              </w:rPr>
              <w:t>IA</w:t>
            </w:r>
          </w:p>
        </w:tc>
      </w:tr>
      <w:tr w:rsidTr="002C47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1</w:t>
            </w:r>
          </w:p>
        </w:tc>
        <w:tc>
          <w:tcPr>
            <w:tcW w:w="2296" w:type="dxa"/>
            <w:vMerge w:val="restart"/>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Prepare to comply with environmental and incident response procedures</w:t>
            </w:r>
          </w:p>
        </w:tc>
        <w:tc>
          <w:tcPr>
            <w:tcW w:w="90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1.1</w:t>
            </w:r>
          </w:p>
        </w:tc>
        <w:tc>
          <w:tcPr>
            <w:tcW w:w="48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Work instructions are received and confirmed.</w:t>
            </w:r>
          </w:p>
        </w:tc>
      </w:tr>
      <w:tr w:rsidTr="002C47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1.2</w:t>
            </w:r>
          </w:p>
        </w:tc>
        <w:tc>
          <w:tcPr>
            <w:tcW w:w="48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Relevant requirements and established procedures to be followed for the work to be performed are discussed with all persons to establish and confirm the work schedule.</w:t>
            </w:r>
          </w:p>
        </w:tc>
      </w:tr>
      <w:tr w:rsidTr="002C47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1.3</w:t>
            </w:r>
          </w:p>
        </w:tc>
        <w:tc>
          <w:tcPr>
            <w:tcW w:w="48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OHS and environmental policies and procedures to be followed for the work to be performed are received and confirmed.</w:t>
            </w:r>
          </w:p>
        </w:tc>
      </w:tr>
      <w:tr w:rsidTr="002C47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1.4</w:t>
            </w:r>
          </w:p>
        </w:tc>
        <w:tc>
          <w:tcPr>
            <w:tcW w:w="48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Suggestions to assist with complying with environmental and incident response procedures are made to others involved in the work.</w:t>
            </w:r>
          </w:p>
        </w:tc>
      </w:tr>
      <w:tr w:rsidTr="002C47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1.5</w:t>
            </w:r>
          </w:p>
        </w:tc>
        <w:tc>
          <w:tcPr>
            <w:tcW w:w="48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Hazards are identified, OHS risks assessed and emergency exits kept clear according to given instructions and established procedures.</w:t>
            </w:r>
          </w:p>
        </w:tc>
      </w:tr>
      <w:tr w:rsidTr="002C47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1.6</w:t>
            </w:r>
          </w:p>
        </w:tc>
        <w:tc>
          <w:tcPr>
            <w:tcW w:w="48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 xml:space="preserve">Scope of </w:t>
            </w:r>
            <w:r w:rsidRPr="002A1AA3">
              <w:t>responsibility under any relevant work permits are received and confirmed according to requirements and established procedures with relevant persons.</w:t>
            </w:r>
          </w:p>
        </w:tc>
      </w:tr>
      <w:tr w:rsidTr="002C47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1.7</w:t>
            </w:r>
          </w:p>
        </w:tc>
        <w:tc>
          <w:tcPr>
            <w:tcW w:w="48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Resources including environmental compliance personal protective equipment required for the inciden</w:t>
            </w:r>
            <w:r w:rsidRPr="002A1AA3">
              <w:t>t are obtained and in working order according to established procedures.</w:t>
            </w:r>
          </w:p>
        </w:tc>
      </w:tr>
      <w:tr w:rsidTr="002C47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1.8</w:t>
            </w:r>
          </w:p>
        </w:tc>
        <w:tc>
          <w:tcPr>
            <w:tcW w:w="48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Relevant responsibilities associated with first aid and other related work safety procedures at the worksite are confirmed in accordance with requirements and established proce</w:t>
            </w:r>
            <w:r w:rsidRPr="002A1AA3">
              <w:t>dures to ensure safety measures are followed in the instance of an incident.</w:t>
            </w:r>
          </w:p>
        </w:tc>
      </w:tr>
      <w:tr w:rsidTr="002C47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1.9</w:t>
            </w:r>
          </w:p>
        </w:tc>
        <w:tc>
          <w:tcPr>
            <w:tcW w:w="48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Client issues are referred to appropriate persons in accordance with industry and community standards.</w:t>
            </w:r>
          </w:p>
        </w:tc>
      </w:tr>
      <w:tr w:rsidTr="002C47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1.10</w:t>
            </w:r>
          </w:p>
        </w:tc>
        <w:tc>
          <w:tcPr>
            <w:tcW w:w="48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Site is reviewed according to given instructions and the work schedule for a quality outcome and to minimise risk and damage to property, commerce and individuals in accordance with established procedures.</w:t>
            </w:r>
          </w:p>
        </w:tc>
      </w:tr>
      <w:tr w:rsidTr="002C47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1.11</w:t>
            </w:r>
          </w:p>
        </w:tc>
        <w:tc>
          <w:tcPr>
            <w:tcW w:w="48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 xml:space="preserve">Road signs, barriers and warning devices  </w:t>
            </w:r>
            <w:r w:rsidRPr="002A1AA3">
              <w:t>are positioned in accordance with requirements.</w:t>
            </w:r>
          </w:p>
        </w:tc>
      </w:tr>
      <w:tr w:rsidTr="002C47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2</w:t>
            </w:r>
          </w:p>
        </w:tc>
        <w:tc>
          <w:tcPr>
            <w:tcW w:w="2296"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 xml:space="preserve">Carry out compliance with environmental and incident response procedures </w:t>
            </w:r>
          </w:p>
        </w:tc>
        <w:tc>
          <w:tcPr>
            <w:tcW w:w="90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2.1</w:t>
            </w:r>
          </w:p>
        </w:tc>
        <w:tc>
          <w:tcPr>
            <w:tcW w:w="48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OHS and sustainable energy principles and practices to reduce the incidents of accidents and minimise waste are followed in acc</w:t>
            </w:r>
            <w:r w:rsidRPr="002A1AA3">
              <w:t>ordance with given instructions, requirements and/or established procedures.</w:t>
            </w:r>
          </w:p>
        </w:tc>
      </w:tr>
      <w:tr w:rsidTr="002C47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2.2</w:t>
            </w:r>
          </w:p>
        </w:tc>
        <w:tc>
          <w:tcPr>
            <w:tcW w:w="48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Environmental requirements for the work are mentioned, reviewed and control measures, recommended for inclusion in the work process.</w:t>
            </w:r>
          </w:p>
        </w:tc>
      </w:tr>
      <w:tr w:rsidTr="002C47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2.3</w:t>
            </w:r>
          </w:p>
        </w:tc>
        <w:tc>
          <w:tcPr>
            <w:tcW w:w="48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 xml:space="preserve">Any environmental incidents and </w:t>
            </w:r>
            <w:r w:rsidRPr="002A1AA3">
              <w:t>potential problems are referred to appropriate persons in accordance with established procedures.</w:t>
            </w:r>
          </w:p>
        </w:tc>
      </w:tr>
      <w:tr w:rsidTr="002C47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2.4</w:t>
            </w:r>
          </w:p>
        </w:tc>
        <w:tc>
          <w:tcPr>
            <w:tcW w:w="48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 xml:space="preserve">Lifting, climbing, working in confined spaces and or aloft, and use of power tools, techniques and practices are safely followed in accordance </w:t>
            </w:r>
            <w:r w:rsidRPr="002A1AA3">
              <w:t>with given instructions and according to requirements confirmed to eliminate the prospects of incidents.</w:t>
            </w:r>
          </w:p>
        </w:tc>
      </w:tr>
      <w:tr w:rsidTr="002C47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2.5</w:t>
            </w:r>
          </w:p>
        </w:tc>
        <w:tc>
          <w:tcPr>
            <w:tcW w:w="48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Operational knowledge for compliance with environmental and incident response procedures is confirmed to ensure completion in an agreed timefram</w:t>
            </w:r>
            <w:r w:rsidRPr="002A1AA3">
              <w:t>e and to quality standards with a minimum of waste according to requirements and established procedures.</w:t>
            </w:r>
          </w:p>
        </w:tc>
      </w:tr>
      <w:tr w:rsidTr="002C47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2.6</w:t>
            </w:r>
          </w:p>
        </w:tc>
        <w:tc>
          <w:tcPr>
            <w:tcW w:w="48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Complying with environmental and incident response procedures is carried out in accordance with given instructions and established procedures.</w:t>
            </w:r>
          </w:p>
        </w:tc>
      </w:tr>
      <w:tr w:rsidTr="002C47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2.7</w:t>
            </w:r>
          </w:p>
        </w:tc>
        <w:tc>
          <w:tcPr>
            <w:tcW w:w="48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Hazard warnings and safety signs are recognised and hazards and assessed OHS risks are reported to the immediate authorised persons for directions according to established procedures.</w:t>
            </w:r>
          </w:p>
        </w:tc>
      </w:tr>
      <w:tr w:rsidTr="002C47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2.8</w:t>
            </w:r>
          </w:p>
        </w:tc>
        <w:tc>
          <w:tcPr>
            <w:tcW w:w="48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N</w:t>
            </w:r>
            <w:r w:rsidRPr="002A1AA3">
              <w:t>on-routine events are referred to the immediate authorised persons for directions according to established procedures.</w:t>
            </w:r>
          </w:p>
        </w:tc>
      </w:tr>
      <w:tr w:rsidTr="002C47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2.9</w:t>
            </w:r>
          </w:p>
        </w:tc>
        <w:tc>
          <w:tcPr>
            <w:tcW w:w="48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Problems associated with complying with environmental and incident response procedures are dealt with using acquired known solutio</w:t>
            </w:r>
            <w:r w:rsidRPr="002A1AA3">
              <w:t>ns and skills related to routine procedures to ensure work instructions and established procedures are met.</w:t>
            </w:r>
          </w:p>
        </w:tc>
      </w:tr>
      <w:tr w:rsidTr="002C47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2.10</w:t>
            </w:r>
          </w:p>
        </w:tc>
        <w:tc>
          <w:tcPr>
            <w:tcW w:w="48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On going checks of quality of the work are undertaken in accordance with given instructions and established procedures.</w:t>
            </w:r>
          </w:p>
        </w:tc>
      </w:tr>
      <w:tr w:rsidTr="002C47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3</w:t>
            </w:r>
          </w:p>
        </w:tc>
        <w:tc>
          <w:tcPr>
            <w:tcW w:w="2296" w:type="dxa"/>
            <w:vMerge w:val="restart"/>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Complete the comp</w:t>
            </w:r>
            <w:r w:rsidRPr="002A1AA3">
              <w:t>liance with environmental and incident response procedures</w:t>
            </w:r>
          </w:p>
        </w:tc>
        <w:tc>
          <w:tcPr>
            <w:tcW w:w="90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3.1</w:t>
            </w:r>
          </w:p>
        </w:tc>
        <w:tc>
          <w:tcPr>
            <w:tcW w:w="48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Work undertaken is checked against work schedule and anomalies reported to authorised persons in accordance with established procedures.</w:t>
            </w:r>
          </w:p>
        </w:tc>
      </w:tr>
      <w:tr w:rsidTr="002C47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3.2</w:t>
            </w:r>
          </w:p>
        </w:tc>
        <w:tc>
          <w:tcPr>
            <w:tcW w:w="48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Accidents and incidents are reported to authorised persons in accordance with established procedures.</w:t>
            </w:r>
          </w:p>
        </w:tc>
      </w:tr>
      <w:tr w:rsidTr="002C47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3.3</w:t>
            </w:r>
          </w:p>
        </w:tc>
        <w:tc>
          <w:tcPr>
            <w:tcW w:w="48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Work site is rehabilitated, cleaned up and made safe in accordance with given instructions and established procedures.</w:t>
            </w:r>
          </w:p>
        </w:tc>
      </w:tr>
      <w:tr w:rsidTr="002C47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3.4</w:t>
            </w:r>
          </w:p>
        </w:tc>
        <w:tc>
          <w:tcPr>
            <w:tcW w:w="48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Tools, equipment and any surplus resources and materials are, where appropriate, cleaned, checked and returned to storage in accordance with established procedures.</w:t>
            </w:r>
          </w:p>
        </w:tc>
      </w:tr>
      <w:tr w:rsidTr="002C47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3.5</w:t>
            </w:r>
          </w:p>
        </w:tc>
        <w:tc>
          <w:tcPr>
            <w:tcW w:w="48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Appropriate persons are notified of work completion according to established procedu</w:t>
            </w:r>
            <w:r w:rsidRPr="002A1AA3">
              <w:t>res.</w:t>
            </w:r>
          </w:p>
        </w:tc>
      </w:tr>
      <w:tr w:rsidTr="002C47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3.6</w:t>
            </w:r>
          </w:p>
        </w:tc>
        <w:tc>
          <w:tcPr>
            <w:tcW w:w="4860" w:type="dxa"/>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t>Environmental completion records, report forms/data sheets are completed accurately in accordance with given instructions and established procedures.</w:t>
            </w:r>
          </w:p>
        </w:tc>
      </w:tr>
    </w:tbl>
    <w:p w:rsidR="002C47AC" w:rsidP="002A1AA3">
      <w:pPr>
        <w:pStyle w:val="BodyText"/>
      </w:pPr>
    </w:p>
    <w:p w:rsidR="002C47AC" w:rsidP="002A1AA3">
      <w:pPr>
        <w:pStyle w:val="BodyText"/>
      </w:pPr>
    </w:p>
    <w:p w:rsidR="00000000" w:rsidRPr="002A1AA3" w:rsidP="002A1AA3">
      <w:pPr>
        <w:pStyle w:val="Heading1"/>
      </w:pPr>
      <w:bookmarkStart w:id="9" w:name="O_263965"/>
      <w:bookmarkEnd w:id="9"/>
      <w:r w:rsidRPr="002A1AA3">
        <w:t>Required Skills and Knowledge</w:t>
      </w:r>
    </w:p>
    <w:tbl>
      <w:tblPr>
        <w:tblW w:w="0" w:type="auto"/>
        <w:tblLayout w:type="fixed"/>
        <w:tblCellMar>
          <w:left w:w="62" w:type="dxa"/>
          <w:right w:w="62" w:type="dxa"/>
        </w:tblCellMar>
        <w:tblLook w:val="0000"/>
      </w:tblPr>
      <w:tblGrid>
        <w:gridCol w:w="2700"/>
        <w:gridCol w:w="1080"/>
        <w:gridCol w:w="4680"/>
      </w:tblGrid>
      <w:tr w:rsidTr="002C47A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rPr>
                <w:rStyle w:val="SpecialBold"/>
              </w:rPr>
              <w:t>REQUIRED SKILLS AND KNOWLEDGE</w:t>
            </w:r>
          </w:p>
        </w:tc>
      </w:tr>
      <w:tr w:rsidTr="002C47A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rPr>
                <w:rStyle w:val="SpecialBold"/>
              </w:rPr>
              <w:t>7</w:t>
            </w:r>
            <w:r w:rsidRPr="002A1AA3">
              <w:t xml:space="preserve">) </w:t>
            </w:r>
            <w:r w:rsidRPr="002A1AA3">
              <w:rPr>
                <w:rStyle w:val="SpecialBold"/>
              </w:rPr>
              <w:t>Essential Knowledge and Associated Skills</w:t>
            </w:r>
            <w:r w:rsidRPr="002A1AA3">
              <w:t xml:space="preserve"> (</w:t>
            </w:r>
            <w:r w:rsidRPr="002A1AA3">
              <w:rPr>
                <w:rStyle w:val="SpecialBold"/>
              </w:rPr>
              <w:t>EKAS</w:t>
            </w:r>
            <w:r w:rsidRPr="002A1AA3">
              <w:t>): This describes the essential skills and knowledge and their level, required for this unit.</w:t>
            </w:r>
          </w:p>
        </w:tc>
      </w:tr>
      <w:tr w:rsidTr="002C47A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t>Evidence shall show that knowledge has been acquired of complying with environmental and incidental response pro</w:t>
            </w:r>
            <w:r w:rsidRPr="002A1AA3">
              <w:t xml:space="preserve">cedures. </w:t>
            </w:r>
          </w:p>
          <w:p w:rsidR="00000000" w:rsidRPr="002A1AA3" w:rsidP="002A1AA3">
            <w:pPr>
              <w:pStyle w:val="BodyText"/>
            </w:pPr>
            <w:r w:rsidRPr="002A1AA3">
              <w:t>All knowledge and skills detailed in this unit should be contextualised to current industry practices and technologies.</w:t>
            </w:r>
          </w:p>
          <w:p w:rsidR="00000000" w:rsidP="002A1AA3">
            <w:pPr>
              <w:pStyle w:val="BodyText"/>
              <w:rPr>
                <w:lang w:val="en-NZ"/>
              </w:rPr>
            </w:pPr>
            <w:r w:rsidRPr="002A1AA3">
              <w:t xml:space="preserve">The extent of the essential knowledge and associated skills (EKAS) required is given in Volume 2 - Part 2.2 EKAS. It forms an </w:t>
            </w:r>
            <w:r w:rsidRPr="002A1AA3">
              <w:t>integral part of this unit.</w:t>
            </w:r>
          </w:p>
        </w:tc>
      </w:tr>
      <w:tr w:rsidTr="002C47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E2.18.1</w:t>
            </w:r>
          </w:p>
        </w:tc>
        <w:tc>
          <w:tcPr>
            <w:tcW w:w="468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Occupational Health and Safety principles</w:t>
            </w:r>
          </w:p>
        </w:tc>
      </w:tr>
      <w:tr w:rsidTr="002C47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E2.18.2</w:t>
            </w:r>
          </w:p>
        </w:tc>
        <w:tc>
          <w:tcPr>
            <w:tcW w:w="468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Electrical safe working practice</w:t>
            </w:r>
          </w:p>
        </w:tc>
      </w:tr>
      <w:tr w:rsidTr="002C47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T2.3.1</w:t>
            </w:r>
          </w:p>
        </w:tc>
        <w:tc>
          <w:tcPr>
            <w:tcW w:w="468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Powerline safety practices</w:t>
            </w:r>
          </w:p>
        </w:tc>
      </w:tr>
      <w:tr w:rsidTr="002C47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T2.7.1</w:t>
            </w:r>
          </w:p>
        </w:tc>
        <w:tc>
          <w:tcPr>
            <w:tcW w:w="468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Environmental fundamentals</w:t>
            </w:r>
          </w:p>
        </w:tc>
      </w:tr>
      <w:tr w:rsidTr="002C47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T2.7.2</w:t>
            </w:r>
          </w:p>
        </w:tc>
        <w:tc>
          <w:tcPr>
            <w:tcW w:w="468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Material handling and the environment</w:t>
            </w:r>
          </w:p>
        </w:tc>
      </w:tr>
      <w:tr w:rsidTr="002C47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T2.8.1</w:t>
            </w:r>
          </w:p>
        </w:tc>
        <w:tc>
          <w:tcPr>
            <w:tcW w:w="468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Enterprise specific - policies and procedure instructions</w:t>
            </w:r>
          </w:p>
        </w:tc>
      </w:tr>
      <w:tr w:rsidTr="002C47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T2.8.2</w:t>
            </w:r>
          </w:p>
        </w:tc>
        <w:tc>
          <w:tcPr>
            <w:tcW w:w="4680" w:type="dxa"/>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t>Enterprise specific - OHS instructions</w:t>
            </w:r>
          </w:p>
        </w:tc>
      </w:tr>
    </w:tbl>
    <w:p w:rsidR="002C47AC" w:rsidP="002A1AA3">
      <w:pPr>
        <w:pStyle w:val="BodyText"/>
      </w:pPr>
    </w:p>
    <w:p w:rsidR="002C47AC" w:rsidP="002A1AA3">
      <w:pPr>
        <w:pStyle w:val="BodyText"/>
      </w:pPr>
    </w:p>
    <w:p w:rsidR="00000000" w:rsidRPr="002A1AA3" w:rsidP="002A1AA3">
      <w:pPr>
        <w:pStyle w:val="Heading1"/>
      </w:pPr>
      <w:bookmarkStart w:id="10" w:name="O_248157"/>
      <w:bookmarkEnd w:id="10"/>
      <w:r w:rsidRPr="002A1AA3">
        <w:t>Evidence Guide</w:t>
      </w:r>
    </w:p>
    <w:tbl>
      <w:tblPr>
        <w:tblW w:w="0" w:type="auto"/>
        <w:tblLayout w:type="fixed"/>
        <w:tblCellMar>
          <w:left w:w="62" w:type="dxa"/>
          <w:right w:w="62" w:type="dxa"/>
        </w:tblCellMar>
        <w:tblLook w:val="0000"/>
      </w:tblPr>
      <w:tblGrid>
        <w:gridCol w:w="2160"/>
        <w:gridCol w:w="540"/>
        <w:gridCol w:w="900"/>
        <w:gridCol w:w="360"/>
        <w:gridCol w:w="1260"/>
        <w:gridCol w:w="3216"/>
        <w:gridCol w:w="24"/>
      </w:tblGrid>
      <w:tr w:rsidTr="002C47AC">
        <w:tblPrEx>
          <w:tblW w:w="0" w:type="auto"/>
          <w:tblLayout w:type="fixed"/>
          <w:tblCellMar>
            <w:left w:w="62" w:type="dxa"/>
            <w:right w:w="62" w:type="dxa"/>
          </w:tblCellMar>
          <w:tblLook w:val="0000"/>
        </w:tblPrEx>
        <w:trPr>
          <w:tblHeader/>
        </w:trPr>
        <w:tc>
          <w:tcPr>
            <w:tcW w:w="8460" w:type="dxa"/>
            <w:gridSpan w:val="7"/>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rPr>
                <w:rStyle w:val="SpecialBold"/>
              </w:rPr>
              <w:t>EVIDENCE GUIDE</w:t>
            </w:r>
          </w:p>
        </w:tc>
      </w:tr>
      <w:tr w:rsidTr="002C47AC">
        <w:tblPrEx>
          <w:tblW w:w="0" w:type="auto"/>
          <w:tblLayout w:type="fixed"/>
          <w:tblCellMar>
            <w:left w:w="62" w:type="dxa"/>
            <w:right w:w="62" w:type="dxa"/>
          </w:tblCellMar>
          <w:tblLook w:val="0000"/>
        </w:tblPrEx>
        <w:tc>
          <w:tcPr>
            <w:tcW w:w="8460" w:type="dxa"/>
            <w:gridSpan w:val="7"/>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rPr>
                <w:rStyle w:val="SpecialBold"/>
              </w:rPr>
              <w:t>9</w:t>
            </w:r>
            <w:r w:rsidRPr="002A1AA3">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2A1AA3">
            <w:pPr>
              <w:pStyle w:val="BodyText"/>
              <w:rPr>
                <w:lang w:val="en-NZ"/>
              </w:rPr>
            </w:pPr>
            <w:r w:rsidRPr="002A1AA3">
              <w:t>The Evidence Guide forms an integral part of this Competency Standard Unit and shall be used in conjunction with all component parts of this unit and, performed in accordance with the Assessment Guidelines of this Training Package.</w:t>
            </w:r>
          </w:p>
        </w:tc>
      </w:tr>
      <w:tr w:rsidTr="002C47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rPr>
                <w:rStyle w:val="SpecialBold"/>
              </w:rPr>
              <w:t>Overview of Assess</w:t>
            </w:r>
            <w:r w:rsidRPr="002A1AA3">
              <w:rPr>
                <w:rStyle w:val="SpecialBold"/>
              </w:rPr>
              <w:t>ment</w:t>
            </w:r>
          </w:p>
        </w:tc>
        <w:tc>
          <w:tcPr>
            <w:tcW w:w="6300" w:type="dxa"/>
            <w:gridSpan w:val="6"/>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rPr>
                <w:rStyle w:val="SpecialBold"/>
              </w:rPr>
              <w:t>9</w:t>
            </w:r>
            <w:r w:rsidRPr="002A1AA3">
              <w:t>.</w:t>
            </w:r>
            <w:r w:rsidRPr="002A1AA3">
              <w:rPr>
                <w:rStyle w:val="SpecialBold"/>
              </w:rPr>
              <w:t>1</w:t>
            </w:r>
            <w:r w:rsidRPr="002A1AA3">
              <w:t xml:space="preserve">) </w:t>
            </w:r>
            <w:r w:rsidRPr="002A1AA3">
              <w:rPr>
                <w:rStyle w:val="SpecialBold"/>
              </w:rPr>
              <w:t>Overview</w:t>
            </w:r>
            <w:r w:rsidRPr="002A1AA3">
              <w:t>:</w:t>
            </w:r>
          </w:p>
          <w:p w:rsidR="00000000" w:rsidRPr="002A1AA3" w:rsidP="002A1AA3">
            <w:pPr>
              <w:pStyle w:val="BodyText"/>
            </w:pPr>
            <w:r w:rsidRPr="002A1AA3">
              <w:t>Longitudinal competency development approaches to assessment, such as Profiling, require data to be reliably gathered in a form that can be consistently interpreted over time. This approach is best utilised in Apprenticeship programs an</w:t>
            </w:r>
            <w:r w:rsidRPr="002A1AA3">
              <w:t>d reduces assessment intervention. It is the Industry's preferred model for apprenticeships. However, where summative (or final) assessment is used it is to include the application of the competency in the normal work environment or, at a minimum, the appl</w:t>
            </w:r>
            <w:r w:rsidRPr="002A1AA3">
              <w:t>ication of the competency in a realistically simulated work environment. It is recognised that, in some circumstances, assessment in part or full can occur outside the workplace. However, it must be in accord with Industry and, Regulatory policy in this re</w:t>
            </w:r>
            <w:r w:rsidRPr="002A1AA3">
              <w:t>gard.</w:t>
            </w:r>
          </w:p>
          <w:p w:rsidR="00000000" w:rsidRPr="002A1AA3" w:rsidP="002A1AA3">
            <w:pPr>
              <w:pStyle w:val="BodyText"/>
            </w:pPr>
            <w:r w:rsidRPr="002A1AA3">
              <w:t>Methods chosen for a particular assessment will be influenced by various factors. These include the extent of the assessment, the most effective locations for the assessment activities to take place, access to physical resources, additional safety me</w:t>
            </w:r>
            <w:r w:rsidRPr="002A1AA3">
              <w:t>asures that may be required and the critical nature of the competencies being assessed.</w:t>
            </w:r>
          </w:p>
          <w:p w:rsidR="00000000" w:rsidRPr="002A1AA3" w:rsidP="002A1AA3">
            <w:pPr>
              <w:pStyle w:val="BodyText"/>
            </w:pPr>
            <w:r w:rsidRPr="002A1AA3">
              <w:t xml:space="preserve">The critical safety nature of working with electricity, electrical equipment, gas or any other hazardous substance/material carries risk in deeming a person competent. </w:t>
            </w:r>
            <w:r w:rsidRPr="002A1AA3">
              <w:t>Hence, sources of evidence need to be 'rich' in nature so as to minimise error in judgment.</w:t>
            </w:r>
          </w:p>
          <w:p w:rsidR="00000000" w:rsidP="002A1AA3">
            <w:pPr>
              <w:pStyle w:val="BodyText"/>
              <w:rPr>
                <w:lang w:val="en-NZ"/>
              </w:rPr>
            </w:pPr>
            <w:r w:rsidRPr="002A1AA3">
              <w:t>Activities associated with normal every day work have a bearing on the decision as to how much and how detailed the data gathered will contribute to its 'richness'.</w:t>
            </w:r>
            <w:r w:rsidRPr="002A1AA3">
              <w:t xml:space="preserve"> Some skills are more critical to safety and operational requirements while the same skills may be more or less frequently practiced. These points are raised for the assessors to consider when choosing an assessment method and developing assessment instrum</w:t>
            </w:r>
            <w:r w:rsidRPr="002A1AA3">
              <w:t>ents. Sample assessment instruments are included for Assessors in the Assessment Guidelines of this Training Package.</w:t>
            </w:r>
          </w:p>
        </w:tc>
      </w:tr>
      <w:tr w:rsidTr="002C47A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rPr>
                <w:rStyle w:val="SpecialBold"/>
              </w:rPr>
              <w:t>9</w:t>
            </w:r>
            <w:r w:rsidRPr="002A1AA3">
              <w:t>.</w:t>
            </w:r>
            <w:r w:rsidRPr="002A1AA3">
              <w:rPr>
                <w:rStyle w:val="SpecialBold"/>
              </w:rPr>
              <w:t>2</w:t>
            </w:r>
            <w:r w:rsidRPr="002A1AA3">
              <w:t xml:space="preserve">) </w:t>
            </w:r>
          </w:p>
          <w:p w:rsidR="00000000" w:rsidP="002A1AA3">
            <w:pPr>
              <w:pStyle w:val="BodyText"/>
              <w:rPr>
                <w:lang w:val="en-NZ"/>
              </w:rPr>
            </w:pPr>
            <w:r w:rsidRPr="002A1AA3">
              <w:t>Before the critical aspects of evidence are considered all prerequisites shall be met.</w:t>
            </w:r>
          </w:p>
        </w:tc>
      </w:tr>
      <w:tr w:rsidTr="002C47A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t>Evidence for competence in this unit shall be considered holistically. Each element and associated Performance Criteria shall be demonstrated on at least two occas</w:t>
            </w:r>
            <w:r w:rsidRPr="002A1AA3">
              <w:t>ions in accordance with the "Assessment Guidelines - UET09". Evidence shall also comprise:</w:t>
            </w:r>
          </w:p>
          <w:p w:rsidR="00000000" w:rsidP="002A1AA3">
            <w:pPr>
              <w:pStyle w:val="ListBullet"/>
              <w:rPr>
                <w:lang w:val="en-NZ"/>
              </w:rPr>
            </w:pPr>
            <w:r w:rsidRPr="002A1AA3">
              <w:t>A representative body of Performance Criteria demonstrated within the timeframes typically expected of the discipline, work function and industrial environment. In p</w:t>
            </w:r>
            <w:r w:rsidRPr="002A1AA3">
              <w:t>articular this shall incorporate evidence that shows a candidate is able to:</w:t>
            </w:r>
          </w:p>
        </w:tc>
      </w:tr>
      <w:tr w:rsidTr="002C47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2A1AA3" w:rsidP="002A1AA3">
            <w:pPr>
              <w:pStyle w:val="ListBullet2"/>
            </w:pPr>
            <w:r w:rsidRPr="002A1AA3">
              <w:t xml:space="preserve">Implement Occupational Health and Safety workplace procedures and practices including </w:t>
            </w:r>
            <w:r w:rsidRPr="002A1AA3">
              <w:t>the use of risk control measures as specified in the Performance Criteria and range; and</w:t>
            </w:r>
          </w:p>
          <w:p w:rsidR="00000000" w:rsidRPr="002A1AA3" w:rsidP="002A1AA3">
            <w:pPr>
              <w:pStyle w:val="ListBullet2"/>
            </w:pPr>
            <w:r w:rsidRPr="002A1AA3">
              <w:t>Apply sustainable energy principles and practices as specified in the Performance Criteria and range; and</w:t>
            </w:r>
          </w:p>
          <w:p w:rsidR="00000000" w:rsidRPr="002A1AA3" w:rsidP="002A1AA3">
            <w:pPr>
              <w:pStyle w:val="ListBullet2"/>
            </w:pPr>
            <w:r w:rsidRPr="002A1AA3">
              <w:t>Demonstrate an understanding of the essential knowledge and a</w:t>
            </w:r>
            <w:r w:rsidRPr="002A1AA3">
              <w:t>ssociated skills as described in this unit to such an extent that the learner's performance outcome is reported in accordance with the preferred approach; namely a percentile graded result, where required by the regulated environment; and</w:t>
            </w:r>
          </w:p>
          <w:p w:rsidR="00000000" w:rsidRPr="002A1AA3" w:rsidP="002A1AA3">
            <w:pPr>
              <w:pStyle w:val="ListBullet2"/>
            </w:pPr>
            <w:r w:rsidRPr="002A1AA3">
              <w:t>Demonstrate an ap</w:t>
            </w:r>
            <w:r w:rsidRPr="002A1AA3">
              <w:t>propriate level of employability skills; and</w:t>
            </w:r>
          </w:p>
          <w:p w:rsidR="00000000" w:rsidP="002A1AA3">
            <w:pPr>
              <w:pStyle w:val="ListBullet2"/>
              <w:rPr>
                <w:lang w:val="en-NZ"/>
              </w:rPr>
            </w:pPr>
            <w:r w:rsidRPr="002A1AA3">
              <w:t>Conduct work observing the relevant Anti Discrimination legislation, regulations, policies and workplace procedures; and</w:t>
            </w:r>
          </w:p>
        </w:tc>
      </w:tr>
      <w:tr w:rsidTr="002C47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2A1AA3">
            <w:pPr>
              <w:pStyle w:val="ListBullet"/>
              <w:rPr>
                <w:lang w:val="en-NZ"/>
              </w:rPr>
            </w:pPr>
            <w:r w:rsidRPr="002A1AA3">
              <w:t>Demonstrated performance across a representative range of contexts from the prescribed items below:</w:t>
            </w:r>
          </w:p>
        </w:tc>
      </w:tr>
      <w:tr w:rsidTr="002C47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2A1AA3">
            <w:pPr>
              <w:pStyle w:val="BodyText"/>
              <w:keepNext w:val="0"/>
              <w:keepLines w:val="0"/>
              <w:contextualSpacing w:val="0"/>
            </w:pPr>
          </w:p>
        </w:tc>
        <w:tc>
          <w:tcPr>
            <w:tcW w:w="576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AA3">
            <w:pPr>
              <w:pStyle w:val="BodyText"/>
              <w:rPr>
                <w:lang w:val="en-NZ"/>
              </w:rPr>
            </w:pPr>
            <w:r w:rsidRPr="002A1AA3">
              <w:rPr>
                <w:rStyle w:val="SpecialBold"/>
              </w:rPr>
              <w:t>Range of tools</w:t>
            </w:r>
            <w:r w:rsidRPr="002A1AA3">
              <w:t>/</w:t>
            </w:r>
            <w:r w:rsidRPr="002A1AA3">
              <w:rPr>
                <w:rStyle w:val="SpecialBold"/>
              </w:rPr>
              <w:t>equipment</w:t>
            </w:r>
            <w:r w:rsidRPr="002A1AA3">
              <w:t>/</w:t>
            </w:r>
            <w:r w:rsidRPr="002A1AA3">
              <w:rPr>
                <w:rStyle w:val="SpecialBold"/>
              </w:rPr>
              <w:t>materials</w:t>
            </w:r>
            <w:r w:rsidRPr="002A1AA3">
              <w:t>/</w:t>
            </w:r>
            <w:r w:rsidRPr="002A1AA3">
              <w:rPr>
                <w:rStyle w:val="SpecialBold"/>
              </w:rPr>
              <w:t>procedures</w:t>
            </w:r>
            <w:r w:rsidRPr="002A1AA3">
              <w:t>/</w:t>
            </w:r>
            <w:r w:rsidRPr="002A1AA3">
              <w:rPr>
                <w:rStyle w:val="SpecialBold"/>
              </w:rPr>
              <w:t>workplaces</w:t>
            </w:r>
            <w:r w:rsidRPr="002A1AA3">
              <w:t>/</w:t>
            </w:r>
            <w:r w:rsidRPr="002A1AA3">
              <w:rPr>
                <w:rStyle w:val="SpecialBold"/>
              </w:rPr>
              <w:t>other variables</w:t>
            </w:r>
          </w:p>
        </w:tc>
      </w:tr>
      <w:tr w:rsidTr="002C47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2A1AA3">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AA3" w:rsidP="002A1AA3">
            <w:pPr>
              <w:pStyle w:val="BodyText"/>
            </w:pPr>
            <w:r w:rsidRPr="002A1AA3">
              <w:rPr>
                <w:rStyle w:val="SpecialBold"/>
              </w:rPr>
              <w:t>Group No</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AA3" w:rsidP="002A1AA3">
            <w:pPr>
              <w:pStyle w:val="BodyText"/>
            </w:pPr>
            <w:r w:rsidRPr="002A1AA3">
              <w:rPr>
                <w:rStyle w:val="SpecialBold"/>
              </w:rPr>
              <w:t>The minimum number of items on which skill is to be demonstrated</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AA3">
            <w:pPr>
              <w:pStyle w:val="BodyText"/>
              <w:rPr>
                <w:lang w:val="en-NZ"/>
              </w:rPr>
            </w:pPr>
            <w:r w:rsidRPr="002A1AA3">
              <w:rPr>
                <w:rStyle w:val="SpecialBold"/>
              </w:rPr>
              <w:t>Item List</w:t>
            </w:r>
          </w:p>
        </w:tc>
      </w:tr>
      <w:tr w:rsidTr="002C47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AA3">
            <w:pPr>
              <w:pStyle w:val="BodyText"/>
              <w:rPr>
                <w:lang w:val="en-NZ"/>
              </w:rPr>
            </w:pPr>
            <w:r w:rsidRPr="002A1AA3">
              <w:t>A</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AA3">
            <w:pPr>
              <w:pStyle w:val="BodyText"/>
              <w:rPr>
                <w:lang w:val="en-NZ"/>
              </w:rPr>
            </w:pPr>
            <w:r w:rsidRPr="002A1AA3">
              <w:t>All of the following:</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AA3" w:rsidP="002A1AA3">
            <w:pPr>
              <w:pStyle w:val="BodyText"/>
            </w:pPr>
            <w:r w:rsidRPr="002A1AA3">
              <w:t>Identification of potential environmental hazards.</w:t>
            </w:r>
          </w:p>
          <w:p w:rsidR="00000000" w:rsidRPr="002A1AA3" w:rsidP="002A1AA3">
            <w:pPr>
              <w:pStyle w:val="BodyText"/>
            </w:pPr>
            <w:r w:rsidRPr="002A1AA3">
              <w:t>Practical application of environmental legislation and codes of practice.</w:t>
            </w:r>
          </w:p>
          <w:p w:rsidR="00000000" w:rsidRPr="002A1AA3" w:rsidP="002A1AA3">
            <w:pPr>
              <w:pStyle w:val="BodyText"/>
            </w:pPr>
            <w:r w:rsidRPr="002A1AA3">
              <w:t>Implement control measure(s</w:t>
            </w:r>
            <w:r w:rsidRPr="002A1AA3">
              <w:t>) to eliminate/reduce environmental hazard(s)/incident.</w:t>
            </w:r>
          </w:p>
          <w:p w:rsidR="00000000" w:rsidRPr="002A1AA3" w:rsidP="002A1AA3">
            <w:pPr>
              <w:pStyle w:val="BodyText"/>
            </w:pPr>
            <w:r w:rsidRPr="002A1AA3">
              <w:t>Apply incident reporting/recording/investigation procedures.</w:t>
            </w:r>
          </w:p>
          <w:p w:rsidR="00000000" w:rsidRPr="002A1AA3" w:rsidP="002A1AA3">
            <w:pPr>
              <w:pStyle w:val="BodyText"/>
            </w:pPr>
            <w:r w:rsidRPr="002A1AA3">
              <w:t>Maintain a safe and clean workplace environment.</w:t>
            </w:r>
          </w:p>
          <w:p w:rsidR="00000000" w:rsidP="002A1AA3">
            <w:pPr>
              <w:pStyle w:val="BodyText"/>
              <w:rPr>
                <w:lang w:val="en-NZ"/>
              </w:rPr>
            </w:pPr>
            <w:r w:rsidRPr="002A1AA3">
              <w:t>Apply safe manual handling techniques.</w:t>
            </w:r>
          </w:p>
        </w:tc>
      </w:tr>
      <w:tr w:rsidTr="002C47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AA3">
            <w:pPr>
              <w:pStyle w:val="BodyText"/>
              <w:rPr>
                <w:lang w:val="en-NZ"/>
              </w:rPr>
            </w:pPr>
            <w:r w:rsidRPr="002A1AA3">
              <w:t>B</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AA3">
            <w:pPr>
              <w:pStyle w:val="BodyText"/>
              <w:rPr>
                <w:lang w:val="en-NZ"/>
              </w:rPr>
            </w:pPr>
            <w:r w:rsidRPr="002A1AA3">
              <w:t>At least one occasion</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AA3">
            <w:pPr>
              <w:pStyle w:val="BodyText"/>
              <w:rPr>
                <w:lang w:val="en-NZ"/>
              </w:rPr>
            </w:pPr>
            <w:r w:rsidRPr="002A1AA3">
              <w:t>Dealing with an unplanned event by drawing on essential knowledge and associated skills to provide appropriate solutions incorporated in the holistic assessment with the above listed items.</w:t>
            </w:r>
          </w:p>
        </w:tc>
      </w:tr>
      <w:tr w:rsidTr="002C47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rPr>
                <w:rStyle w:val="SpecialBold"/>
              </w:rPr>
              <w:t>9</w:t>
            </w:r>
            <w:r w:rsidRPr="002A1AA3">
              <w:t>.</w:t>
            </w:r>
            <w:r w:rsidRPr="002A1AA3">
              <w:rPr>
                <w:rStyle w:val="SpecialBold"/>
              </w:rPr>
              <w:t>3</w:t>
            </w:r>
            <w:r w:rsidRPr="002A1AA3">
              <w:t xml:space="preserve">) </w:t>
            </w:r>
          </w:p>
          <w:p w:rsidR="00000000" w:rsidRPr="002A1AA3" w:rsidP="002A1AA3">
            <w:pPr>
              <w:pStyle w:val="BodyText"/>
            </w:pPr>
            <w:r w:rsidRPr="002A1AA3">
              <w:t xml:space="preserve">This unit </w:t>
            </w:r>
            <w:r w:rsidRPr="002A1AA3">
              <w:t>should be assessed as it relates to normal work practice using procedures, information and resources typical of a workplace. This should include:</w:t>
            </w:r>
          </w:p>
          <w:p w:rsidR="00000000" w:rsidRPr="002A1AA3" w:rsidP="002A1AA3">
            <w:pPr>
              <w:pStyle w:val="ListBullet"/>
            </w:pPr>
            <w:r w:rsidRPr="002A1AA3">
              <w:t>OHS policy and work procedures and instructions.</w:t>
            </w:r>
          </w:p>
          <w:p w:rsidR="00000000" w:rsidP="002A1AA3">
            <w:pPr>
              <w:pStyle w:val="ListBullet"/>
              <w:rPr>
                <w:lang w:val="en-NZ"/>
              </w:rPr>
            </w:pPr>
            <w:r w:rsidRPr="002A1AA3">
              <w:t>Suitable work environment, facilities, equipment and material</w:t>
            </w:r>
            <w:r w:rsidRPr="002A1AA3">
              <w:t>s to undertake environmental and incident response procedures</w:t>
            </w:r>
          </w:p>
        </w:tc>
      </w:tr>
      <w:tr w:rsidTr="002C47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 xml:space="preserve">In addition to the resources listed above, in Context of and specific resources for assessment, evidence should show demonstrated competency </w:t>
            </w:r>
            <w:r w:rsidRPr="002A1AA3">
              <w:t>working in a variety of conditions and realistic environments</w:t>
            </w:r>
          </w:p>
        </w:tc>
      </w:tr>
      <w:tr w:rsidTr="002C47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rPr>
                <w:rStyle w:val="SpecialBold"/>
              </w:rPr>
              <w:t>9</w:t>
            </w:r>
            <w:r w:rsidRPr="002A1AA3">
              <w:t>.</w:t>
            </w:r>
            <w:r w:rsidRPr="002A1AA3">
              <w:rPr>
                <w:rStyle w:val="SpecialBold"/>
              </w:rPr>
              <w:t>4</w:t>
            </w:r>
            <w:r w:rsidRPr="002A1AA3">
              <w:t xml:space="preserve">) </w:t>
            </w:r>
            <w:r w:rsidRPr="002A1AA3">
              <w:rPr>
                <w:rStyle w:val="SpecialBold"/>
              </w:rPr>
              <w:t>Assessment Method</w:t>
            </w:r>
            <w:r w:rsidRPr="002A1AA3">
              <w:t>(</w:t>
            </w:r>
            <w:r w:rsidRPr="002A1AA3">
              <w:rPr>
                <w:rStyle w:val="SpecialBold"/>
              </w:rPr>
              <w:t>s</w:t>
            </w:r>
            <w:r w:rsidRPr="002A1AA3">
              <w:t>):</w:t>
            </w:r>
          </w:p>
          <w:p w:rsidR="00000000" w:rsidRPr="002A1AA3" w:rsidP="002A1AA3">
            <w:pPr>
              <w:pStyle w:val="BodyText"/>
            </w:pPr>
            <w:r w:rsidRPr="002A1AA3">
              <w:t>This Competency Standard Unit shall be assessed by methods given in Volume 1, Part 3 "Assessment Guidelines".</w:t>
            </w:r>
          </w:p>
          <w:p w:rsidR="00000000" w:rsidP="002A1AA3">
            <w:pPr>
              <w:pStyle w:val="BodyText"/>
              <w:rPr>
                <w:lang w:val="en-NZ"/>
              </w:rPr>
            </w:pPr>
            <w:r w:rsidRPr="002A1AA3">
              <w:t>Note:</w:t>
            </w:r>
            <w:r w:rsidRPr="002A1AA3">
              <w:br/>
              <w:t>Competent performance wit</w:t>
            </w:r>
            <w:r w:rsidRPr="002A1AA3">
              <w:t>h inherent safe working practices is expected in the Industry to which this Competency Standard Unit applies. This requires that the specified essential knowledge and associated skills are assessed in a structured environment which is primarily intended fo</w:t>
            </w:r>
            <w:r w:rsidRPr="002A1AA3">
              <w:t>r learning/assessment and incorporates all necessary equipment and facilities for learners to develop and demonstrate the essential knowledge and associated skills described in this unit.</w:t>
            </w:r>
          </w:p>
        </w:tc>
      </w:tr>
      <w:tr w:rsidTr="002C47A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rPr>
                <w:rStyle w:val="SpecialBold"/>
              </w:rPr>
              <w:t>9</w:t>
            </w:r>
            <w:r w:rsidRPr="002A1AA3">
              <w:t>.</w:t>
            </w:r>
            <w:r w:rsidRPr="002A1AA3">
              <w:rPr>
                <w:rStyle w:val="SpecialBold"/>
              </w:rPr>
              <w:t>5</w:t>
            </w:r>
            <w:r w:rsidRPr="002A1AA3">
              <w:t>)</w:t>
            </w:r>
          </w:p>
        </w:tc>
      </w:tr>
      <w:tr w:rsidTr="002C47A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 xml:space="preserve">For optimisation of training and assessment effort, competence in this unit may be assessed concurrently with the following units: </w:t>
            </w:r>
          </w:p>
        </w:tc>
      </w:tr>
      <w:tr w:rsidTr="002C47AC">
        <w:tblPrEx>
          <w:tblW w:w="0" w:type="auto"/>
          <w:tblLayout w:type="fixed"/>
          <w:tblCellMar>
            <w:left w:w="62" w:type="dxa"/>
            <w:right w:w="62" w:type="dxa"/>
          </w:tblCellMar>
          <w:tblLook w:val="0000"/>
        </w:tblPrEx>
        <w:trPr>
          <w:gridAfter w:val="1"/>
          <w:wAfter w:w="24"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UEENEEE001B</w:t>
            </w:r>
          </w:p>
        </w:tc>
        <w:tc>
          <w:tcPr>
            <w:tcW w:w="4476" w:type="dxa"/>
            <w:gridSpan w:val="2"/>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Apply OHS practices in the workplace</w:t>
            </w:r>
          </w:p>
        </w:tc>
      </w:tr>
      <w:tr w:rsidTr="002C47AC">
        <w:tblPrEx>
          <w:tblW w:w="0" w:type="auto"/>
          <w:tblLayout w:type="fixed"/>
          <w:tblCellMar>
            <w:left w:w="62" w:type="dxa"/>
            <w:right w:w="62" w:type="dxa"/>
          </w:tblCellMar>
          <w:tblLook w:val="0000"/>
        </w:tblPrEx>
        <w:trPr>
          <w:gridAfter w:val="1"/>
          <w:wAfter w:w="24"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UETTDRTP02B</w:t>
            </w:r>
          </w:p>
        </w:tc>
        <w:tc>
          <w:tcPr>
            <w:tcW w:w="4476" w:type="dxa"/>
            <w:gridSpan w:val="2"/>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Establish and reinstate a transmission tower worksite</w:t>
            </w:r>
          </w:p>
        </w:tc>
      </w:tr>
      <w:tr w:rsidTr="002C47AC">
        <w:tblPrEx>
          <w:tblW w:w="0" w:type="auto"/>
          <w:tblLayout w:type="fixed"/>
          <w:tblCellMar>
            <w:left w:w="62" w:type="dxa"/>
            <w:right w:w="62" w:type="dxa"/>
          </w:tblCellMar>
          <w:tblLook w:val="0000"/>
        </w:tblPrEx>
        <w:trPr>
          <w:gridAfter w:val="1"/>
          <w:wAfter w:w="24"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UETTDRTP03B</w:t>
            </w:r>
          </w:p>
        </w:tc>
        <w:tc>
          <w:tcPr>
            <w:tcW w:w="4476" w:type="dxa"/>
            <w:gridSpan w:val="2"/>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Erect transmission towers</w:t>
            </w:r>
          </w:p>
        </w:tc>
      </w:tr>
      <w:tr w:rsidTr="002C47AC">
        <w:tblPrEx>
          <w:tblW w:w="0" w:type="auto"/>
          <w:tblLayout w:type="fixed"/>
          <w:tblCellMar>
            <w:left w:w="62" w:type="dxa"/>
            <w:right w:w="62" w:type="dxa"/>
          </w:tblCellMar>
          <w:tblLook w:val="0000"/>
        </w:tblPrEx>
        <w:trPr>
          <w:gridAfter w:val="1"/>
          <w:wAfter w:w="24" w:type="dxa"/>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UETTDRTP04B</w:t>
            </w:r>
          </w:p>
        </w:tc>
        <w:tc>
          <w:tcPr>
            <w:tcW w:w="4476" w:type="dxa"/>
            <w:gridSpan w:val="2"/>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t>Erect transmission tower hardware</w:t>
            </w:r>
          </w:p>
        </w:tc>
      </w:tr>
    </w:tbl>
    <w:p w:rsidR="002C47AC" w:rsidP="002A1AA3">
      <w:pPr>
        <w:pStyle w:val="BodyText"/>
      </w:pPr>
    </w:p>
    <w:p w:rsidR="002C47AC" w:rsidP="002A1AA3">
      <w:pPr>
        <w:pStyle w:val="BodyText"/>
      </w:pPr>
    </w:p>
    <w:p w:rsidR="00000000" w:rsidRPr="002A1AA3" w:rsidP="002A1AA3">
      <w:pPr>
        <w:pStyle w:val="Heading1"/>
      </w:pPr>
      <w:bookmarkStart w:id="11" w:name="O_256141"/>
      <w:bookmarkEnd w:id="11"/>
      <w:r w:rsidRPr="002A1AA3">
        <w:t>Range Statement</w:t>
      </w:r>
    </w:p>
    <w:tbl>
      <w:tblPr>
        <w:tblW w:w="0" w:type="auto"/>
        <w:tblLayout w:type="fixed"/>
        <w:tblCellMar>
          <w:left w:w="62" w:type="dxa"/>
          <w:right w:w="62" w:type="dxa"/>
        </w:tblCellMar>
        <w:tblLook w:val="0000"/>
      </w:tblPr>
      <w:tblGrid>
        <w:gridCol w:w="2160"/>
        <w:gridCol w:w="6300"/>
      </w:tblGrid>
      <w:tr w:rsidTr="002C47A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rPr>
                <w:rStyle w:val="SpecialBold"/>
              </w:rPr>
              <w:t>RANGE STATEMENT</w:t>
            </w:r>
          </w:p>
        </w:tc>
      </w:tr>
      <w:tr w:rsidTr="002C47A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rPr>
                <w:rStyle w:val="SpecialBold"/>
              </w:rPr>
              <w:t>8</w:t>
            </w:r>
            <w:r w:rsidRPr="002A1AA3">
              <w:t>) This relates to the competency standard unit as a whole providing the range of contexts and conditions to which the Performance Criteria apply. It allows for different work environments and situations that will affect performance.</w:t>
            </w:r>
          </w:p>
        </w:tc>
      </w:tr>
      <w:tr w:rsidTr="002C47A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t>This Competency Stand</w:t>
            </w:r>
            <w:r w:rsidRPr="002A1AA3">
              <w:t>ard Unit shall/may be demonstrated in relation to complying with environmental and incident response procedures.</w:t>
            </w:r>
          </w:p>
          <w:p w:rsidR="00000000" w:rsidP="002A1AA3">
            <w:pPr>
              <w:pStyle w:val="BodyText"/>
              <w:rPr>
                <w:lang w:val="en-NZ"/>
              </w:rPr>
            </w:pPr>
            <w:r w:rsidRPr="002A1AA3">
              <w:t xml:space="preserve">The following constants and variables included in the element/Performance Criteria in this unit are fully described in the Definitions Section </w:t>
            </w:r>
            <w:r w:rsidRPr="002A1AA3">
              <w:t>1 of this volume and form an integral part of the Range Statement of this unit:</w:t>
            </w:r>
          </w:p>
        </w:tc>
      </w:tr>
      <w:tr w:rsidTr="002C47A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A1AA3" w:rsidP="002A1AA3">
            <w:pPr>
              <w:pStyle w:val="ListBullet"/>
            </w:pPr>
            <w:r w:rsidRPr="002A1AA3">
              <w:t>Appropriate and relevant persons (see Personnel)</w:t>
            </w:r>
          </w:p>
          <w:p w:rsidR="00000000" w:rsidRPr="002A1AA3" w:rsidP="002A1AA3">
            <w:pPr>
              <w:pStyle w:val="ListBullet"/>
            </w:pPr>
            <w:r w:rsidRPr="002A1AA3">
              <w:t>Appropriate authorities</w:t>
            </w:r>
          </w:p>
          <w:p w:rsidR="00000000" w:rsidRPr="002A1AA3" w:rsidP="002A1AA3">
            <w:pPr>
              <w:pStyle w:val="ListBullet"/>
            </w:pPr>
            <w:r w:rsidRPr="002A1AA3">
              <w:t>Appropriate work platform</w:t>
            </w:r>
          </w:p>
          <w:p w:rsidR="00000000" w:rsidRPr="002A1AA3" w:rsidP="002A1AA3">
            <w:pPr>
              <w:pStyle w:val="ListBullet"/>
            </w:pPr>
            <w:r w:rsidRPr="002A1AA3">
              <w:t>Assessing risk</w:t>
            </w:r>
          </w:p>
          <w:p w:rsidR="00000000" w:rsidRPr="002A1AA3" w:rsidP="002A1AA3">
            <w:pPr>
              <w:pStyle w:val="ListBullet"/>
            </w:pPr>
            <w:r w:rsidRPr="002A1AA3">
              <w:t>Authorisation</w:t>
            </w:r>
          </w:p>
          <w:p w:rsidR="00000000" w:rsidRPr="002A1AA3" w:rsidP="002A1AA3">
            <w:pPr>
              <w:pStyle w:val="ListBullet"/>
            </w:pPr>
            <w:r w:rsidRPr="002A1AA3">
              <w:t>Confined space</w:t>
            </w:r>
          </w:p>
          <w:p w:rsidR="00000000" w:rsidRPr="002A1AA3" w:rsidP="002A1AA3">
            <w:pPr>
              <w:pStyle w:val="ListBullet"/>
            </w:pPr>
            <w:r w:rsidRPr="002A1AA3">
              <w:t>Documenting detail work events, record keeping and or storage of information</w:t>
            </w:r>
          </w:p>
          <w:p w:rsidR="00000000" w:rsidRPr="002A1AA3" w:rsidP="002A1AA3">
            <w:pPr>
              <w:pStyle w:val="ListBullet"/>
            </w:pPr>
            <w:r w:rsidRPr="002A1AA3">
              <w:t>Drawings and specifications</w:t>
            </w:r>
          </w:p>
          <w:p w:rsidR="00000000" w:rsidRPr="002A1AA3" w:rsidP="002A1AA3">
            <w:pPr>
              <w:pStyle w:val="ListBullet"/>
            </w:pPr>
            <w:r w:rsidRPr="002A1AA3">
              <w:t>Emergency</w:t>
            </w:r>
          </w:p>
          <w:p w:rsidR="00000000" w:rsidRPr="002A1AA3" w:rsidP="002A1AA3">
            <w:pPr>
              <w:pStyle w:val="ListBullet"/>
            </w:pPr>
            <w:r w:rsidRPr="002A1AA3">
              <w:t>Environmental and sustainable energy procedures</w:t>
            </w:r>
          </w:p>
          <w:p w:rsidR="00000000" w:rsidRPr="002A1AA3" w:rsidP="002A1AA3">
            <w:pPr>
              <w:pStyle w:val="ListBullet"/>
            </w:pPr>
            <w:r w:rsidRPr="002A1AA3">
              <w:t>Environmental legislation.</w:t>
            </w:r>
          </w:p>
          <w:p w:rsidR="00000000" w:rsidRPr="002A1AA3" w:rsidP="002A1AA3">
            <w:pPr>
              <w:pStyle w:val="ListBullet"/>
            </w:pPr>
            <w:r w:rsidRPr="002A1AA3">
              <w:t>Established procedures</w:t>
            </w:r>
          </w:p>
          <w:p w:rsidR="00000000" w:rsidRPr="002A1AA3" w:rsidP="002A1AA3">
            <w:pPr>
              <w:pStyle w:val="ListBullet"/>
            </w:pPr>
            <w:r w:rsidRPr="002A1AA3">
              <w:t>Fall prevention</w:t>
            </w:r>
          </w:p>
          <w:p w:rsidR="00000000" w:rsidRPr="002A1AA3" w:rsidP="002A1AA3">
            <w:pPr>
              <w:pStyle w:val="ListBullet"/>
            </w:pPr>
            <w:r w:rsidRPr="002A1AA3">
              <w:t>Hazards</w:t>
            </w:r>
          </w:p>
          <w:p w:rsidR="00000000" w:rsidRPr="002A1AA3" w:rsidP="002A1AA3">
            <w:pPr>
              <w:pStyle w:val="ListBullet"/>
            </w:pPr>
            <w:r w:rsidRPr="002A1AA3">
              <w:t>Identifying hazards</w:t>
            </w:r>
          </w:p>
          <w:p w:rsidR="00000000" w:rsidRPr="002A1AA3" w:rsidP="002A1AA3">
            <w:pPr>
              <w:pStyle w:val="ListBullet"/>
            </w:pPr>
            <w:r w:rsidRPr="002A1AA3">
              <w:t>Legislation</w:t>
            </w:r>
          </w:p>
          <w:p w:rsidR="00000000" w:rsidRPr="002A1AA3" w:rsidP="002A1AA3">
            <w:pPr>
              <w:pStyle w:val="ListBullet"/>
            </w:pPr>
            <w:r w:rsidRPr="002A1AA3">
              <w:t>MSDS</w:t>
            </w:r>
          </w:p>
          <w:p w:rsidR="00000000" w:rsidRPr="002A1AA3" w:rsidP="002A1AA3">
            <w:pPr>
              <w:pStyle w:val="ListBullet"/>
            </w:pPr>
            <w:r w:rsidRPr="002A1AA3">
              <w:t>Notification</w:t>
            </w:r>
          </w:p>
          <w:p w:rsidR="00000000" w:rsidRPr="002A1AA3" w:rsidP="002A1AA3">
            <w:pPr>
              <w:pStyle w:val="ListBullet"/>
            </w:pPr>
            <w:r w:rsidRPr="002A1AA3">
              <w:t>OHS practices</w:t>
            </w:r>
          </w:p>
          <w:p w:rsidR="00000000" w:rsidRPr="002A1AA3" w:rsidP="002A1AA3">
            <w:pPr>
              <w:pStyle w:val="ListBullet"/>
            </w:pPr>
            <w:r w:rsidRPr="002A1AA3">
              <w:t>OHS issues</w:t>
            </w:r>
          </w:p>
          <w:p w:rsidR="00000000" w:rsidRPr="002A1AA3" w:rsidP="002A1AA3">
            <w:pPr>
              <w:pStyle w:val="ListBullet"/>
            </w:pPr>
            <w:r w:rsidRPr="002A1AA3">
              <w:t>Permits and/or permits to work</w:t>
            </w:r>
          </w:p>
          <w:p w:rsidR="00000000" w:rsidRPr="002A1AA3" w:rsidP="002A1AA3">
            <w:pPr>
              <w:pStyle w:val="ListBullet"/>
            </w:pPr>
            <w:r w:rsidRPr="002A1AA3">
              <w:t>Personnel</w:t>
            </w:r>
          </w:p>
          <w:p w:rsidR="00000000" w:rsidRPr="002A1AA3" w:rsidP="002A1AA3">
            <w:pPr>
              <w:pStyle w:val="ListBullet"/>
            </w:pPr>
            <w:r w:rsidRPr="002A1AA3">
              <w:t>Quality assurance systems</w:t>
            </w:r>
          </w:p>
          <w:p w:rsidR="00000000" w:rsidRPr="002A1AA3" w:rsidP="002A1AA3">
            <w:pPr>
              <w:pStyle w:val="ListBullet"/>
            </w:pPr>
            <w:r w:rsidRPr="002A1AA3">
              <w:t>Requirements</w:t>
            </w:r>
          </w:p>
        </w:tc>
      </w:tr>
    </w:tbl>
    <w:p w:rsidR="002C47AC" w:rsidP="002A1AA3">
      <w:pPr>
        <w:pStyle w:val="BodyText"/>
      </w:pPr>
    </w:p>
    <w:p w:rsidR="002C47AC" w:rsidP="002A1AA3">
      <w:pPr>
        <w:pStyle w:val="BodyText"/>
      </w:pPr>
    </w:p>
    <w:p w:rsidR="00000000" w:rsidRPr="002A1AA3" w:rsidP="002A1AA3">
      <w:pPr>
        <w:pStyle w:val="Heading1"/>
      </w:pPr>
      <w:bookmarkStart w:id="12" w:name="O_297154"/>
      <w:bookmarkEnd w:id="12"/>
      <w:r w:rsidRPr="002A1AA3">
        <w:t>Unit Sector(s)</w:t>
      </w:r>
    </w:p>
    <w:p w:rsidR="00000000" w:rsidRPr="002A1AA3" w:rsidP="002A1AA3">
      <w:pPr>
        <w:pStyle w:val="BodyText"/>
      </w:pPr>
      <w:r w:rsidRPr="002A1AA3">
        <w:t>Not Applicable</w:t>
      </w:r>
    </w:p>
    <w:p w:rsidR="00000000" w:rsidRPr="002A1AA3" w:rsidP="002A1AA3">
      <w:pPr>
        <w:pStyle w:val="AllowPageBreak"/>
      </w:pPr>
    </w:p>
    <w:p w:rsidR="00000000" w:rsidRPr="002A1AA3" w:rsidP="002A1AA3">
      <w:pPr>
        <w:pStyle w:val="Heading1"/>
      </w:pPr>
      <w:bookmarkStart w:id="13" w:name="O_231371"/>
      <w:bookmarkEnd w:id="13"/>
      <w:r w:rsidRPr="002A1AA3">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C47A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rPr>
                <w:rStyle w:val="SpecialBold"/>
              </w:rPr>
              <w:t>2</w:t>
            </w:r>
            <w:r w:rsidRPr="002A1AA3">
              <w:t>.</w:t>
            </w:r>
            <w:r w:rsidRPr="002A1AA3">
              <w:rPr>
                <w:rStyle w:val="SpecialBold"/>
              </w:rPr>
              <w:t>2</w:t>
            </w:r>
            <w:r w:rsidRPr="002A1AA3">
              <w:t xml:space="preserve">) </w:t>
            </w:r>
            <w:r w:rsidRPr="002A1AA3">
              <w:rPr>
                <w:rStyle w:val="SpecialBold"/>
              </w:rPr>
              <w:t>Literacy and numeracy skills</w:t>
            </w:r>
          </w:p>
          <w:p w:rsidR="00000000" w:rsidP="002A1AA3">
            <w:pPr>
              <w:pStyle w:val="BodyText"/>
              <w:rPr>
                <w:lang w:val="en-NZ"/>
              </w:rPr>
            </w:pPr>
            <w:r w:rsidRPr="002A1AA3">
              <w:t>Participants are best equipped to achieve this unit if they have reading, writing and numeracy skills indicated by the following scales. Description of each scale is given in Volume 2, Part 3 "Literacy and Numeracy"</w:t>
            </w:r>
          </w:p>
        </w:tc>
      </w:tr>
      <w:tr w:rsidTr="002C47A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Reading</w:t>
            </w:r>
          </w:p>
        </w:tc>
        <w:tc>
          <w:tcPr>
            <w:tcW w:w="1182"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3</w:t>
            </w:r>
          </w:p>
        </w:tc>
        <w:tc>
          <w:tcPr>
            <w:tcW w:w="1739"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Writing</w:t>
            </w:r>
          </w:p>
        </w:tc>
        <w:tc>
          <w:tcPr>
            <w:tcW w:w="1182"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3</w:t>
            </w:r>
          </w:p>
        </w:tc>
        <w:tc>
          <w:tcPr>
            <w:tcW w:w="1721"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t>Numeracy</w:t>
            </w:r>
          </w:p>
        </w:tc>
        <w:tc>
          <w:tcPr>
            <w:tcW w:w="1182" w:type="dxa"/>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t>3</w:t>
            </w:r>
          </w:p>
        </w:tc>
      </w:tr>
    </w:tbl>
    <w:p w:rsidR="002C47AC" w:rsidP="002A1AA3">
      <w:pPr>
        <w:pStyle w:val="BodyText"/>
      </w:pPr>
    </w:p>
    <w:p w:rsidR="002C47AC" w:rsidP="002A1AA3">
      <w:pPr>
        <w:pStyle w:val="BodyText"/>
      </w:pPr>
    </w:p>
    <w:p w:rsidR="00000000" w:rsidRPr="002A1AA3" w:rsidP="002A1AA3">
      <w:pPr>
        <w:pStyle w:val="Heading1"/>
      </w:pPr>
      <w:bookmarkStart w:id="14" w:name="O_231374"/>
      <w:bookmarkEnd w:id="14"/>
      <w:r w:rsidRPr="002A1AA3">
        <w:t>Competency Field</w:t>
      </w:r>
    </w:p>
    <w:tbl>
      <w:tblPr>
        <w:tblW w:w="0" w:type="auto"/>
        <w:tblLayout w:type="fixed"/>
        <w:tblCellMar>
          <w:left w:w="62" w:type="dxa"/>
          <w:right w:w="62" w:type="dxa"/>
        </w:tblCellMar>
        <w:tblLook w:val="0000"/>
      </w:tblPr>
      <w:tblGrid>
        <w:gridCol w:w="2700"/>
        <w:gridCol w:w="5760"/>
      </w:tblGrid>
      <w:tr w:rsidTr="002C47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A1AA3">
            <w:pPr>
              <w:pStyle w:val="BodyText"/>
              <w:rPr>
                <w:lang w:val="en-NZ"/>
              </w:rPr>
            </w:pPr>
            <w:r w:rsidRPr="002A1AA3">
              <w:rPr>
                <w:rStyle w:val="SpecialBold"/>
              </w:rPr>
              <w:t>5</w:t>
            </w:r>
            <w:r w:rsidRPr="002A1AA3">
              <w:t>)</w:t>
            </w:r>
          </w:p>
        </w:tc>
      </w:tr>
      <w:tr w:rsidTr="002C47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1AA3" w:rsidP="002A1AA3">
            <w:pPr>
              <w:pStyle w:val="BodyText"/>
            </w:pPr>
            <w:r w:rsidRPr="002A1AA3">
              <w:t>Entry Level - Cross Discipline Units.</w:t>
            </w:r>
          </w:p>
        </w:tc>
      </w:tr>
    </w:tbl>
    <w:p w:rsidR="002C47AC" w:rsidP="002A1AA3">
      <w:pPr>
        <w:pStyle w:val="BodyText"/>
      </w:pPr>
    </w:p>
    <w:p w:rsidR="002C47AC" w:rsidP="002A1AA3">
      <w:pPr>
        <w:pStyle w:val="BodyText"/>
      </w:pPr>
    </w:p>
    <w:p w:rsidR="00000000" w:rsidRPr="002A1AA3" w:rsidP="002A1AA3"/>
    <w:sectPr w:rsidSect="002A1A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A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47AC" w:rsidP="002C47A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A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7AC" w:rsidP="002A1AA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C47AC" w:rsidP="002A1A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C47AC" w:rsidP="002A1A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A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AA3" w:rsidRPr="002C47AC" w:rsidP="002C47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A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7AC" w:rsidRPr="002D2AF8" w:rsidP="002A1AA3">
    <w:pPr>
      <w:pStyle w:val="Header"/>
      <w:framePr w:wrap="around"/>
    </w:pPr>
    <w:r>
      <w:fldChar w:fldCharType="begin"/>
    </w:r>
    <w:r>
      <w:instrText xml:space="preserve"> TITLE   \* MERGEFORMAT </w:instrText>
    </w:r>
    <w:r>
      <w:fldChar w:fldCharType="separate"/>
    </w:r>
    <w:r>
      <w:t>UETTDREL03B Comply with environmental and incidental response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2C47AC" w:rsidP="002A1A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CAA7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D885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7C23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A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1AA3"/>
    <w:pPr>
      <w:spacing w:before="360" w:after="60"/>
      <w:outlineLvl w:val="0"/>
    </w:pPr>
    <w:rPr>
      <w:sz w:val="32"/>
    </w:rPr>
  </w:style>
  <w:style w:type="paragraph" w:styleId="Heading2">
    <w:name w:val="heading 2"/>
    <w:basedOn w:val="HeadingBase"/>
    <w:next w:val="BodyText"/>
    <w:link w:val="Heading2Char"/>
    <w:qFormat/>
    <w:rsid w:val="002A1AA3"/>
    <w:pPr>
      <w:keepLines/>
      <w:spacing w:before="240" w:after="120"/>
      <w:outlineLvl w:val="1"/>
    </w:pPr>
    <w:rPr>
      <w:sz w:val="28"/>
      <w:szCs w:val="40"/>
    </w:rPr>
  </w:style>
  <w:style w:type="paragraph" w:styleId="Heading3">
    <w:name w:val="heading 3"/>
    <w:basedOn w:val="HeadingBase"/>
    <w:next w:val="BodyText"/>
    <w:link w:val="Heading3Char"/>
    <w:qFormat/>
    <w:rsid w:val="002A1AA3"/>
    <w:pPr>
      <w:spacing w:before="180" w:after="120"/>
      <w:outlineLvl w:val="2"/>
    </w:pPr>
    <w:rPr>
      <w:spacing w:val="-10"/>
      <w:kern w:val="32"/>
    </w:rPr>
  </w:style>
  <w:style w:type="paragraph" w:styleId="Heading4">
    <w:name w:val="heading 4"/>
    <w:basedOn w:val="HeadingBase"/>
    <w:next w:val="BodyText"/>
    <w:link w:val="Heading4Char"/>
    <w:qFormat/>
    <w:rsid w:val="002A1AA3"/>
    <w:pPr>
      <w:spacing w:before="160" w:after="120"/>
      <w:outlineLvl w:val="3"/>
    </w:pPr>
    <w:rPr>
      <w:sz w:val="22"/>
    </w:rPr>
  </w:style>
  <w:style w:type="paragraph" w:styleId="Heading5">
    <w:name w:val="heading 5"/>
    <w:basedOn w:val="HeadingBase"/>
    <w:next w:val="Normal"/>
    <w:link w:val="Heading5Char"/>
    <w:qFormat/>
    <w:rsid w:val="002A1AA3"/>
    <w:pPr>
      <w:spacing w:before="80"/>
      <w:outlineLvl w:val="4"/>
    </w:pPr>
    <w:rPr>
      <w:color w:val="918585"/>
      <w:sz w:val="20"/>
    </w:rPr>
  </w:style>
  <w:style w:type="paragraph" w:styleId="Heading6">
    <w:name w:val="heading 6"/>
    <w:basedOn w:val="HeadingBase"/>
    <w:next w:val="Normal"/>
    <w:link w:val="Heading6Char"/>
    <w:qFormat/>
    <w:rsid w:val="002A1AA3"/>
    <w:pPr>
      <w:spacing w:before="60"/>
      <w:outlineLvl w:val="5"/>
    </w:pPr>
    <w:rPr>
      <w:color w:val="918585"/>
      <w:sz w:val="20"/>
    </w:rPr>
  </w:style>
  <w:style w:type="paragraph" w:styleId="Heading7">
    <w:name w:val="heading 7"/>
    <w:basedOn w:val="Normal"/>
    <w:next w:val="Normal"/>
    <w:link w:val="Heading7Char"/>
    <w:qFormat/>
    <w:rsid w:val="002A1AA3"/>
    <w:pPr>
      <w:ind w:left="720"/>
      <w:outlineLvl w:val="6"/>
    </w:pPr>
    <w:rPr>
      <w:i/>
    </w:rPr>
  </w:style>
  <w:style w:type="paragraph" w:styleId="Heading8">
    <w:name w:val="heading 8"/>
    <w:basedOn w:val="Normal"/>
    <w:next w:val="Normal"/>
    <w:link w:val="Heading8Char"/>
    <w:qFormat/>
    <w:rsid w:val="002A1AA3"/>
    <w:pPr>
      <w:ind w:left="720"/>
      <w:outlineLvl w:val="7"/>
    </w:pPr>
    <w:rPr>
      <w:i/>
    </w:rPr>
  </w:style>
  <w:style w:type="paragraph" w:styleId="Heading9">
    <w:name w:val="heading 9"/>
    <w:basedOn w:val="Normal"/>
    <w:next w:val="Normal"/>
    <w:link w:val="Heading9Char"/>
    <w:qFormat/>
    <w:rsid w:val="002A1AA3"/>
    <w:pPr>
      <w:ind w:left="720"/>
      <w:outlineLvl w:val="8"/>
    </w:pPr>
    <w:rPr>
      <w:i/>
    </w:rPr>
  </w:style>
  <w:style w:type="character" w:default="1" w:styleId="DefaultParagraphFont">
    <w:name w:val="Default Paragraph Font"/>
    <w:uiPriority w:val="1"/>
    <w:unhideWhenUsed/>
    <w:rsid w:val="002A1A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1AA3"/>
  </w:style>
  <w:style w:type="character" w:customStyle="1" w:styleId="Heading1Char">
    <w:name w:val="Heading 1 Char"/>
    <w:basedOn w:val="DefaultParagraphFont"/>
    <w:link w:val="Heading1"/>
    <w:rsid w:val="002A1AA3"/>
    <w:rPr>
      <w:rFonts w:ascii="Times New Roman" w:eastAsia="Times New Roman" w:hAnsi="Times New Roman" w:cs="Times New Roman"/>
      <w:b/>
      <w:sz w:val="32"/>
      <w:szCs w:val="20"/>
      <w:lang w:eastAsia="en-US"/>
    </w:rPr>
  </w:style>
  <w:style w:type="paragraph" w:styleId="BodyText">
    <w:name w:val="Body Text"/>
    <w:basedOn w:val="Normal"/>
    <w:link w:val="BodyTextChar"/>
    <w:rsid w:val="002A1A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1AA3"/>
    <w:rPr>
      <w:rFonts w:ascii="Times New Roman" w:eastAsia="Times New Roman" w:hAnsi="Times New Roman" w:cs="Times New Roman"/>
      <w:sz w:val="24"/>
      <w:lang w:eastAsia="en-US"/>
    </w:rPr>
  </w:style>
  <w:style w:type="paragraph" w:styleId="Footer">
    <w:name w:val="footer"/>
    <w:basedOn w:val="Normal"/>
    <w:link w:val="FooterChar"/>
    <w:rsid w:val="002A1A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1AA3"/>
    <w:rPr>
      <w:rFonts w:ascii="Times New Roman" w:eastAsia="Times New Roman" w:hAnsi="Times New Roman" w:cs="Times New Roman"/>
      <w:sz w:val="16"/>
      <w:lang w:eastAsia="en-US"/>
    </w:rPr>
  </w:style>
  <w:style w:type="paragraph" w:styleId="ListBullet">
    <w:name w:val="List Bullet"/>
    <w:basedOn w:val="List"/>
    <w:rsid w:val="002A1AA3"/>
    <w:pPr>
      <w:numPr>
        <w:numId w:val="13"/>
      </w:numPr>
      <w:tabs>
        <w:tab w:val="clear" w:pos="340"/>
      </w:tabs>
      <w:spacing w:before="40" w:after="40"/>
    </w:pPr>
  </w:style>
  <w:style w:type="character" w:customStyle="1" w:styleId="SpecialBold">
    <w:name w:val="Special Bold"/>
    <w:basedOn w:val="DefaultParagraphFont"/>
    <w:rsid w:val="002A1AA3"/>
    <w:rPr>
      <w:b/>
      <w:spacing w:val="0"/>
    </w:rPr>
  </w:style>
  <w:style w:type="paragraph" w:styleId="ListBullet2">
    <w:name w:val="List Bullet 2"/>
    <w:basedOn w:val="List2"/>
    <w:rsid w:val="002A1AA3"/>
    <w:pPr>
      <w:numPr>
        <w:numId w:val="14"/>
      </w:numPr>
      <w:tabs>
        <w:tab w:val="clear" w:pos="680"/>
      </w:tabs>
    </w:pPr>
  </w:style>
  <w:style w:type="paragraph" w:customStyle="1" w:styleId="SuperHeading">
    <w:name w:val="SuperHeading"/>
    <w:basedOn w:val="Normal"/>
    <w:rsid w:val="002A1AA3"/>
    <w:pPr>
      <w:spacing w:before="240" w:after="120"/>
      <w:outlineLvl w:val="0"/>
    </w:pPr>
    <w:rPr>
      <w:rFonts w:ascii="Times New Roman" w:hAnsi="Times New Roman"/>
      <w:b/>
      <w:sz w:val="28"/>
    </w:rPr>
  </w:style>
  <w:style w:type="paragraph" w:customStyle="1" w:styleId="AllowPageBreak">
    <w:name w:val="AllowPageBreak"/>
    <w:rsid w:val="002A1A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1A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1A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1A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1A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1A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1A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1A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1AA3"/>
    <w:rPr>
      <w:rFonts w:ascii="Courier New" w:eastAsia="Times New Roman" w:hAnsi="Courier New" w:cs="Times New Roman"/>
      <w:i/>
      <w:szCs w:val="20"/>
      <w:lang w:eastAsia="en-US"/>
    </w:rPr>
  </w:style>
  <w:style w:type="paragraph" w:customStyle="1" w:styleId="HeadingBase">
    <w:name w:val="Heading Base"/>
    <w:rsid w:val="002A1A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1AA3"/>
    <w:pPr>
      <w:tabs>
        <w:tab w:val="right" w:leader="dot" w:pos="9072"/>
      </w:tabs>
      <w:ind w:left="567"/>
    </w:pPr>
    <w:rPr>
      <w:szCs w:val="22"/>
    </w:rPr>
  </w:style>
  <w:style w:type="paragraph" w:customStyle="1" w:styleId="TOCBase">
    <w:name w:val="TOC Base"/>
    <w:rsid w:val="002A1A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1AA3"/>
    <w:pPr>
      <w:tabs>
        <w:tab w:val="right" w:leader="dot" w:pos="9072"/>
      </w:tabs>
      <w:spacing w:before="40" w:after="40"/>
      <w:ind w:left="284"/>
    </w:pPr>
    <w:rPr>
      <w:rFonts w:ascii="Times New Roman" w:hAnsi="Times New Roman"/>
    </w:rPr>
  </w:style>
  <w:style w:type="paragraph" w:styleId="TOC1">
    <w:name w:val="toc 1"/>
    <w:basedOn w:val="TOCBase"/>
    <w:next w:val="Normal"/>
    <w:rsid w:val="002A1A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1AA3"/>
    <w:pPr>
      <w:spacing w:before="5040"/>
      <w:jc w:val="center"/>
    </w:pPr>
    <w:rPr>
      <w:sz w:val="48"/>
      <w:szCs w:val="72"/>
      <w:lang w:val="en-US"/>
    </w:rPr>
  </w:style>
  <w:style w:type="character" w:customStyle="1" w:styleId="TitleChar">
    <w:name w:val="Title Char"/>
    <w:basedOn w:val="DefaultParagraphFont"/>
    <w:link w:val="Title"/>
    <w:rsid w:val="002A1A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1AA3"/>
    <w:pPr>
      <w:tabs>
        <w:tab w:val="left" w:pos="3600"/>
        <w:tab w:val="left" w:pos="3958"/>
      </w:tabs>
    </w:pPr>
  </w:style>
  <w:style w:type="paragraph" w:styleId="List">
    <w:name w:val="List"/>
    <w:basedOn w:val="BodyText"/>
    <w:next w:val="BodyText"/>
    <w:rsid w:val="002A1AA3"/>
    <w:pPr>
      <w:tabs>
        <w:tab w:val="left" w:pos="340"/>
      </w:tabs>
      <w:spacing w:before="60" w:after="60"/>
      <w:ind w:left="340" w:hanging="340"/>
    </w:pPr>
  </w:style>
  <w:style w:type="paragraph" w:customStyle="1" w:styleId="Note">
    <w:name w:val="Note"/>
    <w:basedOn w:val="BodyText"/>
    <w:rsid w:val="002A1A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1AA3"/>
    <w:pPr>
      <w:framePr w:wrap="auto" w:hAnchor="text" w:y="6049"/>
    </w:pPr>
    <w:rPr>
      <w:color w:val="000000"/>
      <w:sz w:val="40"/>
    </w:rPr>
  </w:style>
  <w:style w:type="paragraph" w:customStyle="1" w:styleId="TOCTitle">
    <w:name w:val="TOCTitle"/>
    <w:basedOn w:val="Heading1"/>
    <w:rsid w:val="002A1AA3"/>
    <w:pPr>
      <w:spacing w:after="240"/>
      <w:jc w:val="center"/>
      <w:outlineLvl w:val="9"/>
    </w:pPr>
    <w:rPr>
      <w:caps/>
    </w:rPr>
  </w:style>
  <w:style w:type="paragraph" w:customStyle="1" w:styleId="Version">
    <w:name w:val="Version"/>
    <w:rsid w:val="002A1A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1AA3"/>
    <w:pPr>
      <w:keepNext w:val="0"/>
      <w:tabs>
        <w:tab w:val="right" w:pos="4176"/>
      </w:tabs>
      <w:ind w:left="198" w:hanging="198"/>
    </w:pPr>
    <w:rPr>
      <w:rFonts w:ascii="Garamond" w:hAnsi="Garamond"/>
    </w:rPr>
  </w:style>
  <w:style w:type="paragraph" w:styleId="IndexHeading">
    <w:name w:val="index heading"/>
    <w:basedOn w:val="Normal"/>
    <w:next w:val="Index1"/>
    <w:semiHidden/>
    <w:rsid w:val="002A1AA3"/>
    <w:pPr>
      <w:spacing w:before="120" w:after="120"/>
    </w:pPr>
    <w:rPr>
      <w:rFonts w:ascii="Arial" w:hAnsi="Arial"/>
      <w:b/>
      <w:color w:val="918585"/>
      <w:sz w:val="24"/>
    </w:rPr>
  </w:style>
  <w:style w:type="paragraph" w:styleId="Header">
    <w:name w:val="header"/>
    <w:basedOn w:val="Normal"/>
    <w:link w:val="HeaderChar"/>
    <w:rsid w:val="002A1A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1AA3"/>
    <w:rPr>
      <w:rFonts w:ascii="Times New Roman" w:eastAsia="Times New Roman" w:hAnsi="Times New Roman" w:cs="Times New Roman"/>
      <w:sz w:val="16"/>
      <w:szCs w:val="20"/>
      <w:lang w:val="en-GB" w:eastAsia="en-US"/>
    </w:rPr>
  </w:style>
  <w:style w:type="paragraph" w:customStyle="1" w:styleId="Chapter">
    <w:name w:val="Chapter"/>
    <w:basedOn w:val="Normal"/>
    <w:rsid w:val="002A1AA3"/>
    <w:pPr>
      <w:spacing w:before="240"/>
    </w:pPr>
    <w:rPr>
      <w:rFonts w:ascii="Times New Roman" w:hAnsi="Times New Roman"/>
      <w:smallCaps/>
      <w:spacing w:val="80"/>
      <w:sz w:val="28"/>
    </w:rPr>
  </w:style>
  <w:style w:type="paragraph" w:customStyle="1" w:styleId="InChapter">
    <w:name w:val="InChapter"/>
    <w:basedOn w:val="Heading3"/>
    <w:rsid w:val="002A1AA3"/>
    <w:pPr>
      <w:spacing w:after="240"/>
      <w:outlineLvl w:val="9"/>
    </w:pPr>
    <w:rPr>
      <w:noProof/>
    </w:rPr>
  </w:style>
  <w:style w:type="paragraph" w:styleId="Index2">
    <w:name w:val="index 2"/>
    <w:basedOn w:val="Normal"/>
    <w:next w:val="Normal"/>
    <w:semiHidden/>
    <w:rsid w:val="002A1AA3"/>
    <w:pPr>
      <w:tabs>
        <w:tab w:val="right" w:pos="4176"/>
      </w:tabs>
      <w:ind w:left="568" w:hanging="284"/>
    </w:pPr>
    <w:rPr>
      <w:rFonts w:ascii="Garamond" w:hAnsi="Garamond"/>
    </w:rPr>
  </w:style>
  <w:style w:type="paragraph" w:customStyle="1" w:styleId="Byline">
    <w:name w:val="Byline"/>
    <w:rsid w:val="002A1A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1AA3"/>
    <w:pPr>
      <w:tabs>
        <w:tab w:val="clear" w:pos="3600"/>
        <w:tab w:val="clear" w:pos="3958"/>
      </w:tabs>
      <w:jc w:val="right"/>
    </w:pPr>
  </w:style>
  <w:style w:type="character" w:styleId="Emphasis">
    <w:name w:val="Emphasis"/>
    <w:basedOn w:val="DefaultParagraphFont"/>
    <w:qFormat/>
    <w:rsid w:val="002A1AA3"/>
    <w:rPr>
      <w:i/>
    </w:rPr>
  </w:style>
  <w:style w:type="paragraph" w:styleId="Caption">
    <w:name w:val="caption"/>
    <w:basedOn w:val="BodyText"/>
    <w:next w:val="Normal"/>
    <w:qFormat/>
    <w:rsid w:val="002A1AA3"/>
    <w:pPr>
      <w:framePr w:w="2268" w:hSpace="181" w:vSpace="181" w:wrap="around" w:vAnchor="text" w:hAnchor="page" w:x="1135" w:y="285" w:anchorLock="1"/>
    </w:pPr>
    <w:rPr>
      <w:i/>
    </w:rPr>
  </w:style>
  <w:style w:type="paragraph" w:customStyle="1" w:styleId="MiniTOCTitle">
    <w:name w:val="MiniTOCTitle"/>
    <w:basedOn w:val="Heading4"/>
    <w:rsid w:val="002A1AA3"/>
    <w:pPr>
      <w:spacing w:before="240"/>
      <w:outlineLvl w:val="9"/>
    </w:pPr>
    <w:rPr>
      <w:noProof/>
      <w:sz w:val="24"/>
    </w:rPr>
  </w:style>
  <w:style w:type="paragraph" w:customStyle="1" w:styleId="MiniTOCItem">
    <w:name w:val="MiniTOCItem"/>
    <w:basedOn w:val="ListBullet"/>
    <w:rsid w:val="002A1AA3"/>
    <w:pPr>
      <w:numPr>
        <w:numId w:val="0"/>
      </w:numPr>
      <w:tabs>
        <w:tab w:val="right" w:leader="dot" w:pos="6521"/>
      </w:tabs>
      <w:spacing w:before="0" w:after="0"/>
    </w:pPr>
  </w:style>
  <w:style w:type="paragraph" w:customStyle="1" w:styleId="TOFTitle">
    <w:name w:val="TOFTitle"/>
    <w:basedOn w:val="TOCTitle"/>
    <w:rsid w:val="002A1AA3"/>
  </w:style>
  <w:style w:type="paragraph" w:styleId="TableofFigures">
    <w:name w:val="table of figures"/>
    <w:basedOn w:val="Normal"/>
    <w:next w:val="Normal"/>
    <w:semiHidden/>
    <w:rsid w:val="002A1AA3"/>
    <w:pPr>
      <w:tabs>
        <w:tab w:val="right" w:leader="dot" w:pos="9072"/>
      </w:tabs>
      <w:ind w:left="970" w:hanging="403"/>
    </w:pPr>
    <w:rPr>
      <w:rFonts w:ascii="Times New Roman" w:hAnsi="Times New Roman"/>
      <w:b/>
    </w:rPr>
  </w:style>
  <w:style w:type="paragraph" w:styleId="ListNumber">
    <w:name w:val="List Number"/>
    <w:basedOn w:val="List"/>
    <w:rsid w:val="002A1AA3"/>
    <w:pPr>
      <w:numPr>
        <w:numId w:val="11"/>
      </w:numPr>
    </w:pPr>
  </w:style>
  <w:style w:type="character" w:customStyle="1" w:styleId="WingdingSymbols">
    <w:name w:val="Wingding Symbols"/>
    <w:rsid w:val="002A1AA3"/>
    <w:rPr>
      <w:rFonts w:ascii="Wingdings" w:hAnsi="Wingdings"/>
    </w:rPr>
  </w:style>
  <w:style w:type="paragraph" w:customStyle="1" w:styleId="TableHeading">
    <w:name w:val="Table Heading"/>
    <w:basedOn w:val="HeadingBase"/>
    <w:rsid w:val="002A1AA3"/>
    <w:pPr>
      <w:keepLines/>
      <w:pBdr>
        <w:bottom w:val="single" w:sz="6" w:space="1" w:color="918585"/>
      </w:pBdr>
      <w:spacing w:before="240"/>
    </w:pPr>
  </w:style>
  <w:style w:type="character" w:customStyle="1" w:styleId="HotSpot">
    <w:name w:val="HotSpot"/>
    <w:rsid w:val="002A1AA3"/>
    <w:rPr>
      <w:color w:val="0033CC"/>
      <w:u w:val="none"/>
    </w:rPr>
  </w:style>
  <w:style w:type="paragraph" w:customStyle="1" w:styleId="BodyTextRight">
    <w:name w:val="Body Text Right"/>
    <w:basedOn w:val="BodyText"/>
    <w:rsid w:val="002A1AA3"/>
    <w:pPr>
      <w:spacing w:before="0" w:after="0"/>
      <w:jc w:val="right"/>
    </w:pPr>
  </w:style>
  <w:style w:type="paragraph" w:styleId="Index3">
    <w:name w:val="index 3"/>
    <w:basedOn w:val="ListNumber2"/>
    <w:next w:val="Normal"/>
    <w:semiHidden/>
    <w:rsid w:val="002A1AA3"/>
    <w:pPr>
      <w:numPr>
        <w:numId w:val="0"/>
      </w:numPr>
      <w:tabs>
        <w:tab w:val="right" w:leader="dot" w:pos="4176"/>
      </w:tabs>
    </w:pPr>
  </w:style>
  <w:style w:type="paragraph" w:styleId="ListNumber2">
    <w:name w:val="List Number 2"/>
    <w:basedOn w:val="List2"/>
    <w:rsid w:val="002A1AA3"/>
    <w:pPr>
      <w:numPr>
        <w:numId w:val="10"/>
      </w:numPr>
      <w:tabs>
        <w:tab w:val="clear" w:pos="1060"/>
      </w:tabs>
    </w:pPr>
  </w:style>
  <w:style w:type="paragraph" w:customStyle="1" w:styleId="MarginNote">
    <w:name w:val="Margin Note"/>
    <w:basedOn w:val="BodyText"/>
    <w:rsid w:val="002A1A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1A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1A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1AA3"/>
    <w:rPr>
      <w:sz w:val="32"/>
    </w:rPr>
  </w:style>
  <w:style w:type="paragraph" w:customStyle="1" w:styleId="HeadingProcedure">
    <w:name w:val="Heading Procedure"/>
    <w:basedOn w:val="HeadingBase"/>
    <w:next w:val="Normal"/>
    <w:rsid w:val="002A1AA3"/>
    <w:pPr>
      <w:tabs>
        <w:tab w:val="left" w:pos="0"/>
      </w:tabs>
      <w:spacing w:before="120" w:after="60"/>
    </w:pPr>
    <w:rPr>
      <w:i/>
      <w:color w:val="918585"/>
      <w:sz w:val="22"/>
    </w:rPr>
  </w:style>
  <w:style w:type="paragraph" w:customStyle="1" w:styleId="TableBodyText">
    <w:name w:val="Table Body Text"/>
    <w:basedOn w:val="BodyText"/>
    <w:rsid w:val="002A1AA3"/>
    <w:pPr>
      <w:spacing w:before="60" w:after="60"/>
    </w:pPr>
  </w:style>
  <w:style w:type="paragraph" w:styleId="ListContinue">
    <w:name w:val="List Continue"/>
    <w:basedOn w:val="List"/>
    <w:rsid w:val="002A1AA3"/>
    <w:pPr>
      <w:ind w:firstLine="0"/>
    </w:pPr>
  </w:style>
  <w:style w:type="paragraph" w:customStyle="1" w:styleId="ListNote">
    <w:name w:val="List Note"/>
    <w:basedOn w:val="List"/>
    <w:rsid w:val="002A1AA3"/>
    <w:pPr>
      <w:pBdr>
        <w:top w:val="single" w:sz="6" w:space="2" w:color="918585"/>
        <w:bottom w:val="single" w:sz="6" w:space="2" w:color="918585"/>
      </w:pBdr>
      <w:tabs>
        <w:tab w:val="left" w:pos="1021"/>
      </w:tabs>
      <w:ind w:firstLine="0"/>
    </w:pPr>
  </w:style>
  <w:style w:type="paragraph" w:customStyle="1" w:styleId="Warning">
    <w:name w:val="Warning"/>
    <w:basedOn w:val="BodyText"/>
    <w:rsid w:val="002A1AA3"/>
    <w:pPr>
      <w:shd w:val="clear" w:color="auto" w:fill="D9D9D9"/>
      <w:tabs>
        <w:tab w:val="left" w:pos="992"/>
      </w:tabs>
      <w:ind w:left="119" w:right="119"/>
    </w:pPr>
    <w:rPr>
      <w:sz w:val="20"/>
    </w:rPr>
  </w:style>
  <w:style w:type="paragraph" w:customStyle="1" w:styleId="MarginIcons">
    <w:name w:val="Margin Icons"/>
    <w:basedOn w:val="BodyText"/>
    <w:rsid w:val="002A1A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1AA3"/>
    <w:rPr>
      <w:rFonts w:ascii="Courier New" w:hAnsi="Courier New"/>
    </w:rPr>
  </w:style>
  <w:style w:type="paragraph" w:customStyle="1" w:styleId="NoteBullet">
    <w:name w:val="Note Bullet"/>
    <w:basedOn w:val="Note"/>
    <w:rsid w:val="002A1AA3"/>
    <w:pPr>
      <w:tabs>
        <w:tab w:val="clear" w:pos="680"/>
      </w:tabs>
      <w:spacing w:before="60" w:after="60"/>
    </w:pPr>
  </w:style>
  <w:style w:type="paragraph" w:customStyle="1" w:styleId="SubHeading2">
    <w:name w:val="SubHeading2"/>
    <w:basedOn w:val="HeadingBase"/>
    <w:rsid w:val="002A1AA3"/>
    <w:pPr>
      <w:spacing w:before="240" w:after="60"/>
    </w:pPr>
    <w:rPr>
      <w:sz w:val="20"/>
    </w:rPr>
  </w:style>
  <w:style w:type="paragraph" w:customStyle="1" w:styleId="SubHeading1">
    <w:name w:val="SubHeading1"/>
    <w:basedOn w:val="HeadingBase"/>
    <w:rsid w:val="002A1AA3"/>
    <w:pPr>
      <w:spacing w:before="240" w:after="60"/>
    </w:pPr>
    <w:rPr>
      <w:color w:val="918585"/>
      <w:sz w:val="22"/>
    </w:rPr>
  </w:style>
  <w:style w:type="paragraph" w:customStyle="1" w:styleId="SideHeading">
    <w:name w:val="Side Heading"/>
    <w:basedOn w:val="HeadingBase"/>
    <w:rsid w:val="002A1A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1AA3"/>
    <w:pPr>
      <w:numPr>
        <w:numId w:val="12"/>
      </w:numPr>
    </w:pPr>
  </w:style>
  <w:style w:type="paragraph" w:styleId="PlainText">
    <w:name w:val="Plain Text"/>
    <w:basedOn w:val="Normal"/>
    <w:link w:val="PlainTextChar"/>
    <w:rsid w:val="002A1AA3"/>
    <w:rPr>
      <w:sz w:val="20"/>
    </w:rPr>
  </w:style>
  <w:style w:type="character" w:customStyle="1" w:styleId="PlainTextChar">
    <w:name w:val="Plain Text Char"/>
    <w:basedOn w:val="DefaultParagraphFont"/>
    <w:link w:val="PlainText"/>
    <w:rsid w:val="002A1AA3"/>
    <w:rPr>
      <w:rFonts w:ascii="Courier New" w:eastAsia="Times New Roman" w:hAnsi="Courier New" w:cs="Times New Roman"/>
      <w:sz w:val="20"/>
      <w:szCs w:val="20"/>
      <w:lang w:eastAsia="en-US"/>
    </w:rPr>
  </w:style>
  <w:style w:type="character" w:customStyle="1" w:styleId="MenuOption">
    <w:name w:val="Menu Option"/>
    <w:basedOn w:val="DefaultParagraphFont"/>
    <w:rsid w:val="002A1AA3"/>
    <w:rPr>
      <w:b/>
      <w:smallCaps/>
    </w:rPr>
  </w:style>
  <w:style w:type="paragraph" w:customStyle="1" w:styleId="TableListNumber">
    <w:name w:val="Table List Number"/>
    <w:basedOn w:val="ListNumber"/>
    <w:rsid w:val="002A1AA3"/>
    <w:pPr>
      <w:numPr>
        <w:numId w:val="0"/>
      </w:numPr>
    </w:pPr>
  </w:style>
  <w:style w:type="paragraph" w:styleId="TOC4">
    <w:name w:val="toc 4"/>
    <w:basedOn w:val="TOCBase"/>
    <w:next w:val="Normal"/>
    <w:semiHidden/>
    <w:rsid w:val="002A1AA3"/>
    <w:pPr>
      <w:tabs>
        <w:tab w:val="right" w:leader="dot" w:pos="9071"/>
      </w:tabs>
      <w:ind w:left="1701"/>
    </w:pPr>
  </w:style>
  <w:style w:type="paragraph" w:customStyle="1" w:styleId="ListAlpha">
    <w:name w:val="List Alpha"/>
    <w:basedOn w:val="List"/>
    <w:rsid w:val="002A1AA3"/>
    <w:pPr>
      <w:numPr>
        <w:numId w:val="9"/>
      </w:numPr>
    </w:pPr>
  </w:style>
  <w:style w:type="paragraph" w:customStyle="1" w:styleId="ListAlpha2">
    <w:name w:val="List Alpha 2"/>
    <w:basedOn w:val="List2"/>
    <w:rsid w:val="002A1AA3"/>
    <w:pPr>
      <w:numPr>
        <w:numId w:val="8"/>
      </w:numPr>
    </w:pPr>
  </w:style>
  <w:style w:type="paragraph" w:styleId="List2">
    <w:name w:val="List 2"/>
    <w:basedOn w:val="BodyText"/>
    <w:rsid w:val="002A1AA3"/>
    <w:pPr>
      <w:tabs>
        <w:tab w:val="left" w:pos="680"/>
      </w:tabs>
      <w:spacing w:before="60" w:after="60"/>
      <w:ind w:left="680" w:hanging="340"/>
    </w:pPr>
  </w:style>
  <w:style w:type="paragraph" w:styleId="List3">
    <w:name w:val="List 3"/>
    <w:basedOn w:val="BodyText"/>
    <w:rsid w:val="002A1AA3"/>
    <w:pPr>
      <w:tabs>
        <w:tab w:val="left" w:pos="1021"/>
      </w:tabs>
      <w:spacing w:before="60" w:after="60"/>
      <w:ind w:left="1020" w:hanging="340"/>
    </w:pPr>
  </w:style>
  <w:style w:type="paragraph" w:styleId="List4">
    <w:name w:val="List 4"/>
    <w:basedOn w:val="BodyText"/>
    <w:rsid w:val="002A1AA3"/>
    <w:pPr>
      <w:tabs>
        <w:tab w:val="left" w:pos="1361"/>
      </w:tabs>
      <w:spacing w:before="60" w:after="60"/>
      <w:ind w:left="1361" w:hanging="340"/>
    </w:pPr>
  </w:style>
  <w:style w:type="paragraph" w:styleId="List5">
    <w:name w:val="List 5"/>
    <w:basedOn w:val="BodyText"/>
    <w:rsid w:val="002A1AA3"/>
    <w:pPr>
      <w:tabs>
        <w:tab w:val="left" w:pos="1701"/>
      </w:tabs>
      <w:spacing w:before="60" w:after="60"/>
      <w:ind w:left="1701" w:hanging="340"/>
    </w:pPr>
  </w:style>
  <w:style w:type="paragraph" w:styleId="ListBullet3">
    <w:name w:val="List Bullet 3"/>
    <w:basedOn w:val="List3"/>
    <w:rsid w:val="002A1AA3"/>
    <w:pPr>
      <w:numPr>
        <w:numId w:val="15"/>
      </w:numPr>
      <w:tabs>
        <w:tab w:val="clear" w:pos="1021"/>
      </w:tabs>
      <w:ind w:left="1037" w:hanging="357"/>
    </w:pPr>
  </w:style>
  <w:style w:type="paragraph" w:styleId="ListBullet4">
    <w:name w:val="List Bullet 4"/>
    <w:basedOn w:val="List4"/>
    <w:rsid w:val="002A1AA3"/>
    <w:pPr>
      <w:numPr>
        <w:numId w:val="3"/>
      </w:numPr>
    </w:pPr>
  </w:style>
  <w:style w:type="paragraph" w:styleId="ListBullet5">
    <w:name w:val="List Bullet 5"/>
    <w:basedOn w:val="List5"/>
    <w:rsid w:val="002A1AA3"/>
    <w:pPr>
      <w:numPr>
        <w:numId w:val="4"/>
      </w:numPr>
    </w:pPr>
  </w:style>
  <w:style w:type="paragraph" w:styleId="ListContinue2">
    <w:name w:val="List Continue 2"/>
    <w:basedOn w:val="List2"/>
    <w:rsid w:val="002A1AA3"/>
    <w:pPr>
      <w:ind w:firstLine="0"/>
    </w:pPr>
  </w:style>
  <w:style w:type="paragraph" w:styleId="ListContinue3">
    <w:name w:val="List Continue 3"/>
    <w:basedOn w:val="List3"/>
    <w:rsid w:val="002A1AA3"/>
    <w:pPr>
      <w:ind w:left="1021" w:firstLine="0"/>
    </w:pPr>
  </w:style>
  <w:style w:type="paragraph" w:styleId="ListContinue4">
    <w:name w:val="List Continue 4"/>
    <w:basedOn w:val="List4"/>
    <w:rsid w:val="002A1AA3"/>
    <w:pPr>
      <w:ind w:firstLine="0"/>
    </w:pPr>
  </w:style>
  <w:style w:type="paragraph" w:styleId="ListContinue5">
    <w:name w:val="List Continue 5"/>
    <w:basedOn w:val="List5"/>
    <w:rsid w:val="002A1AA3"/>
    <w:pPr>
      <w:ind w:firstLine="0"/>
    </w:pPr>
  </w:style>
  <w:style w:type="paragraph" w:styleId="ListNumber3">
    <w:name w:val="List Number 3"/>
    <w:basedOn w:val="List3"/>
    <w:rsid w:val="002A1AA3"/>
    <w:pPr>
      <w:numPr>
        <w:numId w:val="5"/>
      </w:numPr>
    </w:pPr>
  </w:style>
  <w:style w:type="paragraph" w:styleId="ListNumber4">
    <w:name w:val="List Number 4"/>
    <w:basedOn w:val="List4"/>
    <w:rsid w:val="002A1AA3"/>
    <w:pPr>
      <w:numPr>
        <w:numId w:val="6"/>
      </w:numPr>
    </w:pPr>
  </w:style>
  <w:style w:type="paragraph" w:styleId="ListNumber5">
    <w:name w:val="List Number 5"/>
    <w:basedOn w:val="List5"/>
    <w:rsid w:val="002A1AA3"/>
    <w:pPr>
      <w:numPr>
        <w:numId w:val="7"/>
      </w:numPr>
    </w:pPr>
  </w:style>
  <w:style w:type="paragraph" w:styleId="BlockText">
    <w:name w:val="Block Text"/>
    <w:basedOn w:val="Normal"/>
    <w:rsid w:val="002A1AA3"/>
    <w:pPr>
      <w:spacing w:after="120"/>
      <w:ind w:left="1440" w:right="1440"/>
    </w:pPr>
  </w:style>
  <w:style w:type="character" w:customStyle="1" w:styleId="Subscript">
    <w:name w:val="Subscript"/>
    <w:basedOn w:val="DefaultParagraphFont"/>
    <w:rsid w:val="002A1AA3"/>
    <w:rPr>
      <w:sz w:val="16"/>
      <w:vertAlign w:val="subscript"/>
    </w:rPr>
  </w:style>
  <w:style w:type="character" w:customStyle="1" w:styleId="Superscript">
    <w:name w:val="Superscript"/>
    <w:basedOn w:val="DefaultParagraphFont"/>
    <w:rsid w:val="002A1AA3"/>
    <w:rPr>
      <w:sz w:val="16"/>
      <w:vertAlign w:val="superscript"/>
    </w:rPr>
  </w:style>
  <w:style w:type="character" w:customStyle="1" w:styleId="Symbols">
    <w:name w:val="Symbols"/>
    <w:basedOn w:val="DefaultParagraphFont"/>
    <w:rsid w:val="002A1AA3"/>
    <w:rPr>
      <w:rFonts w:ascii="Symbol" w:hAnsi="Symbol"/>
    </w:rPr>
  </w:style>
  <w:style w:type="character" w:customStyle="1" w:styleId="MenuOptions">
    <w:name w:val="Menu Options"/>
    <w:basedOn w:val="DefaultParagraphFont"/>
    <w:rsid w:val="002A1AA3"/>
    <w:rPr>
      <w:rFonts w:ascii="Arial Narrow" w:hAnsi="Arial Narrow"/>
      <w:smallCaps/>
    </w:rPr>
  </w:style>
  <w:style w:type="character" w:customStyle="1" w:styleId="Buttons">
    <w:name w:val="Buttons"/>
    <w:basedOn w:val="DefaultParagraphFont"/>
    <w:rsid w:val="002A1AA3"/>
    <w:rPr>
      <w:b/>
    </w:rPr>
  </w:style>
  <w:style w:type="character" w:customStyle="1" w:styleId="Underlined">
    <w:name w:val="Underlined"/>
    <w:basedOn w:val="DefaultParagraphFont"/>
    <w:rsid w:val="002A1AA3"/>
    <w:rPr>
      <w:u w:val="single"/>
    </w:rPr>
  </w:style>
  <w:style w:type="paragraph" w:customStyle="1" w:styleId="TableBodyTextRight">
    <w:name w:val="Table Body Text Right"/>
    <w:basedOn w:val="TableBodyText"/>
    <w:rsid w:val="002A1AA3"/>
    <w:pPr>
      <w:widowControl w:val="0"/>
      <w:autoSpaceDE w:val="0"/>
      <w:autoSpaceDN w:val="0"/>
      <w:adjustRightInd w:val="0"/>
      <w:jc w:val="right"/>
    </w:pPr>
    <w:rPr>
      <w:rFonts w:cs="Arial"/>
      <w:szCs w:val="18"/>
    </w:rPr>
  </w:style>
  <w:style w:type="paragraph" w:customStyle="1" w:styleId="CopyrightText">
    <w:name w:val="Copyright Text"/>
    <w:basedOn w:val="BodyText"/>
    <w:rsid w:val="002A1AA3"/>
    <w:rPr>
      <w:sz w:val="18"/>
    </w:rPr>
  </w:style>
  <w:style w:type="paragraph" w:customStyle="1" w:styleId="BodySmallRight">
    <w:name w:val="Body Small Right"/>
    <w:basedOn w:val="BodyTextRight"/>
    <w:rsid w:val="002A1AA3"/>
    <w:rPr>
      <w:sz w:val="18"/>
      <w:szCs w:val="18"/>
    </w:rPr>
  </w:style>
  <w:style w:type="paragraph" w:customStyle="1" w:styleId="MarginEdition">
    <w:name w:val="Margin Edition"/>
    <w:basedOn w:val="MarginNote"/>
    <w:rsid w:val="002A1AA3"/>
    <w:pPr>
      <w:spacing w:before="0" w:after="0"/>
    </w:pPr>
    <w:rPr>
      <w:rFonts w:ascii="Times New Roman" w:hAnsi="Times New Roman"/>
      <w:color w:val="999999"/>
    </w:rPr>
  </w:style>
  <w:style w:type="paragraph" w:customStyle="1" w:styleId="Spacer">
    <w:name w:val="Spacer"/>
    <w:basedOn w:val="Normal"/>
    <w:rsid w:val="002A1AA3"/>
    <w:rPr>
      <w:sz w:val="2"/>
      <w:szCs w:val="2"/>
    </w:rPr>
  </w:style>
  <w:style w:type="character" w:customStyle="1" w:styleId="Small">
    <w:name w:val="Small"/>
    <w:basedOn w:val="DefaultParagraphFont"/>
    <w:rsid w:val="002A1AA3"/>
    <w:rPr>
      <w:sz w:val="16"/>
    </w:rPr>
  </w:style>
  <w:style w:type="paragraph" w:customStyle="1" w:styleId="WideTable">
    <w:name w:val="Wide Table"/>
    <w:basedOn w:val="Normal"/>
    <w:rsid w:val="002A1AA3"/>
    <w:pPr>
      <w:ind w:left="-1418"/>
    </w:pPr>
    <w:rPr>
      <w:sz w:val="2"/>
      <w:szCs w:val="2"/>
    </w:rPr>
  </w:style>
  <w:style w:type="character" w:styleId="PageNumber">
    <w:name w:val="page number"/>
    <w:basedOn w:val="DefaultParagraphFont"/>
    <w:rsid w:val="002A1AA3"/>
  </w:style>
  <w:style w:type="paragraph" w:styleId="Quote">
    <w:name w:val="Quote"/>
    <w:basedOn w:val="Heading1"/>
    <w:link w:val="QuoteChar"/>
    <w:qFormat/>
    <w:rsid w:val="002A1AA3"/>
    <w:rPr>
      <w:b w:val="0"/>
      <w:sz w:val="72"/>
      <w:szCs w:val="72"/>
      <w:lang w:val="en-NZ"/>
    </w:rPr>
  </w:style>
  <w:style w:type="character" w:customStyle="1" w:styleId="QuoteChar">
    <w:name w:val="Quote Char"/>
    <w:basedOn w:val="DefaultParagraphFont"/>
    <w:link w:val="Quote"/>
    <w:rsid w:val="002A1A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1AA3"/>
    <w:pPr>
      <w:pageBreakBefore/>
    </w:pPr>
  </w:style>
  <w:style w:type="paragraph" w:customStyle="1" w:styleId="Border">
    <w:name w:val="Border"/>
    <w:basedOn w:val="Normal"/>
    <w:qFormat/>
    <w:rsid w:val="002A1A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1AA3"/>
    <w:rPr>
      <w:b/>
      <w:bCs/>
      <w:i/>
      <w:iCs/>
      <w:color w:val="auto"/>
    </w:rPr>
  </w:style>
  <w:style w:type="paragraph" w:styleId="IntenseQuote">
    <w:name w:val="Intense Quote"/>
    <w:basedOn w:val="Normal"/>
    <w:next w:val="Normal"/>
    <w:link w:val="IntenseQuoteChar"/>
    <w:uiPriority w:val="30"/>
    <w:qFormat/>
    <w:rsid w:val="002A1A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1A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1AA3"/>
    <w:rPr>
      <w:smallCaps/>
      <w:color w:val="auto"/>
      <w:u w:val="single"/>
    </w:rPr>
  </w:style>
  <w:style w:type="character" w:styleId="IntenseReference">
    <w:name w:val="Intense Reference"/>
    <w:basedOn w:val="DefaultParagraphFont"/>
    <w:uiPriority w:val="32"/>
    <w:qFormat/>
    <w:rsid w:val="002A1AA3"/>
    <w:rPr>
      <w:b/>
      <w:bCs/>
      <w:smallCaps/>
      <w:color w:val="auto"/>
      <w:spacing w:val="5"/>
      <w:u w:val="single"/>
    </w:rPr>
  </w:style>
  <w:style w:type="paragraph" w:customStyle="1" w:styleId="2ColumnHeading">
    <w:name w:val="2Column Heading"/>
    <w:basedOn w:val="BodyText"/>
    <w:qFormat/>
    <w:rsid w:val="002A1AA3"/>
    <w:pPr>
      <w:spacing w:after="60"/>
      <w:ind w:left="-2268"/>
    </w:pPr>
    <w:rPr>
      <w:b/>
    </w:rPr>
  </w:style>
  <w:style w:type="paragraph" w:customStyle="1" w:styleId="Heading1TOC">
    <w:name w:val="Heading1 TOC"/>
    <w:basedOn w:val="Normal"/>
    <w:qFormat/>
    <w:rsid w:val="002A1AA3"/>
    <w:pPr>
      <w:spacing w:before="240" w:after="120"/>
    </w:pPr>
    <w:rPr>
      <w:rFonts w:ascii="Times New Roman" w:hAnsi="Times New Roman"/>
      <w:b/>
      <w:sz w:val="32"/>
    </w:rPr>
  </w:style>
  <w:style w:type="paragraph" w:customStyle="1" w:styleId="Heading2TOC">
    <w:name w:val="Heading2 TOC"/>
    <w:basedOn w:val="Normal"/>
    <w:qFormat/>
    <w:rsid w:val="002A1AA3"/>
    <w:pPr>
      <w:spacing w:before="240" w:after="60"/>
    </w:pPr>
    <w:rPr>
      <w:rFonts w:ascii="Times New Roman" w:hAnsi="Times New Roman"/>
      <w:b/>
      <w:sz w:val="28"/>
    </w:rPr>
  </w:style>
  <w:style w:type="character" w:customStyle="1" w:styleId="Underline">
    <w:name w:val="Underline"/>
    <w:basedOn w:val="DefaultParagraphFont"/>
    <w:qFormat/>
    <w:rsid w:val="002A1AA3"/>
    <w:rPr>
      <w:u w:val="single"/>
    </w:rPr>
  </w:style>
  <w:style w:type="character" w:customStyle="1" w:styleId="BoldandItalics">
    <w:name w:val="Bold and Italics"/>
    <w:qFormat/>
    <w:rsid w:val="002A1AA3"/>
    <w:rPr>
      <w:b/>
      <w:i/>
      <w:u w:val="none"/>
    </w:rPr>
  </w:style>
  <w:style w:type="paragraph" w:styleId="BalloonText">
    <w:name w:val="Balloon Text"/>
    <w:basedOn w:val="Normal"/>
    <w:link w:val="BalloonTextChar"/>
    <w:rsid w:val="002A1AA3"/>
    <w:rPr>
      <w:rFonts w:ascii="Tahoma" w:hAnsi="Tahoma" w:cs="Tahoma"/>
      <w:sz w:val="16"/>
      <w:szCs w:val="16"/>
    </w:rPr>
  </w:style>
  <w:style w:type="character" w:customStyle="1" w:styleId="BalloonTextChar">
    <w:name w:val="Balloon Text Char"/>
    <w:basedOn w:val="DefaultParagraphFont"/>
    <w:link w:val="BalloonText"/>
    <w:rsid w:val="002A1A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1A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1A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1AA3"/>
    <w:rPr>
      <w:b/>
      <w:color w:val="660033"/>
      <w:spacing w:val="0"/>
    </w:rPr>
  </w:style>
  <w:style w:type="paragraph" w:customStyle="1" w:styleId="Nameditemlist">
    <w:name w:val="Named item list"/>
    <w:basedOn w:val="BodyText"/>
    <w:qFormat/>
    <w:rsid w:val="002A1A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2231</Words>
  <Characters>13869</Characters>
  <Application>Microsoft Office Word</Application>
  <DocSecurity>0</DocSecurity>
  <Lines>564</Lines>
  <Paragraphs>213</Paragraphs>
  <ScaleCrop>false</ScaleCrop>
  <Company>Author-it Software Corporation Ltd.</Company>
  <LinksUpToDate>false</LinksUpToDate>
  <CharactersWithSpaces>15928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UETTDREL03B Comply with environmental and incidental response procedures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2012-10-10T05:27:00Z</dcterms:created>
  <dcterms:modified xsi:type="dcterms:W3CDTF">2012-10-10T05:27:00Z</dcterms:modified>
</cp:coreProperties>
</file>