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3A1" w:rsidP="007B23A1">
      <w:pPr>
        <w:pStyle w:val="Title"/>
      </w:pPr>
      <w:bookmarkStart w:id="0" w:name="_GoBack"/>
      <w:bookmarkEnd w:id="0"/>
      <w:r>
        <w:fldChar w:fldCharType="begin"/>
      </w:r>
      <w:r>
        <w:instrText xml:space="preserve"> TITLE   \* MERGEFORMAT </w:instrText>
      </w:r>
      <w:r>
        <w:fldChar w:fldCharType="separate"/>
      </w:r>
      <w:r>
        <w:t>UETTDREL02B Operate plant and equipment near live electrical conductors/apparatus</w:t>
      </w:r>
      <w:r>
        <w:fldChar w:fldCharType="end"/>
      </w:r>
    </w:p>
    <w:p w:rsidR="007B23A1" w:rsidP="007B23A1">
      <w:pPr>
        <w:pStyle w:val="Version"/>
        <w:sectPr w:rsidSect="00AB12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23D" w:rsidP="00AB123D">
      <w:pPr>
        <w:pStyle w:val="SuperHeading"/>
      </w:pPr>
      <w:r w:rsidRPr="00AB123D">
        <w:t>UETTDREL02B Operate plant and equipment near live electrical conductors/apparatus</w:t>
      </w:r>
    </w:p>
    <w:p w:rsidR="00000000" w:rsidRPr="00AB123D" w:rsidP="00AB123D">
      <w:pPr>
        <w:pStyle w:val="Heading1"/>
      </w:pPr>
      <w:bookmarkStart w:id="1" w:name="O_275459"/>
      <w:bookmarkEnd w:id="1"/>
      <w:r w:rsidRPr="00AB123D">
        <w:t>Modification History</w:t>
      </w:r>
    </w:p>
    <w:p w:rsidR="00000000" w:rsidRPr="00AB123D" w:rsidP="00AB123D">
      <w:pPr>
        <w:pStyle w:val="BodyText"/>
      </w:pPr>
      <w:r w:rsidRPr="00AB123D">
        <w:t>Not Applicable</w:t>
      </w:r>
    </w:p>
    <w:p w:rsidR="00000000" w:rsidRPr="00AB123D" w:rsidP="00AB123D">
      <w:pPr>
        <w:pStyle w:val="AllowPageBreak"/>
      </w:pPr>
    </w:p>
    <w:p w:rsidR="00000000" w:rsidRPr="00AB123D" w:rsidP="00AB123D">
      <w:pPr>
        <w:pStyle w:val="Heading1"/>
      </w:pPr>
      <w:bookmarkStart w:id="2" w:name="O_231361"/>
      <w:bookmarkEnd w:id="2"/>
      <w:r w:rsidRPr="00AB123D">
        <w:t>Unit Descriptor</w:t>
      </w:r>
    </w:p>
    <w:tbl>
      <w:tblPr>
        <w:tblW w:w="0" w:type="auto"/>
        <w:tblLayout w:type="fixed"/>
        <w:tblCellMar>
          <w:left w:w="62" w:type="dxa"/>
          <w:right w:w="62" w:type="dxa"/>
        </w:tblCellMar>
        <w:tblLook w:val="0000"/>
      </w:tblPr>
      <w:tblGrid>
        <w:gridCol w:w="2700"/>
        <w:gridCol w:w="5760"/>
      </w:tblGrid>
      <w:tr w:rsidTr="007B23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1</w:t>
            </w:r>
            <w:r w:rsidRPr="00AB123D">
              <w:t xml:space="preserve">) </w:t>
            </w:r>
          </w:p>
          <w:p w:rsidR="00000000" w:rsidP="00AB123D">
            <w:pPr>
              <w:pStyle w:val="BodyText"/>
              <w:rPr>
                <w:lang w:val="en-NZ"/>
              </w:rPr>
            </w:pPr>
            <w:r w:rsidRPr="00AB123D">
              <w:rPr>
                <w:rStyle w:val="SpecialBold"/>
              </w:rPr>
              <w:t>1</w:t>
            </w:r>
            <w:r w:rsidRPr="00AB123D">
              <w:t>.</w:t>
            </w:r>
            <w:r w:rsidRPr="00AB123D">
              <w:rPr>
                <w:rStyle w:val="SpecialBold"/>
              </w:rPr>
              <w:t>1</w:t>
            </w:r>
            <w:r w:rsidRPr="00AB123D">
              <w:t xml:space="preserve">) </w:t>
            </w:r>
            <w:r w:rsidRPr="00AB123D">
              <w:rPr>
                <w:rStyle w:val="SpecialBold"/>
              </w:rPr>
              <w:t>Descriptor</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 xml:space="preserve">This Competency Standard Unit covers the safe operation of plant and equipment near live electrical conductors and/or apparatus. It encompasses plant and equipment relevant to the enterprise and is in addition to any Commonwealth, State/Territory or Local </w:t>
            </w:r>
            <w:r w:rsidRPr="00AB123D">
              <w:t>Government legislation and or regulatory requirements regarding the operation of that plant and or equipment. It includes maintenance the conducting of operational checks, the correct positioning of road signs, barriers and or warning devices. It also enco</w:t>
            </w:r>
            <w:r w:rsidRPr="00AB123D">
              <w:t>mpasses the completion of log books and job completion documentation.</w:t>
            </w:r>
          </w:p>
        </w:tc>
      </w:tr>
    </w:tbl>
    <w:p w:rsidR="007B23A1" w:rsidP="00AB123D">
      <w:pPr>
        <w:pStyle w:val="BodyText"/>
      </w:pPr>
    </w:p>
    <w:p w:rsidR="007B23A1" w:rsidP="00AB123D">
      <w:pPr>
        <w:pStyle w:val="BodyText"/>
      </w:pPr>
    </w:p>
    <w:p w:rsidR="00000000" w:rsidRPr="00AB123D" w:rsidP="00AB123D">
      <w:pPr>
        <w:pStyle w:val="Heading1"/>
      </w:pPr>
      <w:bookmarkStart w:id="3" w:name="O_231366"/>
      <w:bookmarkEnd w:id="3"/>
      <w:r w:rsidRPr="00AB123D">
        <w:t>Application of the Unit</w:t>
      </w:r>
    </w:p>
    <w:tbl>
      <w:tblPr>
        <w:tblW w:w="0" w:type="auto"/>
        <w:tblLayout w:type="fixed"/>
        <w:tblCellMar>
          <w:left w:w="62" w:type="dxa"/>
          <w:right w:w="62" w:type="dxa"/>
        </w:tblCellMar>
        <w:tblLook w:val="0000"/>
      </w:tblPr>
      <w:tblGrid>
        <w:gridCol w:w="2700"/>
        <w:gridCol w:w="5760"/>
      </w:tblGrid>
      <w:tr w:rsidTr="007B23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4</w:t>
            </w:r>
            <w:r w:rsidRPr="00AB123D">
              <w:t>)</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This Competency Standard Unit is intended to augment formally acquired competencies. It is suitable for employmen</w:t>
            </w:r>
            <w:r w:rsidRPr="00AB123D">
              <w:t>t-based programs under an approved contract of training.</w:t>
            </w:r>
          </w:p>
        </w:tc>
      </w:tr>
    </w:tbl>
    <w:p w:rsidR="007B23A1" w:rsidP="00AB123D">
      <w:pPr>
        <w:pStyle w:val="BodyText"/>
      </w:pPr>
    </w:p>
    <w:p w:rsidR="007B23A1" w:rsidP="00AB123D">
      <w:pPr>
        <w:pStyle w:val="BodyText"/>
      </w:pPr>
    </w:p>
    <w:p w:rsidR="00000000" w:rsidRPr="00AB123D" w:rsidP="00AB123D">
      <w:pPr>
        <w:pStyle w:val="Heading1"/>
      </w:pPr>
      <w:bookmarkStart w:id="4" w:name="O_231362"/>
      <w:bookmarkEnd w:id="4"/>
      <w:r w:rsidRPr="00AB123D">
        <w:t>Licensing/Regulatory Information</w:t>
      </w:r>
    </w:p>
    <w:tbl>
      <w:tblPr>
        <w:tblW w:w="0" w:type="auto"/>
        <w:tblLayout w:type="fixed"/>
        <w:tblCellMar>
          <w:left w:w="62" w:type="dxa"/>
          <w:right w:w="62" w:type="dxa"/>
        </w:tblCellMar>
        <w:tblLook w:val="0000"/>
      </w:tblPr>
      <w:tblGrid>
        <w:gridCol w:w="8460"/>
      </w:tblGrid>
      <w:tr w:rsidTr="007B23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1</w:t>
            </w:r>
            <w:r w:rsidRPr="00AB123D">
              <w:t>.</w:t>
            </w:r>
            <w:r w:rsidRPr="00AB123D">
              <w:rPr>
                <w:rStyle w:val="SpecialBold"/>
              </w:rPr>
              <w:t>2</w:t>
            </w:r>
            <w:r w:rsidRPr="00AB123D">
              <w:t xml:space="preserve">) </w:t>
            </w:r>
            <w:r w:rsidRPr="00AB123D">
              <w:rPr>
                <w:rStyle w:val="SpecialBold"/>
              </w:rPr>
              <w:t>License to practice</w:t>
            </w:r>
          </w:p>
        </w:tc>
      </w:tr>
      <w:tr w:rsidTr="007B23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The skills and knowledge described in this unit may require a licence/registration to practice in the work place subject to regulations for undertaking of electrical work. Practice in workplace and during training is also subject to regulations directly re</w:t>
            </w:r>
            <w:r w:rsidRPr="00AB123D">
              <w:t>lated to Occupational Health and Safety, electricity/telecommunications/gas/water industry safety and compliance, industrial relations, environmental protection, anti discrimination and training. Commonwealth, State/Territory or Local Government legislatio</w:t>
            </w:r>
            <w:r w:rsidRPr="00AB123D">
              <w:t>n and regulations may exist that limits the age of operating certain equipment.</w:t>
            </w:r>
          </w:p>
        </w:tc>
      </w:tr>
    </w:tbl>
    <w:p w:rsidR="007B23A1" w:rsidP="00AB123D">
      <w:pPr>
        <w:pStyle w:val="BodyText"/>
      </w:pPr>
    </w:p>
    <w:p w:rsidR="007B23A1" w:rsidP="00AB123D">
      <w:pPr>
        <w:pStyle w:val="BodyText"/>
      </w:pPr>
    </w:p>
    <w:p w:rsidR="00000000" w:rsidRPr="00AB123D" w:rsidP="00AB123D">
      <w:pPr>
        <w:pStyle w:val="Heading1"/>
      </w:pPr>
      <w:bookmarkStart w:id="5" w:name="O_231363"/>
      <w:bookmarkEnd w:id="5"/>
      <w:r w:rsidRPr="00AB123D">
        <w:t>Pre-Requisites</w:t>
      </w:r>
    </w:p>
    <w:tbl>
      <w:tblPr>
        <w:tblW w:w="0" w:type="auto"/>
        <w:tblLayout w:type="fixed"/>
        <w:tblCellMar>
          <w:left w:w="62" w:type="dxa"/>
          <w:right w:w="62" w:type="dxa"/>
        </w:tblCellMar>
        <w:tblLook w:val="0000"/>
      </w:tblPr>
      <w:tblGrid>
        <w:gridCol w:w="2700"/>
        <w:gridCol w:w="5760"/>
      </w:tblGrid>
      <w:tr w:rsidTr="007B23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Prerequisite Unit</w:t>
            </w:r>
            <w:r w:rsidRPr="00AB123D">
              <w:t>(</w:t>
            </w:r>
            <w:r w:rsidRPr="00AB123D">
              <w:rPr>
                <w:rStyle w:val="SpecialBold"/>
              </w:rPr>
              <w:t>s</w:t>
            </w:r>
            <w:r w:rsidRPr="00AB123D">
              <w:t>)</w:t>
            </w:r>
          </w:p>
        </w:tc>
        <w:tc>
          <w:tcPr>
            <w:tcW w:w="57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2</w:t>
            </w:r>
            <w:r w:rsidRPr="00AB123D">
              <w:t xml:space="preserve">) </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23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2</w:t>
            </w:r>
            <w:r w:rsidRPr="00AB123D">
              <w:t>.</w:t>
            </w:r>
            <w:r w:rsidRPr="00AB123D">
              <w:rPr>
                <w:rStyle w:val="SpecialBold"/>
              </w:rPr>
              <w:t>1</w:t>
            </w:r>
            <w:r w:rsidRPr="00AB123D">
              <w:t xml:space="preserve">) </w:t>
            </w:r>
            <w:r w:rsidRPr="00AB123D">
              <w:rPr>
                <w:rStyle w:val="SpecialBold"/>
              </w:rPr>
              <w:t>Competencies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There are no prerequisite competencies to this unit.</w:t>
            </w:r>
          </w:p>
        </w:tc>
      </w:tr>
    </w:tbl>
    <w:p w:rsidR="007B23A1" w:rsidP="00AB123D">
      <w:pPr>
        <w:pStyle w:val="BodyText"/>
      </w:pPr>
    </w:p>
    <w:p w:rsidR="007B23A1" w:rsidP="00AB123D">
      <w:pPr>
        <w:pStyle w:val="BodyText"/>
      </w:pPr>
    </w:p>
    <w:p w:rsidR="00000000" w:rsidRPr="00AB123D" w:rsidP="00AB123D">
      <w:pPr>
        <w:pStyle w:val="Heading1"/>
      </w:pPr>
      <w:bookmarkStart w:id="6" w:name="O_231365"/>
      <w:bookmarkEnd w:id="6"/>
      <w:r w:rsidRPr="00AB123D">
        <w:t>Employability Skills Information</w:t>
      </w:r>
    </w:p>
    <w:tbl>
      <w:tblPr>
        <w:tblW w:w="0" w:type="auto"/>
        <w:tblLayout w:type="fixed"/>
        <w:tblCellMar>
          <w:left w:w="62" w:type="dxa"/>
          <w:right w:w="62" w:type="dxa"/>
        </w:tblCellMar>
        <w:tblLook w:val="0000"/>
      </w:tblPr>
      <w:tblGrid>
        <w:gridCol w:w="2700"/>
        <w:gridCol w:w="5760"/>
      </w:tblGrid>
      <w:tr w:rsidTr="007B23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3</w:t>
            </w:r>
            <w:r w:rsidRPr="00AB123D">
              <w:t>)</w:t>
            </w:r>
          </w:p>
          <w:p w:rsidR="00000000" w:rsidRPr="00AB123D" w:rsidP="00AB123D">
            <w:pPr>
              <w:pStyle w:val="BodyText"/>
            </w:pPr>
            <w:r w:rsidRPr="00AB123D">
              <w:t>The required outcomes described in this unit of competency contain applicable facets of Employability Skills. The Employability Skills Summary of the qualification in which this unit of competency is</w:t>
            </w:r>
            <w:r w:rsidRPr="00AB123D">
              <w:t xml:space="preserve"> packaged will assist in identifying Employability Skill requirements.</w:t>
            </w:r>
          </w:p>
        </w:tc>
      </w:tr>
    </w:tbl>
    <w:p w:rsidR="007B23A1" w:rsidP="00AB123D">
      <w:pPr>
        <w:pStyle w:val="BodyText"/>
      </w:pPr>
    </w:p>
    <w:p w:rsidR="007B23A1" w:rsidP="00AB123D">
      <w:pPr>
        <w:pStyle w:val="BodyText"/>
      </w:pPr>
    </w:p>
    <w:p w:rsidR="00000000" w:rsidRPr="00AB123D" w:rsidP="00AB123D">
      <w:pPr>
        <w:pStyle w:val="Heading1"/>
      </w:pPr>
      <w:bookmarkStart w:id="7" w:name="O_293505"/>
      <w:bookmarkEnd w:id="7"/>
      <w:r w:rsidRPr="00AB123D">
        <w:t>Elements and Performance Criteria Pre-Content</w:t>
      </w:r>
    </w:p>
    <w:tbl>
      <w:tblPr>
        <w:tblW w:w="0" w:type="auto"/>
        <w:tblLayout w:type="fixed"/>
        <w:tblCellMar>
          <w:left w:w="62" w:type="dxa"/>
          <w:right w:w="62" w:type="dxa"/>
        </w:tblCellMar>
        <w:tblLook w:val="0000"/>
      </w:tblPr>
      <w:tblGrid>
        <w:gridCol w:w="2700"/>
        <w:gridCol w:w="5760"/>
      </w:tblGrid>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6</w:t>
            </w:r>
            <w:r w:rsidRPr="00AB123D">
              <w:t xml:space="preserve">) </w:t>
            </w:r>
            <w:r w:rsidRPr="00AB123D">
              <w:rPr>
                <w:rStyle w:val="SpecialBold"/>
              </w:rPr>
              <w:t>Elements</w:t>
            </w:r>
            <w:r w:rsidRPr="00AB123D">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Performance Criteria describe the required performance needed to demonstrate achievement of the element. Assessment of performance is to be consistent with the evidence guide.</w:t>
            </w:r>
          </w:p>
        </w:tc>
      </w:tr>
    </w:tbl>
    <w:p w:rsidR="00000000" w:rsidRPr="00AB123D" w:rsidP="00AB123D">
      <w:pPr>
        <w:pStyle w:val="BodyText"/>
      </w:pPr>
    </w:p>
    <w:p w:rsidR="00000000" w:rsidRPr="00AB123D" w:rsidP="00AB123D">
      <w:pPr>
        <w:pStyle w:val="AllowPageBreak"/>
      </w:pPr>
    </w:p>
    <w:p w:rsidR="00000000" w:rsidRPr="00AB123D" w:rsidP="00AB123D">
      <w:pPr>
        <w:pStyle w:val="Heading1"/>
      </w:pPr>
      <w:bookmarkStart w:id="8" w:name="O_240173"/>
      <w:bookmarkEnd w:id="8"/>
      <w:r w:rsidRPr="00AB123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B23A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PERFORMANCE CRITER</w:t>
            </w:r>
            <w:r w:rsidRPr="00AB123D">
              <w:rPr>
                <w:rStyle w:val="SpecialBold"/>
              </w:rPr>
              <w:t>IA</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w:t>
            </w:r>
          </w:p>
        </w:tc>
        <w:tc>
          <w:tcPr>
            <w:tcW w:w="2296"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Prepare to operate plant and equipment near energised and exposed electrical conductors/apparatus</w:t>
            </w: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1.1</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 xml:space="preserve">Works schedule(s), including drawings, plans, requirements, established procedures, and material lists, are received, analysed and confirmed, </w:t>
            </w:r>
            <w:r w:rsidRPr="00AB123D">
              <w:t>if necessary, by site inspection.</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1.2</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Relevant requirements and established procedures for the operation of plant and equipment near energised and exposed electrical conductors/apparatus are communicated to all personnel and identified for all work site</w:t>
            </w:r>
            <w:r w:rsidRPr="00AB123D">
              <w:t>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1.3</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OHS policies and procedures related to requirements and established procedures for the operation of plant and equipment near energised and exposed electrical conductors/apparatus are obtained and confirmed for the purposes of the work to be perfo</w:t>
            </w:r>
            <w:r w:rsidRPr="00AB123D">
              <w:t>rmed and communicated.</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1.4</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Work is prioritised and sequenced following consultation with others for completion within acceptable timeframes and in accordance with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1.5</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Hazards are identified, OHS risks assessed and control measures are prioritised, implemented and monitored including emergency exits kept clear according to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1.6</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Relevant work permits are obtained to access and perform work accord</w:t>
            </w:r>
            <w:r w:rsidRPr="00AB123D">
              <w:t>ing to requirements and/or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1.7</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Resources including personnel, equipment, tools and personal protective equipment required for the job are obtained and confirmed in working order.</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1.8</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Relevant personnel at worksite are confirmed current in First Aid, relevant rescue procedures and other related work procedures according to requirements.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1.9</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Liaison and communication issues with other/authorised personnel, authorities, clients and lan</w:t>
            </w:r>
            <w:r w:rsidRPr="00AB123D">
              <w:t>d owners are resolved to carry out work where necessary.</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1.10</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Site is prepared according to the work schedule and to minimise risk and damage to property, commerce, and individuals in accordance with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1.11</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Personnel participati</w:t>
            </w:r>
            <w:r w:rsidRPr="00AB123D">
              <w:t>ng in the work, including plant operators and contractors, are fully briefed and respective responsibilities confirmed where applicable in accordance with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1.12</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Road signs, barriers</w:t>
            </w:r>
            <w:r w:rsidRPr="00AB123D">
              <w:t xml:space="preserve"> and warning devices are positioned in accordance with requirements.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w:t>
            </w:r>
          </w:p>
        </w:tc>
        <w:tc>
          <w:tcPr>
            <w:tcW w:w="2296" w:type="dxa"/>
            <w:vMerge w:val="restart"/>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Carry out the operation of plant and equipment near energised and exposed electrical conductors/apparatus</w:t>
            </w: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2.1</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OHS and sustainable energy principles and practices to reduce the incident</w:t>
            </w:r>
            <w:r w:rsidRPr="00AB123D">
              <w:t>s of accidents and minimise waste are monitored and followed in accordance with requirements and/or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2.2</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Lifting, climbing, working in confined spaces and aloft, and use of power tools/equipment, techniques and practices are safel</w:t>
            </w:r>
            <w:r w:rsidRPr="00AB123D">
              <w:t>y followed and, currency according to requirements confirmed.</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2.3</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 xml:space="preserve">Essential knowledge and associated skills are applied in the safe operation of plant and equipment near energised and exposed electrical conductors/apparatus </w:t>
            </w:r>
            <w:r w:rsidRPr="00AB123D">
              <w:t>to ensure completion in an agreed timeframe and, to quality standards with a minimum of waste according to requirements.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2.4</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Plant and equipment are safely operated near energised and exposed electrical conductors/apparatus according to requirements and</w:t>
            </w:r>
            <w:r w:rsidRPr="00AB123D">
              <w:t xml:space="preserve">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2.5</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Hazard warnings and safety signs are recognised and hazards and assessed OHS risks are reported to the immediate authorised persons for directions according to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2.6</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Unplanned events in the operation of plant and equipment near energised and exposed electrical conductors/apparatus are undertaken within the scope of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2.7</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Known solutions to a variety of problems are applied using acquired essent</w:t>
            </w:r>
            <w:r w:rsidRPr="00AB123D">
              <w:t>ial knowledge and associated skills.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2.8</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On going checks of quality of the work are undertaken in accordance with instructions and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w:t>
            </w:r>
          </w:p>
        </w:tc>
        <w:tc>
          <w:tcPr>
            <w:tcW w:w="2296" w:type="dxa"/>
            <w:vMerge w:val="restart"/>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Complete the operation of plant and equipment near energised and exposed electrical conductors/</w:t>
            </w:r>
            <w:r w:rsidRPr="00AB123D">
              <w:t>apparatus</w:t>
            </w: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3.1</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Work undertaken is checked against works schedule for conformance with requirements and anomalies reported in accordance with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3.2</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Accidents and/or injuries are reported in accordance with requirements/establishe</w:t>
            </w:r>
            <w:r w:rsidRPr="00AB123D">
              <w:t>d procedures, where applicable.</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3.3</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Work site is rehabilitated, cleaned up and made safe in accordance with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3.4</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Tools, equipment and any surplus resources and materials are, where appropriate, cleaned, checked and returned to storage in accordance with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3.5</w:t>
            </w:r>
          </w:p>
        </w:tc>
        <w:tc>
          <w:tcPr>
            <w:tcW w:w="48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Relevant work permit(s) are signed off and, plant and equipment are checked, returne</w:t>
            </w:r>
            <w:r w:rsidRPr="00AB123D">
              <w:t>d to service/stored appropriately, in accordance with requirements and established procedures.</w:t>
            </w:r>
          </w:p>
        </w:tc>
      </w:tr>
      <w:tr w:rsidTr="007B23A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3.6</w:t>
            </w:r>
          </w:p>
        </w:tc>
        <w:tc>
          <w:tcPr>
            <w:tcW w:w="48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Works completion records, reports, as installed /modified drawing and/or documentation and information are finalised and processed and appropriate personn</w:t>
            </w:r>
            <w:r w:rsidRPr="00AB123D">
              <w:t>el notified.</w:t>
            </w:r>
          </w:p>
        </w:tc>
      </w:tr>
    </w:tbl>
    <w:p w:rsidR="007B23A1" w:rsidP="00AB123D">
      <w:pPr>
        <w:pStyle w:val="BodyText"/>
      </w:pPr>
    </w:p>
    <w:p w:rsidR="007B23A1" w:rsidP="00AB123D">
      <w:pPr>
        <w:pStyle w:val="BodyText"/>
      </w:pPr>
    </w:p>
    <w:p w:rsidR="00000000" w:rsidRPr="00AB123D" w:rsidP="00AB123D">
      <w:pPr>
        <w:pStyle w:val="Heading1"/>
      </w:pPr>
      <w:bookmarkStart w:id="9" w:name="O_263964"/>
      <w:bookmarkEnd w:id="9"/>
      <w:r w:rsidRPr="00AB123D">
        <w:t>Required Skills and Knowledge</w:t>
      </w:r>
    </w:p>
    <w:tbl>
      <w:tblPr>
        <w:tblW w:w="0" w:type="auto"/>
        <w:tblLayout w:type="fixed"/>
        <w:tblCellMar>
          <w:left w:w="62" w:type="dxa"/>
          <w:right w:w="62" w:type="dxa"/>
        </w:tblCellMar>
        <w:tblLook w:val="0000"/>
      </w:tblPr>
      <w:tblGrid>
        <w:gridCol w:w="2700"/>
        <w:gridCol w:w="1080"/>
        <w:gridCol w:w="4680"/>
      </w:tblGrid>
      <w:tr w:rsidTr="007B23A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REQUIRED SKILLS AND KNOWLEDGE</w:t>
            </w:r>
          </w:p>
        </w:tc>
      </w:tr>
      <w:tr w:rsidTr="007B23A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7</w:t>
            </w:r>
            <w:r w:rsidRPr="00AB123D">
              <w:t xml:space="preserve">) </w:t>
            </w:r>
            <w:r w:rsidRPr="00AB123D">
              <w:rPr>
                <w:rStyle w:val="SpecialBold"/>
              </w:rPr>
              <w:t>Essential Knowledge and Associated Skills</w:t>
            </w:r>
            <w:r w:rsidRPr="00AB123D">
              <w:t xml:space="preserve"> (</w:t>
            </w:r>
            <w:r w:rsidRPr="00AB123D">
              <w:rPr>
                <w:rStyle w:val="SpecialBold"/>
              </w:rPr>
              <w:t>EKAS</w:t>
            </w:r>
            <w:r w:rsidRPr="00AB123D">
              <w:t>): This describes the essential skills and knowledge and their level, required for this unit.</w:t>
            </w:r>
          </w:p>
        </w:tc>
      </w:tr>
      <w:tr w:rsidTr="007B23A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Evidence shall show that knowledge has been acquired of operating plant and equipment near live electrical conductors/apparatus.</w:t>
            </w:r>
          </w:p>
          <w:p w:rsidR="00000000" w:rsidRPr="00AB123D" w:rsidP="00AB123D">
            <w:pPr>
              <w:pStyle w:val="BodyText"/>
            </w:pPr>
            <w:r w:rsidRPr="00AB123D">
              <w:t>All knowledge and skills detailed in this unit should be contextualised to current industry practices and technologies.</w:t>
            </w:r>
          </w:p>
          <w:p w:rsidR="00000000" w:rsidP="00AB123D">
            <w:pPr>
              <w:pStyle w:val="BodyText"/>
              <w:rPr>
                <w:lang w:val="en-NZ"/>
              </w:rPr>
            </w:pPr>
            <w:r w:rsidRPr="00AB123D">
              <w:t>The ext</w:t>
            </w:r>
            <w:r w:rsidRPr="00AB123D">
              <w:t>ent of the essential knowledge and associated skills (EKAS) required is given in Volume 2 - Part 2.2 EKAS. It forms an integral part of this unit.</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E2.8.1.1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Basic electrical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E2.8.5</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Magnetism</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E2.8.6</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Electromagnetic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E2.8.8</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Electrotechnology science and materials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E2.11.1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Hand tools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E2.11.2.1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Power tools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E2.18.1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Occupational Health and Safety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E2.18.2</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Electrical safe working practice</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T2.1.1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Engineering applications of mathematical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T2.1.2</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Engineering applications of mechanical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T2.1.3</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Engineering applications of material properties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T2.1.5</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Elevating work platform operational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 xml:space="preserve">T2.1.6. </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Hydraulic and pneumatic portable equipment</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T2.1.7</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Enterprise vehicles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T2.1.8</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Chain saw principles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T2.2.1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Generation power systems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T2.7.1</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Environmental fundamentals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T2.7.2</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 xml:space="preserve">Material handling and the environment </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 xml:space="preserve">T2.8.1 </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Enterprise specific - policy and procedure instructions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T2.8.2</w:t>
            </w:r>
          </w:p>
        </w:tc>
        <w:tc>
          <w:tcPr>
            <w:tcW w:w="46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Enterprise specific - OHS instructions</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T2.8.3</w:t>
            </w:r>
          </w:p>
        </w:tc>
        <w:tc>
          <w:tcPr>
            <w:tcW w:w="468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Enterprise specific - technical drawings and documents</w:t>
            </w:r>
          </w:p>
        </w:tc>
      </w:tr>
    </w:tbl>
    <w:p w:rsidR="007B23A1" w:rsidP="00AB123D">
      <w:pPr>
        <w:pStyle w:val="BodyText"/>
      </w:pPr>
    </w:p>
    <w:p w:rsidR="007B23A1" w:rsidP="00AB123D">
      <w:pPr>
        <w:pStyle w:val="BodyText"/>
      </w:pPr>
    </w:p>
    <w:p w:rsidR="00000000" w:rsidRPr="00AB123D" w:rsidP="00AB123D">
      <w:pPr>
        <w:pStyle w:val="Heading1"/>
      </w:pPr>
      <w:bookmarkStart w:id="10" w:name="O_248156"/>
      <w:bookmarkEnd w:id="10"/>
      <w:r w:rsidRPr="00AB123D">
        <w:t>Evidence Guide</w:t>
      </w:r>
    </w:p>
    <w:tbl>
      <w:tblPr>
        <w:tblW w:w="0" w:type="auto"/>
        <w:tblLayout w:type="fixed"/>
        <w:tblCellMar>
          <w:left w:w="62" w:type="dxa"/>
          <w:right w:w="62" w:type="dxa"/>
        </w:tblCellMar>
        <w:tblLook w:val="0000"/>
      </w:tblPr>
      <w:tblGrid>
        <w:gridCol w:w="2160"/>
        <w:gridCol w:w="720"/>
        <w:gridCol w:w="900"/>
        <w:gridCol w:w="180"/>
        <w:gridCol w:w="1440"/>
        <w:gridCol w:w="3060"/>
      </w:tblGrid>
      <w:tr w:rsidTr="007B23A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EVIDENCE GUIDE</w:t>
            </w:r>
          </w:p>
        </w:tc>
      </w:tr>
      <w:tr w:rsidTr="007B23A1">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9</w:t>
            </w:r>
            <w:r w:rsidRPr="00AB123D">
              <w:t xml:space="preserve">) This provides essential advice for assessment of the competency standard unit and must be read </w:t>
            </w:r>
            <w:r w:rsidRPr="00AB123D">
              <w:t>in conjunction with the Performance Criteria and the range statement of the competency standard unit and the Training Package Assessment Guidelines.</w:t>
            </w:r>
          </w:p>
          <w:p w:rsidR="00000000" w:rsidP="00AB123D">
            <w:pPr>
              <w:pStyle w:val="BodyText"/>
              <w:rPr>
                <w:lang w:val="en-NZ"/>
              </w:rPr>
            </w:pPr>
            <w:r w:rsidRPr="00AB123D">
              <w:t>The Evidence Guide forms an integral part of this Competency Standard Unit and shall be used in conjunction</w:t>
            </w:r>
            <w:r w:rsidRPr="00AB123D">
              <w:t xml:space="preserve"> with all component parts of this unit and, performed in accordance with the Assessment Guidelines of this Training Package.</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9</w:t>
            </w:r>
            <w:r w:rsidRPr="00AB123D">
              <w:t>.</w:t>
            </w:r>
            <w:r w:rsidRPr="00AB123D">
              <w:rPr>
                <w:rStyle w:val="SpecialBold"/>
              </w:rPr>
              <w:t>1</w:t>
            </w:r>
            <w:r w:rsidRPr="00AB123D">
              <w:t>)</w:t>
            </w:r>
          </w:p>
          <w:p w:rsidR="00000000" w:rsidRPr="00AB123D" w:rsidP="00AB123D">
            <w:pPr>
              <w:pStyle w:val="BodyText"/>
            </w:pPr>
            <w:r w:rsidRPr="00AB123D">
              <w:t xml:space="preserve">Longitudinal competency development approaches to assessment, such as Profiling, require data to </w:t>
            </w:r>
            <w:r w:rsidRPr="00AB123D">
              <w:t>be reliably gathered in a form that can be consistently interpreted over time. This approach is best utilised in Apprenticeship programs and reduces assessment intervention. It is the Industry's preferred model for apprenticeships. However, where summative</w:t>
            </w:r>
            <w:r w:rsidRPr="00AB123D">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AB123D">
              <w:t>, assessment in part or full can occur outside the workplace. However, it must be in accord with Industry and, Regulatory policy in this regard.</w:t>
            </w:r>
          </w:p>
          <w:p w:rsidR="00000000" w:rsidRPr="00AB123D" w:rsidP="00AB123D">
            <w:pPr>
              <w:pStyle w:val="BodyText"/>
            </w:pPr>
            <w:r w:rsidRPr="00AB123D">
              <w:t>Methods chosen for a particular assessment will be influenced by various factors. These include the extent of the assessment, the most effective locations for the assessment activities to take place, access to physical resources, additional safety measures</w:t>
            </w:r>
            <w:r w:rsidRPr="00AB123D">
              <w:t xml:space="preserve"> that may be required and the critical nature of the competencies being assessed.</w:t>
            </w:r>
          </w:p>
          <w:p w:rsidR="00000000" w:rsidRPr="00AB123D" w:rsidP="00AB123D">
            <w:pPr>
              <w:pStyle w:val="BodyText"/>
            </w:pPr>
            <w:r w:rsidRPr="00AB123D">
              <w:t>The critical safety nature of working with electricity, electrical equipment, gas or any other hazardous substance/material carries risk in deeming a person competent. Hence,</w:t>
            </w:r>
            <w:r w:rsidRPr="00AB123D">
              <w:t xml:space="preserve"> sources of evidence need to be 'rich' in nature so as to minimise error in judgment.</w:t>
            </w:r>
          </w:p>
          <w:p w:rsidR="00000000" w:rsidP="00AB123D">
            <w:pPr>
              <w:pStyle w:val="BodyText"/>
              <w:rPr>
                <w:lang w:val="en-NZ"/>
              </w:rPr>
            </w:pPr>
            <w:r w:rsidRPr="00AB123D">
              <w:t xml:space="preserve">Activities associated with normal every day work have a bearing on the decision as to how much and how detailed the data gathered will contribute to its 'richness'. Some </w:t>
            </w:r>
            <w:r w:rsidRPr="00AB123D">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AB123D">
              <w:t>Sample assessment instruments are included for Assessors in the Assessment Guidelines of this Training Package.</w:t>
            </w:r>
          </w:p>
        </w:tc>
      </w:tr>
      <w:tr w:rsidTr="007B23A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 xml:space="preserve">Critical aspects of evidence required to demonstrate competency </w:t>
            </w:r>
            <w:r w:rsidRPr="00AB123D">
              <w:rPr>
                <w:rStyle w:val="SpecialBold"/>
              </w:rPr>
              <w:t>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9</w:t>
            </w:r>
            <w:r w:rsidRPr="00AB123D">
              <w:t>.</w:t>
            </w:r>
            <w:r w:rsidRPr="00AB123D">
              <w:rPr>
                <w:rStyle w:val="SpecialBold"/>
              </w:rPr>
              <w:t>2</w:t>
            </w:r>
            <w:r w:rsidRPr="00AB123D">
              <w:t xml:space="preserve">) </w:t>
            </w:r>
          </w:p>
          <w:p w:rsidR="00000000" w:rsidP="00AB123D">
            <w:pPr>
              <w:pStyle w:val="BodyText"/>
              <w:rPr>
                <w:lang w:val="en-NZ"/>
              </w:rPr>
            </w:pPr>
            <w:r w:rsidRPr="00AB123D">
              <w:t>Before the critical aspects of evidence are considered a</w:t>
            </w:r>
            <w:r w:rsidRPr="00AB123D">
              <w:t>ll prerequisites shall be met.</w:t>
            </w:r>
          </w:p>
        </w:tc>
      </w:tr>
      <w:tr w:rsidTr="007B23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 xml:space="preserve">Evidence for competence in this unit shall be considered holistically. Each element and associated Performance Criteria shall be demonstrated </w:t>
            </w:r>
            <w:r w:rsidRPr="00AB123D">
              <w:t>on at least two occasions in accordance with the "Assessment Guidelines - UET09". Evidence shall also comprise:</w:t>
            </w:r>
          </w:p>
          <w:p w:rsidR="00000000" w:rsidP="00AB123D">
            <w:pPr>
              <w:pStyle w:val="ListBullet"/>
              <w:rPr>
                <w:lang w:val="en-NZ"/>
              </w:rPr>
            </w:pPr>
            <w:r w:rsidRPr="00AB123D">
              <w:t>A representative body of Performance Criteria demonstrated within the timeframes typically expected of the discipline, work function and industr</w:t>
            </w:r>
            <w:r w:rsidRPr="00AB123D">
              <w:t>ial environment. In particular this shall incorporate evidence that shows a candidate is able to:</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AB123D" w:rsidP="00AB123D">
            <w:pPr>
              <w:pStyle w:val="ListBullet2"/>
            </w:pPr>
            <w:r w:rsidRPr="00AB123D">
              <w:t xml:space="preserve">Implement Occupational Health and Safety workplace procedures and practices including the use of risk control measures as specified in the Performance </w:t>
            </w:r>
            <w:r w:rsidRPr="00AB123D">
              <w:t>Criteria and range; and</w:t>
            </w:r>
          </w:p>
          <w:p w:rsidR="00000000" w:rsidRPr="00AB123D" w:rsidP="00AB123D">
            <w:pPr>
              <w:pStyle w:val="ListBullet2"/>
            </w:pPr>
            <w:r w:rsidRPr="00AB123D">
              <w:t>Apply sustainable energy principles and practices as specified in the Performance Criteria and range; and</w:t>
            </w:r>
          </w:p>
          <w:p w:rsidR="00000000" w:rsidRPr="00AB123D" w:rsidP="00AB123D">
            <w:pPr>
              <w:pStyle w:val="ListBullet2"/>
            </w:pPr>
            <w:r w:rsidRPr="00AB123D">
              <w:t>Demonstrate an understanding of the essential knowledge and associated skills as described in this unit to such an extent that the learner's performance outcome is reported in accordance with the preferred approach; namely a percentile graded result, where</w:t>
            </w:r>
            <w:r w:rsidRPr="00AB123D">
              <w:t xml:space="preserve"> required by the regulated environment; and</w:t>
            </w:r>
          </w:p>
          <w:p w:rsidR="00000000" w:rsidRPr="00AB123D" w:rsidP="00AB123D">
            <w:pPr>
              <w:pStyle w:val="ListBullet2"/>
            </w:pPr>
            <w:r w:rsidRPr="00AB123D">
              <w:t>Demonstrate an appropriate level of employability skills; and</w:t>
            </w:r>
          </w:p>
          <w:p w:rsidR="00000000" w:rsidP="00AB123D">
            <w:pPr>
              <w:pStyle w:val="ListBullet2"/>
              <w:rPr>
                <w:lang w:val="en-NZ"/>
              </w:rPr>
            </w:pPr>
            <w:r w:rsidRPr="00AB123D">
              <w:t>Conduct work observing the relevant Anti Discrimination legislation, regulations, policies and workplace procedures; and</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B123D">
            <w:pPr>
              <w:pStyle w:val="ListBullet"/>
              <w:rPr>
                <w:lang w:val="en-NZ"/>
              </w:rPr>
            </w:pPr>
            <w:r w:rsidRPr="00AB123D">
              <w:t>Demonstrated performanc</w:t>
            </w:r>
            <w:r w:rsidRPr="00AB123D">
              <w:t>e across a representative range of contexts from the prescribed items below:</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AB123D">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rPr>
                <w:rStyle w:val="SpecialBold"/>
              </w:rPr>
              <w:t>Range of tools</w:t>
            </w:r>
            <w:r w:rsidRPr="00AB123D">
              <w:t>/</w:t>
            </w:r>
            <w:r w:rsidRPr="00AB123D">
              <w:rPr>
                <w:rStyle w:val="SpecialBold"/>
              </w:rPr>
              <w:t>equipment</w:t>
            </w:r>
            <w:r w:rsidRPr="00AB123D">
              <w:t>/</w:t>
            </w:r>
            <w:r w:rsidRPr="00AB123D">
              <w:rPr>
                <w:rStyle w:val="SpecialBold"/>
              </w:rPr>
              <w:t>materials</w:t>
            </w:r>
            <w:r w:rsidRPr="00AB123D">
              <w:t>/</w:t>
            </w:r>
            <w:r w:rsidRPr="00AB123D">
              <w:rPr>
                <w:rStyle w:val="SpecialBold"/>
              </w:rPr>
              <w:t>procedures</w:t>
            </w:r>
            <w:r w:rsidRPr="00AB123D">
              <w:t>/</w:t>
            </w:r>
            <w:r w:rsidRPr="00AB123D">
              <w:rPr>
                <w:rStyle w:val="SpecialBold"/>
              </w:rPr>
              <w:t>workplaces</w:t>
            </w:r>
            <w:r w:rsidRPr="00AB123D">
              <w:t>/</w:t>
            </w:r>
            <w:r w:rsidRPr="00AB123D">
              <w:rPr>
                <w:rStyle w:val="SpecialBold"/>
              </w:rPr>
              <w:t>other variables</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AB123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3D" w:rsidP="00AB123D">
            <w:pPr>
              <w:pStyle w:val="BodyText"/>
            </w:pPr>
            <w:r w:rsidRPr="00AB123D">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3D" w:rsidP="00AB123D">
            <w:pPr>
              <w:pStyle w:val="BodyText"/>
            </w:pPr>
            <w:r w:rsidRPr="00AB123D">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rPr>
                <w:rStyle w:val="SpecialBold"/>
              </w:rPr>
              <w:t>Item List</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t>At least four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3D" w:rsidP="00AB123D">
            <w:pPr>
              <w:pStyle w:val="BodyText"/>
            </w:pPr>
            <w:r w:rsidRPr="00AB123D">
              <w:t>Portable generators</w:t>
            </w:r>
          </w:p>
          <w:p w:rsidR="00000000" w:rsidRPr="00AB123D" w:rsidP="00AB123D">
            <w:pPr>
              <w:pStyle w:val="BodyText"/>
            </w:pPr>
            <w:r w:rsidRPr="00AB123D">
              <w:t>Chain-saws</w:t>
            </w:r>
          </w:p>
          <w:p w:rsidR="00000000" w:rsidRPr="00AB123D" w:rsidP="00AB123D">
            <w:pPr>
              <w:pStyle w:val="BodyText"/>
            </w:pPr>
            <w:r w:rsidRPr="00AB123D">
              <w:t>Concrete cutters</w:t>
            </w:r>
          </w:p>
          <w:p w:rsidR="00000000" w:rsidRPr="00AB123D" w:rsidP="00AB123D">
            <w:pPr>
              <w:pStyle w:val="BodyText"/>
            </w:pPr>
            <w:r w:rsidRPr="00AB123D">
              <w:t>Jack hammers</w:t>
            </w:r>
          </w:p>
          <w:p w:rsidR="00000000" w:rsidRPr="00AB123D" w:rsidP="00AB123D">
            <w:pPr>
              <w:pStyle w:val="BodyText"/>
            </w:pPr>
            <w:r w:rsidRPr="00AB123D">
              <w:t>Welders</w:t>
            </w:r>
          </w:p>
          <w:p w:rsidR="00000000" w:rsidRPr="00AB123D" w:rsidP="00AB123D">
            <w:pPr>
              <w:pStyle w:val="BodyText"/>
            </w:pPr>
            <w:r w:rsidRPr="00AB123D">
              <w:t>Compressor</w:t>
            </w:r>
          </w:p>
          <w:p w:rsidR="00000000" w:rsidRPr="00AB123D" w:rsidP="00AB123D">
            <w:pPr>
              <w:pStyle w:val="BodyText"/>
            </w:pPr>
            <w:r w:rsidRPr="00AB123D">
              <w:t>Crimper-cutters</w:t>
            </w:r>
          </w:p>
          <w:p w:rsidR="00000000" w:rsidRPr="00AB123D" w:rsidP="00AB123D">
            <w:pPr>
              <w:pStyle w:val="BodyText"/>
            </w:pPr>
            <w:r w:rsidRPr="00AB123D">
              <w:t>Pumps</w:t>
            </w:r>
          </w:p>
          <w:p w:rsidR="00000000" w:rsidRPr="00AB123D" w:rsidP="00AB123D">
            <w:pPr>
              <w:pStyle w:val="BodyText"/>
            </w:pPr>
            <w:r w:rsidRPr="00AB123D">
              <w:t>Post hole diggers</w:t>
            </w:r>
          </w:p>
          <w:p w:rsidR="00000000" w:rsidRPr="00AB123D" w:rsidP="00AB123D">
            <w:pPr>
              <w:pStyle w:val="BodyText"/>
            </w:pPr>
            <w:r w:rsidRPr="00AB123D">
              <w:t>Drills</w:t>
            </w:r>
          </w:p>
          <w:p w:rsidR="00000000" w:rsidRPr="00AB123D" w:rsidP="00AB123D">
            <w:pPr>
              <w:pStyle w:val="BodyText"/>
            </w:pPr>
            <w:r w:rsidRPr="00AB123D">
              <w:t>Friction grip winches</w:t>
            </w:r>
          </w:p>
          <w:p w:rsidR="00000000" w:rsidRPr="00AB123D" w:rsidP="00AB123D">
            <w:pPr>
              <w:pStyle w:val="BodyText"/>
            </w:pPr>
            <w:r w:rsidRPr="00AB123D">
              <w:t>Pullers</w:t>
            </w:r>
          </w:p>
          <w:p w:rsidR="00000000" w:rsidP="00AB123D">
            <w:pPr>
              <w:pStyle w:val="BodyText"/>
              <w:rPr>
                <w:lang w:val="en-NZ"/>
              </w:rPr>
            </w:pPr>
            <w:r w:rsidRPr="00AB123D">
              <w:t>Block and tackle</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t>At least one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3D" w:rsidP="00AB123D">
            <w:pPr>
              <w:pStyle w:val="BodyText"/>
            </w:pPr>
            <w:r w:rsidRPr="00AB123D">
              <w:t>Elevating work platform</w:t>
            </w:r>
          </w:p>
          <w:p w:rsidR="00000000" w:rsidRPr="00AB123D" w:rsidP="00AB123D">
            <w:pPr>
              <w:pStyle w:val="BodyText"/>
            </w:pPr>
            <w:r w:rsidRPr="00AB123D">
              <w:t>Back hoes</w:t>
            </w:r>
          </w:p>
          <w:p w:rsidR="00000000" w:rsidRPr="00AB123D" w:rsidP="00AB123D">
            <w:pPr>
              <w:pStyle w:val="BodyText"/>
            </w:pPr>
            <w:r w:rsidRPr="00AB123D">
              <w:t>Self loading vehicle</w:t>
            </w:r>
          </w:p>
          <w:p w:rsidR="00000000" w:rsidRPr="00AB123D" w:rsidP="00AB123D">
            <w:pPr>
              <w:pStyle w:val="BodyText"/>
            </w:pPr>
            <w:r w:rsidRPr="00AB123D">
              <w:t>Borer</w:t>
            </w:r>
          </w:p>
          <w:p w:rsidR="00000000" w:rsidRPr="00AB123D" w:rsidP="00AB123D">
            <w:pPr>
              <w:pStyle w:val="BodyText"/>
            </w:pPr>
            <w:r w:rsidRPr="00AB123D">
              <w:t>Bobcat</w:t>
            </w:r>
          </w:p>
          <w:p w:rsidR="00000000" w:rsidRPr="00AB123D" w:rsidP="00AB123D">
            <w:pPr>
              <w:pStyle w:val="BodyText"/>
            </w:pPr>
            <w:r w:rsidRPr="00AB123D">
              <w:t>Trench excavators</w:t>
            </w:r>
          </w:p>
          <w:p w:rsidR="00000000" w:rsidP="00AB123D">
            <w:pPr>
              <w:pStyle w:val="BodyText"/>
              <w:rPr>
                <w:lang w:val="en-NZ"/>
              </w:rPr>
            </w:pPr>
            <w:r w:rsidRPr="00AB123D">
              <w:t>Heavy vehicles</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3D">
            <w:pPr>
              <w:pStyle w:val="BodyText"/>
              <w:rPr>
                <w:lang w:val="en-NZ"/>
              </w:rPr>
            </w:pPr>
            <w:r w:rsidRPr="00AB123D">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3D" w:rsidP="00AB123D">
            <w:pPr>
              <w:pStyle w:val="BodyText"/>
            </w:pPr>
            <w:r w:rsidRPr="00AB123D">
              <w:t>Dealing with an unplanned event by drawing on essential knowledge and associated skills to provide appropriate solutions incorporated in the holistic assessment with the above listed items.</w:t>
            </w:r>
          </w:p>
          <w:p w:rsidR="00000000" w:rsidP="00AB123D">
            <w:pPr>
              <w:pStyle w:val="BodyText"/>
              <w:rPr>
                <w:lang w:val="en-NZ"/>
              </w:rPr>
            </w:pPr>
            <w:r w:rsidRPr="00AB123D">
              <w:t>Note</w:t>
            </w:r>
            <w:r w:rsidRPr="00AB123D">
              <w:br/>
              <w:t>Refer to Section 2.1 Licence to practice contained in this un</w:t>
            </w:r>
            <w:r w:rsidRPr="00AB123D">
              <w:t>it for information relevant to the use of the above equipment.</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9</w:t>
            </w:r>
            <w:r w:rsidRPr="00AB123D">
              <w:t>.</w:t>
            </w:r>
            <w:r w:rsidRPr="00AB123D">
              <w:rPr>
                <w:rStyle w:val="SpecialBold"/>
              </w:rPr>
              <w:t>3</w:t>
            </w:r>
            <w:r w:rsidRPr="00AB123D">
              <w:t xml:space="preserve">) </w:t>
            </w:r>
          </w:p>
          <w:p w:rsidR="00000000" w:rsidRPr="00AB123D" w:rsidP="00AB123D">
            <w:pPr>
              <w:pStyle w:val="BodyText"/>
            </w:pPr>
            <w:r w:rsidRPr="00AB123D">
              <w:t>This unit should be assessed as it relates to normal work practice using procedures, information and resources typical of a workplace. Th</w:t>
            </w:r>
            <w:r w:rsidRPr="00AB123D">
              <w:t>is should include:</w:t>
            </w:r>
          </w:p>
          <w:p w:rsidR="00000000" w:rsidRPr="00AB123D" w:rsidP="00AB123D">
            <w:pPr>
              <w:pStyle w:val="ListBullet"/>
            </w:pPr>
            <w:r w:rsidRPr="00AB123D">
              <w:t>OHS policy and work procedures and instructions.</w:t>
            </w:r>
          </w:p>
          <w:p w:rsidR="00000000" w:rsidP="00AB123D">
            <w:pPr>
              <w:pStyle w:val="ListBullet"/>
              <w:rPr>
                <w:lang w:val="en-NZ"/>
              </w:rPr>
            </w:pPr>
            <w:r w:rsidRPr="00AB123D">
              <w:t>Suitable work environment, facilities, equipment and materials to undertake actual operation of plant and equipment near live conductors and or apparatus.</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In addition to the resources listed above, in Context of and specific resources for assessment, evidence should show demonstrated competency working below ground, in limited spaces, with different structural/construction types and method and in a variety o</w:t>
            </w:r>
            <w:r w:rsidRPr="00AB123D">
              <w:t xml:space="preserve">f environments. </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9</w:t>
            </w:r>
            <w:r w:rsidRPr="00AB123D">
              <w:t>.</w:t>
            </w:r>
            <w:r w:rsidRPr="00AB123D">
              <w:rPr>
                <w:rStyle w:val="SpecialBold"/>
              </w:rPr>
              <w:t>4</w:t>
            </w:r>
            <w:r w:rsidRPr="00AB123D">
              <w:t xml:space="preserve">) </w:t>
            </w:r>
          </w:p>
          <w:p w:rsidR="00000000" w:rsidRPr="00AB123D" w:rsidP="00AB123D">
            <w:pPr>
              <w:pStyle w:val="BodyText"/>
            </w:pPr>
            <w:r w:rsidRPr="00AB123D">
              <w:t>This Competency Standard Unit shall be assessed by methods given in Volume 1, Part 3 "Assessment Guidelines".</w:t>
            </w:r>
          </w:p>
          <w:p w:rsidR="00000000" w:rsidP="00AB123D">
            <w:pPr>
              <w:pStyle w:val="BodyText"/>
              <w:rPr>
                <w:lang w:val="en-NZ"/>
              </w:rPr>
            </w:pPr>
            <w:r w:rsidRPr="00AB123D">
              <w:t>Note:</w:t>
            </w:r>
            <w:r w:rsidRPr="00AB123D">
              <w:br/>
              <w:t>Competent performance with inherent safe working practices is expected in the Industry to w</w:t>
            </w:r>
            <w:r w:rsidRPr="00AB123D">
              <w:t>hich this Competency Standard Unit applies. This requires that the specified essential knowledge and associated skills are assessed in a structured environment which is primarily intended for learning/assessment and incorporates all necessary equipment and</w:t>
            </w:r>
            <w:r w:rsidRPr="00AB123D">
              <w:t xml:space="preserve"> facilities for learners to develop and demonstrate the essential knowledge and associated skills described in this unit.</w:t>
            </w:r>
          </w:p>
        </w:tc>
      </w:tr>
      <w:tr w:rsidTr="007B23A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9</w:t>
            </w:r>
            <w:r w:rsidRPr="00AB123D">
              <w:t>.</w:t>
            </w:r>
            <w:r w:rsidRPr="00AB123D">
              <w:rPr>
                <w:rStyle w:val="SpecialBold"/>
              </w:rPr>
              <w:t>5</w:t>
            </w:r>
            <w:r w:rsidRPr="00AB123D">
              <w:t>)</w:t>
            </w:r>
          </w:p>
        </w:tc>
      </w:tr>
      <w:tr w:rsidTr="007B23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 xml:space="preserve">For optimisation of training and assessment effort, competence in this unit may be assessed concurrently with the following units: </w:t>
            </w:r>
          </w:p>
        </w:tc>
      </w:tr>
      <w:tr w:rsidTr="007B23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UETTDREL03B</w:t>
            </w:r>
          </w:p>
        </w:tc>
        <w:tc>
          <w:tcPr>
            <w:tcW w:w="4500" w:type="dxa"/>
            <w:gridSpan w:val="2"/>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Comply with environmental  and incidental response procedures</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UEENEEE001B</w:t>
            </w:r>
          </w:p>
        </w:tc>
        <w:tc>
          <w:tcPr>
            <w:tcW w:w="4500" w:type="dxa"/>
            <w:gridSpan w:val="2"/>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Apply OHS practi</w:t>
            </w:r>
            <w:r w:rsidRPr="00AB123D">
              <w:t>ces in the workplace</w:t>
            </w:r>
          </w:p>
        </w:tc>
      </w:tr>
    </w:tbl>
    <w:p w:rsidR="007B23A1" w:rsidP="00AB123D">
      <w:pPr>
        <w:pStyle w:val="BodyText"/>
      </w:pPr>
    </w:p>
    <w:p w:rsidR="007B23A1" w:rsidP="00AB123D">
      <w:pPr>
        <w:pStyle w:val="BodyText"/>
      </w:pPr>
    </w:p>
    <w:p w:rsidR="00000000" w:rsidRPr="00AB123D" w:rsidP="00AB123D">
      <w:pPr>
        <w:pStyle w:val="Heading1"/>
      </w:pPr>
      <w:bookmarkStart w:id="11" w:name="O_256140"/>
      <w:bookmarkEnd w:id="11"/>
      <w:r w:rsidRPr="00AB123D">
        <w:t>Range Statement</w:t>
      </w:r>
    </w:p>
    <w:tbl>
      <w:tblPr>
        <w:tblW w:w="0" w:type="auto"/>
        <w:tblLayout w:type="fixed"/>
        <w:tblCellMar>
          <w:left w:w="62" w:type="dxa"/>
          <w:right w:w="62" w:type="dxa"/>
        </w:tblCellMar>
        <w:tblLook w:val="0000"/>
      </w:tblPr>
      <w:tblGrid>
        <w:gridCol w:w="2160"/>
        <w:gridCol w:w="6300"/>
      </w:tblGrid>
      <w:tr w:rsidTr="007B23A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RANGE STATEMENT</w:t>
            </w:r>
          </w:p>
        </w:tc>
      </w:tr>
      <w:tr w:rsidTr="007B23A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8</w:t>
            </w:r>
            <w:r w:rsidRPr="00AB123D">
              <w:t xml:space="preserve">) This relates to the competency standard  unit as a whole providing the range of contexts and </w:t>
            </w:r>
            <w:r w:rsidRPr="00AB123D">
              <w:t>conditions to which the Performance Criteria apply. It allows for different work environments and situations that will affect performance.</w:t>
            </w:r>
          </w:p>
        </w:tc>
      </w:tr>
      <w:tr w:rsidTr="007B23A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This Competency Standard Unit shall/may be demonstrated in relation to the operation of plant and equipment near li</w:t>
            </w:r>
            <w:r w:rsidRPr="00AB123D">
              <w:t>ve electrical conductors and/or apparatus.</w:t>
            </w:r>
          </w:p>
          <w:p w:rsidR="00000000" w:rsidRPr="00AB123D" w:rsidP="00AB123D">
            <w:pPr>
              <w:pStyle w:val="BodyText"/>
            </w:pPr>
            <w:r w:rsidRPr="00AB123D">
              <w:t>Support plant may include elevating work platform, back hoes, earth drilling rigs, trench excavators, heavy vehicles, concrete cutters, compressors, portable generators, welders, crimper-cutters, pumps, chain-saws</w:t>
            </w:r>
            <w:r w:rsidRPr="00AB123D">
              <w:t>, jack-hammers, post hole diggers, sand-blasters, drills and self loading vehicle.</w:t>
            </w:r>
          </w:p>
          <w:p w:rsidR="00000000" w:rsidRPr="00AB123D" w:rsidP="00AB123D">
            <w:pPr>
              <w:pStyle w:val="BodyText"/>
            </w:pPr>
            <w:r w:rsidRPr="00AB123D">
              <w:t>Equipment may include hand operated ratchet and friction grip winches, chain pullers and block and tackle.</w:t>
            </w:r>
          </w:p>
          <w:p w:rsidR="00000000" w:rsidP="00AB123D">
            <w:pPr>
              <w:pStyle w:val="BodyText"/>
              <w:rPr>
                <w:lang w:val="en-NZ"/>
              </w:rPr>
            </w:pPr>
            <w:r w:rsidRPr="00AB123D">
              <w:t>The following constants and variables included in the element/Perf</w:t>
            </w:r>
            <w:r w:rsidRPr="00AB123D">
              <w:t>ormance Criteria in this unit are fully described in the Definitions Section 1 of this volume and form an integral part of the Range Statement of this unit:</w:t>
            </w:r>
          </w:p>
        </w:tc>
      </w:tr>
      <w:tr w:rsidTr="007B23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B123D" w:rsidP="00AB123D">
            <w:pPr>
              <w:pStyle w:val="ListBullet"/>
            </w:pPr>
            <w:r w:rsidRPr="00AB123D">
              <w:t>Appropriate and relevant persons (see Personnel)</w:t>
            </w:r>
          </w:p>
          <w:p w:rsidR="00000000" w:rsidRPr="00AB123D" w:rsidP="00AB123D">
            <w:pPr>
              <w:pStyle w:val="ListBullet"/>
            </w:pPr>
            <w:r w:rsidRPr="00AB123D">
              <w:t>Appropriate authorities</w:t>
            </w:r>
          </w:p>
          <w:p w:rsidR="00000000" w:rsidRPr="00AB123D" w:rsidP="00AB123D">
            <w:pPr>
              <w:pStyle w:val="ListBullet"/>
            </w:pPr>
            <w:r w:rsidRPr="00AB123D">
              <w:t>Appropriate work platform</w:t>
            </w:r>
          </w:p>
          <w:p w:rsidR="00000000" w:rsidRPr="00AB123D" w:rsidP="00AB123D">
            <w:pPr>
              <w:pStyle w:val="ListBullet"/>
            </w:pPr>
            <w:r w:rsidRPr="00AB123D">
              <w:t>Assessing risk</w:t>
            </w:r>
          </w:p>
          <w:p w:rsidR="00000000" w:rsidRPr="00AB123D" w:rsidP="00AB123D">
            <w:pPr>
              <w:pStyle w:val="ListBullet"/>
            </w:pPr>
            <w:r w:rsidRPr="00AB123D">
              <w:t>Assessment</w:t>
            </w:r>
          </w:p>
          <w:p w:rsidR="00000000" w:rsidRPr="00AB123D" w:rsidP="00AB123D">
            <w:pPr>
              <w:pStyle w:val="ListBullet"/>
            </w:pPr>
            <w:r w:rsidRPr="00AB123D">
              <w:t>Authorisation</w:t>
            </w:r>
          </w:p>
          <w:p w:rsidR="00000000" w:rsidRPr="00AB123D" w:rsidP="00AB123D">
            <w:pPr>
              <w:pStyle w:val="ListBullet"/>
            </w:pPr>
            <w:r w:rsidRPr="00AB123D">
              <w:t>Confined space</w:t>
            </w:r>
          </w:p>
          <w:p w:rsidR="00000000" w:rsidRPr="00AB123D" w:rsidP="00AB123D">
            <w:pPr>
              <w:pStyle w:val="ListBullet"/>
            </w:pPr>
            <w:r w:rsidRPr="00AB123D">
              <w:t>Documenting detail work events, record keeping and or storage of information</w:t>
            </w:r>
          </w:p>
          <w:p w:rsidR="00000000" w:rsidRPr="00AB123D" w:rsidP="00AB123D">
            <w:pPr>
              <w:pStyle w:val="ListBullet"/>
            </w:pPr>
            <w:r w:rsidRPr="00AB123D">
              <w:t>Drawings and specifications</w:t>
            </w:r>
          </w:p>
          <w:p w:rsidR="00000000" w:rsidRPr="00AB123D" w:rsidP="00AB123D">
            <w:pPr>
              <w:pStyle w:val="ListBullet"/>
            </w:pPr>
            <w:r w:rsidRPr="00AB123D">
              <w:t>Emergency</w:t>
            </w:r>
          </w:p>
          <w:p w:rsidR="00000000" w:rsidRPr="00AB123D" w:rsidP="00AB123D">
            <w:pPr>
              <w:pStyle w:val="ListBullet"/>
            </w:pPr>
            <w:r w:rsidRPr="00AB123D">
              <w:t>Environmental and sustainable energy procedures</w:t>
            </w:r>
          </w:p>
          <w:p w:rsidR="00000000" w:rsidRPr="00AB123D" w:rsidP="00AB123D">
            <w:pPr>
              <w:pStyle w:val="ListBullet"/>
            </w:pPr>
            <w:r w:rsidRPr="00AB123D">
              <w:t>Environmenta</w:t>
            </w:r>
            <w:r w:rsidRPr="00AB123D">
              <w:t>l legislation</w:t>
            </w:r>
          </w:p>
          <w:p w:rsidR="00000000" w:rsidRPr="00AB123D" w:rsidP="00AB123D">
            <w:pPr>
              <w:pStyle w:val="ListBullet"/>
            </w:pPr>
            <w:r w:rsidRPr="00AB123D">
              <w:t>Environmental management documentation</w:t>
            </w:r>
          </w:p>
          <w:p w:rsidR="00000000" w:rsidRPr="00AB123D" w:rsidP="00AB123D">
            <w:pPr>
              <w:pStyle w:val="ListBullet"/>
            </w:pPr>
            <w:r w:rsidRPr="00AB123D">
              <w:t>Established procedures</w:t>
            </w:r>
          </w:p>
          <w:p w:rsidR="00000000" w:rsidRPr="00AB123D" w:rsidP="00AB123D">
            <w:pPr>
              <w:pStyle w:val="ListBullet"/>
            </w:pPr>
            <w:r w:rsidRPr="00AB123D">
              <w:t>Fall prevention</w:t>
            </w:r>
          </w:p>
          <w:p w:rsidR="00000000" w:rsidRPr="00AB123D" w:rsidP="00AB123D">
            <w:pPr>
              <w:pStyle w:val="ListBullet"/>
            </w:pPr>
            <w:r w:rsidRPr="00AB123D">
              <w:t>Hazards</w:t>
            </w:r>
          </w:p>
          <w:p w:rsidR="00000000" w:rsidRPr="00AB123D" w:rsidP="00AB123D">
            <w:pPr>
              <w:pStyle w:val="ListBullet"/>
            </w:pPr>
            <w:r w:rsidRPr="00AB123D">
              <w:t>Identifying hazards</w:t>
            </w:r>
          </w:p>
          <w:p w:rsidR="00000000" w:rsidRPr="00AB123D" w:rsidP="00AB123D">
            <w:pPr>
              <w:pStyle w:val="ListBullet"/>
            </w:pPr>
            <w:r w:rsidRPr="00AB123D">
              <w:t>Inspect</w:t>
            </w:r>
          </w:p>
          <w:p w:rsidR="00000000" w:rsidRPr="00AB123D" w:rsidP="00AB123D">
            <w:pPr>
              <w:pStyle w:val="ListBullet"/>
            </w:pPr>
            <w:r w:rsidRPr="00AB123D">
              <w:t>Legislation</w:t>
            </w:r>
          </w:p>
          <w:p w:rsidR="00000000" w:rsidRPr="00AB123D" w:rsidP="00AB123D">
            <w:pPr>
              <w:pStyle w:val="ListBullet"/>
            </w:pPr>
            <w:r w:rsidRPr="00AB123D">
              <w:t>MSDS</w:t>
            </w:r>
          </w:p>
          <w:p w:rsidR="00000000" w:rsidRPr="00AB123D" w:rsidP="00AB123D">
            <w:pPr>
              <w:pStyle w:val="ListBullet"/>
            </w:pPr>
            <w:r w:rsidRPr="00AB123D">
              <w:t>Notification</w:t>
            </w:r>
          </w:p>
          <w:p w:rsidR="00000000" w:rsidRPr="00AB123D" w:rsidP="00AB123D">
            <w:pPr>
              <w:pStyle w:val="ListBullet"/>
            </w:pPr>
            <w:r w:rsidRPr="00AB123D">
              <w:t>OHS practices</w:t>
            </w:r>
          </w:p>
          <w:p w:rsidR="00000000" w:rsidRPr="00AB123D" w:rsidP="00AB123D">
            <w:pPr>
              <w:pStyle w:val="ListBullet"/>
            </w:pPr>
            <w:r w:rsidRPr="00AB123D">
              <w:t>OHS issues</w:t>
            </w:r>
          </w:p>
          <w:p w:rsidR="00000000" w:rsidRPr="00AB123D" w:rsidP="00AB123D">
            <w:pPr>
              <w:pStyle w:val="ListBullet"/>
            </w:pPr>
            <w:r w:rsidRPr="00AB123D">
              <w:t>Permits and/or permits to work</w:t>
            </w:r>
          </w:p>
          <w:p w:rsidR="00000000" w:rsidRPr="00AB123D" w:rsidP="00AB123D">
            <w:pPr>
              <w:pStyle w:val="ListBullet"/>
            </w:pPr>
            <w:r w:rsidRPr="00AB123D">
              <w:t>Personnel</w:t>
            </w:r>
          </w:p>
          <w:p w:rsidR="00000000" w:rsidRPr="00AB123D" w:rsidP="00AB123D">
            <w:pPr>
              <w:pStyle w:val="ListBullet"/>
            </w:pPr>
            <w:r w:rsidRPr="00AB123D">
              <w:t>Quality assurance systems</w:t>
            </w:r>
          </w:p>
          <w:p w:rsidR="00000000" w:rsidRPr="00AB123D" w:rsidP="00AB123D">
            <w:pPr>
              <w:pStyle w:val="ListBullet"/>
            </w:pPr>
            <w:r w:rsidRPr="00AB123D">
              <w:t>Requirements</w:t>
            </w:r>
          </w:p>
          <w:p w:rsidR="00000000" w:rsidRPr="00AB123D" w:rsidP="00AB123D">
            <w:pPr>
              <w:pStyle w:val="ListBullet"/>
            </w:pPr>
            <w:r w:rsidRPr="00AB123D">
              <w:t>Testing procedures</w:t>
            </w:r>
          </w:p>
          <w:p w:rsidR="00000000" w:rsidRPr="00AB123D" w:rsidP="00AB123D">
            <w:pPr>
              <w:pStyle w:val="ListBullet"/>
            </w:pPr>
            <w:r w:rsidRPr="00AB123D">
              <w:t>Work clearance systems</w:t>
            </w:r>
          </w:p>
        </w:tc>
      </w:tr>
    </w:tbl>
    <w:p w:rsidR="007B23A1" w:rsidP="00AB123D">
      <w:pPr>
        <w:pStyle w:val="BodyText"/>
      </w:pPr>
    </w:p>
    <w:p w:rsidR="007B23A1" w:rsidP="00AB123D">
      <w:pPr>
        <w:pStyle w:val="BodyText"/>
      </w:pPr>
    </w:p>
    <w:p w:rsidR="00000000" w:rsidRPr="00AB123D" w:rsidP="00AB123D">
      <w:pPr>
        <w:pStyle w:val="Heading1"/>
      </w:pPr>
      <w:bookmarkStart w:id="12" w:name="O_297153"/>
      <w:bookmarkEnd w:id="12"/>
      <w:r w:rsidRPr="00AB123D">
        <w:t>Unit Sector(s)</w:t>
      </w:r>
    </w:p>
    <w:p w:rsidR="00000000" w:rsidRPr="00AB123D" w:rsidP="00AB123D">
      <w:pPr>
        <w:pStyle w:val="BodyText"/>
      </w:pPr>
      <w:r w:rsidRPr="00AB123D">
        <w:t>Not Applicable</w:t>
      </w:r>
    </w:p>
    <w:p w:rsidR="00000000" w:rsidRPr="00AB123D" w:rsidP="00AB123D">
      <w:pPr>
        <w:pStyle w:val="AllowPageBreak"/>
      </w:pPr>
    </w:p>
    <w:p w:rsidR="00000000" w:rsidRPr="00AB123D" w:rsidP="00AB123D">
      <w:pPr>
        <w:pStyle w:val="Heading1"/>
      </w:pPr>
      <w:bookmarkStart w:id="13" w:name="O_231364"/>
      <w:bookmarkEnd w:id="13"/>
      <w:r w:rsidRPr="00AB123D">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B23A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2</w:t>
            </w:r>
            <w:r w:rsidRPr="00AB123D">
              <w:t>.</w:t>
            </w:r>
            <w:r w:rsidRPr="00AB123D">
              <w:rPr>
                <w:rStyle w:val="SpecialBold"/>
              </w:rPr>
              <w:t>2</w:t>
            </w:r>
            <w:r w:rsidRPr="00AB123D">
              <w:t xml:space="preserve">) </w:t>
            </w:r>
            <w:r w:rsidRPr="00AB123D">
              <w:rPr>
                <w:rStyle w:val="SpecialBold"/>
              </w:rPr>
              <w:t>Literacy and numeracy skills</w:t>
            </w:r>
          </w:p>
          <w:p w:rsidR="00000000" w:rsidP="00AB123D">
            <w:pPr>
              <w:pStyle w:val="BodyText"/>
              <w:rPr>
                <w:lang w:val="en-NZ"/>
              </w:rPr>
            </w:pPr>
            <w:r w:rsidRPr="00AB123D">
              <w:t>Participants are best equipped to achieve this unit if they have reading, writing and numeracy skills indicated by the following scales. Description of each scale is given in Volume 2, Part 3 "Literacy and Numeracy"</w:t>
            </w:r>
          </w:p>
        </w:tc>
      </w:tr>
      <w:tr w:rsidTr="007B23A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Reading</w:t>
            </w:r>
          </w:p>
        </w:tc>
        <w:tc>
          <w:tcPr>
            <w:tcW w:w="1182"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w:t>
            </w:r>
          </w:p>
        </w:tc>
        <w:tc>
          <w:tcPr>
            <w:tcW w:w="1739"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Writing</w:t>
            </w:r>
          </w:p>
        </w:tc>
        <w:tc>
          <w:tcPr>
            <w:tcW w:w="1182"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3</w:t>
            </w:r>
          </w:p>
        </w:tc>
        <w:tc>
          <w:tcPr>
            <w:tcW w:w="1721"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t>Numeracy</w:t>
            </w:r>
          </w:p>
        </w:tc>
        <w:tc>
          <w:tcPr>
            <w:tcW w:w="1182"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3</w:t>
            </w:r>
          </w:p>
        </w:tc>
      </w:tr>
    </w:tbl>
    <w:p w:rsidR="007B23A1" w:rsidP="00AB123D">
      <w:pPr>
        <w:pStyle w:val="BodyText"/>
      </w:pPr>
    </w:p>
    <w:p w:rsidR="007B23A1" w:rsidP="00AB123D">
      <w:pPr>
        <w:pStyle w:val="BodyText"/>
      </w:pPr>
    </w:p>
    <w:p w:rsidR="00000000" w:rsidRPr="00AB123D" w:rsidP="00AB123D">
      <w:pPr>
        <w:pStyle w:val="Heading1"/>
      </w:pPr>
      <w:bookmarkStart w:id="14" w:name="O_231367"/>
      <w:bookmarkEnd w:id="14"/>
      <w:r w:rsidRPr="00AB123D">
        <w:t>Competency Field</w:t>
      </w:r>
    </w:p>
    <w:tbl>
      <w:tblPr>
        <w:tblW w:w="0" w:type="auto"/>
        <w:tblLayout w:type="fixed"/>
        <w:tblCellMar>
          <w:left w:w="62" w:type="dxa"/>
          <w:right w:w="62" w:type="dxa"/>
        </w:tblCellMar>
        <w:tblLook w:val="0000"/>
      </w:tblPr>
      <w:tblGrid>
        <w:gridCol w:w="2700"/>
        <w:gridCol w:w="5760"/>
      </w:tblGrid>
      <w:tr w:rsidTr="007B23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123D">
            <w:pPr>
              <w:pStyle w:val="BodyText"/>
              <w:rPr>
                <w:lang w:val="en-NZ"/>
              </w:rPr>
            </w:pPr>
            <w:r w:rsidRPr="00AB123D">
              <w:rPr>
                <w:rStyle w:val="SpecialBold"/>
              </w:rPr>
              <w:t>5</w:t>
            </w:r>
            <w:r w:rsidRPr="00AB123D">
              <w:t>)</w:t>
            </w:r>
          </w:p>
        </w:tc>
      </w:tr>
      <w:tr w:rsidTr="007B23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23D" w:rsidP="00AB123D">
            <w:pPr>
              <w:pStyle w:val="BodyText"/>
            </w:pPr>
            <w:r w:rsidRPr="00AB123D">
              <w:t>Entry Level -Cross Discipline Units.</w:t>
            </w:r>
          </w:p>
        </w:tc>
      </w:tr>
    </w:tbl>
    <w:p w:rsidR="007B23A1" w:rsidP="00AB123D">
      <w:pPr>
        <w:pStyle w:val="BodyText"/>
      </w:pPr>
    </w:p>
    <w:p w:rsidR="007B23A1" w:rsidP="00AB123D">
      <w:pPr>
        <w:pStyle w:val="BodyText"/>
      </w:pPr>
    </w:p>
    <w:p w:rsidR="00000000" w:rsidRPr="00AB123D" w:rsidP="00AB123D"/>
    <w:sectPr w:rsidSect="00AB12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3A1" w:rsidP="007B23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A1" w:rsidP="00AB12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B23A1" w:rsidP="00AB12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23A1" w:rsidP="00AB12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3D" w:rsidRPr="007B23A1" w:rsidP="007B23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A1" w:rsidRPr="002D2AF8" w:rsidP="00AB123D">
    <w:pPr>
      <w:pStyle w:val="Header"/>
      <w:framePr w:wrap="around"/>
    </w:pPr>
    <w:r>
      <w:fldChar w:fldCharType="begin"/>
    </w:r>
    <w:r>
      <w:instrText xml:space="preserve"> TITLE   \* MERGEFORMAT </w:instrText>
    </w:r>
    <w:r>
      <w:fldChar w:fldCharType="separate"/>
    </w:r>
    <w:r>
      <w:t>UETTDREL02B Operate plant and equipment near live electrical conductors/apparatus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B23A1" w:rsidP="00AB12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367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0D1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E5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2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123D"/>
    <w:pPr>
      <w:spacing w:before="360" w:after="60"/>
      <w:outlineLvl w:val="0"/>
    </w:pPr>
    <w:rPr>
      <w:sz w:val="32"/>
    </w:rPr>
  </w:style>
  <w:style w:type="paragraph" w:styleId="Heading2">
    <w:name w:val="heading 2"/>
    <w:basedOn w:val="HeadingBase"/>
    <w:next w:val="BodyText"/>
    <w:link w:val="Heading2Char"/>
    <w:qFormat/>
    <w:rsid w:val="00AB123D"/>
    <w:pPr>
      <w:keepLines/>
      <w:spacing w:before="240" w:after="120"/>
      <w:outlineLvl w:val="1"/>
    </w:pPr>
    <w:rPr>
      <w:sz w:val="28"/>
      <w:szCs w:val="40"/>
    </w:rPr>
  </w:style>
  <w:style w:type="paragraph" w:styleId="Heading3">
    <w:name w:val="heading 3"/>
    <w:basedOn w:val="HeadingBase"/>
    <w:next w:val="BodyText"/>
    <w:link w:val="Heading3Char"/>
    <w:qFormat/>
    <w:rsid w:val="00AB123D"/>
    <w:pPr>
      <w:spacing w:before="180" w:after="120"/>
      <w:outlineLvl w:val="2"/>
    </w:pPr>
    <w:rPr>
      <w:spacing w:val="-10"/>
      <w:kern w:val="32"/>
    </w:rPr>
  </w:style>
  <w:style w:type="paragraph" w:styleId="Heading4">
    <w:name w:val="heading 4"/>
    <w:basedOn w:val="HeadingBase"/>
    <w:next w:val="BodyText"/>
    <w:link w:val="Heading4Char"/>
    <w:qFormat/>
    <w:rsid w:val="00AB123D"/>
    <w:pPr>
      <w:spacing w:before="160" w:after="120"/>
      <w:outlineLvl w:val="3"/>
    </w:pPr>
    <w:rPr>
      <w:sz w:val="22"/>
    </w:rPr>
  </w:style>
  <w:style w:type="paragraph" w:styleId="Heading5">
    <w:name w:val="heading 5"/>
    <w:basedOn w:val="HeadingBase"/>
    <w:next w:val="Normal"/>
    <w:link w:val="Heading5Char"/>
    <w:qFormat/>
    <w:rsid w:val="00AB123D"/>
    <w:pPr>
      <w:spacing w:before="80"/>
      <w:outlineLvl w:val="4"/>
    </w:pPr>
    <w:rPr>
      <w:color w:val="918585"/>
      <w:sz w:val="20"/>
    </w:rPr>
  </w:style>
  <w:style w:type="paragraph" w:styleId="Heading6">
    <w:name w:val="heading 6"/>
    <w:basedOn w:val="HeadingBase"/>
    <w:next w:val="Normal"/>
    <w:link w:val="Heading6Char"/>
    <w:qFormat/>
    <w:rsid w:val="00AB123D"/>
    <w:pPr>
      <w:spacing w:before="60"/>
      <w:outlineLvl w:val="5"/>
    </w:pPr>
    <w:rPr>
      <w:color w:val="918585"/>
      <w:sz w:val="20"/>
    </w:rPr>
  </w:style>
  <w:style w:type="paragraph" w:styleId="Heading7">
    <w:name w:val="heading 7"/>
    <w:basedOn w:val="Normal"/>
    <w:next w:val="Normal"/>
    <w:link w:val="Heading7Char"/>
    <w:qFormat/>
    <w:rsid w:val="00AB123D"/>
    <w:pPr>
      <w:ind w:left="720"/>
      <w:outlineLvl w:val="6"/>
    </w:pPr>
    <w:rPr>
      <w:i/>
    </w:rPr>
  </w:style>
  <w:style w:type="paragraph" w:styleId="Heading8">
    <w:name w:val="heading 8"/>
    <w:basedOn w:val="Normal"/>
    <w:next w:val="Normal"/>
    <w:link w:val="Heading8Char"/>
    <w:qFormat/>
    <w:rsid w:val="00AB123D"/>
    <w:pPr>
      <w:ind w:left="720"/>
      <w:outlineLvl w:val="7"/>
    </w:pPr>
    <w:rPr>
      <w:i/>
    </w:rPr>
  </w:style>
  <w:style w:type="paragraph" w:styleId="Heading9">
    <w:name w:val="heading 9"/>
    <w:basedOn w:val="Normal"/>
    <w:next w:val="Normal"/>
    <w:link w:val="Heading9Char"/>
    <w:qFormat/>
    <w:rsid w:val="00AB123D"/>
    <w:pPr>
      <w:ind w:left="720"/>
      <w:outlineLvl w:val="8"/>
    </w:pPr>
    <w:rPr>
      <w:i/>
    </w:rPr>
  </w:style>
  <w:style w:type="character" w:default="1" w:styleId="DefaultParagraphFont">
    <w:name w:val="Default Paragraph Font"/>
    <w:uiPriority w:val="1"/>
    <w:unhideWhenUsed/>
    <w:rsid w:val="00AB12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23D"/>
  </w:style>
  <w:style w:type="character" w:customStyle="1" w:styleId="Heading1Char">
    <w:name w:val="Heading 1 Char"/>
    <w:basedOn w:val="DefaultParagraphFont"/>
    <w:link w:val="Heading1"/>
    <w:rsid w:val="00AB123D"/>
    <w:rPr>
      <w:rFonts w:ascii="Times New Roman" w:eastAsia="Times New Roman" w:hAnsi="Times New Roman" w:cs="Times New Roman"/>
      <w:b/>
      <w:sz w:val="32"/>
      <w:szCs w:val="20"/>
      <w:lang w:eastAsia="en-US"/>
    </w:rPr>
  </w:style>
  <w:style w:type="paragraph" w:styleId="BodyText">
    <w:name w:val="Body Text"/>
    <w:basedOn w:val="Normal"/>
    <w:link w:val="BodyTextChar"/>
    <w:rsid w:val="00AB12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23D"/>
    <w:rPr>
      <w:rFonts w:ascii="Times New Roman" w:eastAsia="Times New Roman" w:hAnsi="Times New Roman" w:cs="Times New Roman"/>
      <w:sz w:val="24"/>
      <w:lang w:eastAsia="en-US"/>
    </w:rPr>
  </w:style>
  <w:style w:type="paragraph" w:styleId="Footer">
    <w:name w:val="footer"/>
    <w:basedOn w:val="Normal"/>
    <w:link w:val="FooterChar"/>
    <w:rsid w:val="00AB12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23D"/>
    <w:rPr>
      <w:rFonts w:ascii="Times New Roman" w:eastAsia="Times New Roman" w:hAnsi="Times New Roman" w:cs="Times New Roman"/>
      <w:sz w:val="16"/>
      <w:lang w:eastAsia="en-US"/>
    </w:rPr>
  </w:style>
  <w:style w:type="paragraph" w:styleId="ListBullet">
    <w:name w:val="List Bullet"/>
    <w:basedOn w:val="List"/>
    <w:rsid w:val="00AB123D"/>
    <w:pPr>
      <w:numPr>
        <w:numId w:val="13"/>
      </w:numPr>
      <w:tabs>
        <w:tab w:val="clear" w:pos="340"/>
      </w:tabs>
      <w:spacing w:before="40" w:after="40"/>
    </w:pPr>
  </w:style>
  <w:style w:type="character" w:customStyle="1" w:styleId="SpecialBold">
    <w:name w:val="Special Bold"/>
    <w:basedOn w:val="DefaultParagraphFont"/>
    <w:rsid w:val="00AB123D"/>
    <w:rPr>
      <w:b/>
      <w:spacing w:val="0"/>
    </w:rPr>
  </w:style>
  <w:style w:type="paragraph" w:styleId="ListBullet2">
    <w:name w:val="List Bullet 2"/>
    <w:basedOn w:val="List2"/>
    <w:rsid w:val="00AB123D"/>
    <w:pPr>
      <w:numPr>
        <w:numId w:val="14"/>
      </w:numPr>
      <w:tabs>
        <w:tab w:val="clear" w:pos="680"/>
      </w:tabs>
    </w:pPr>
  </w:style>
  <w:style w:type="paragraph" w:customStyle="1" w:styleId="SuperHeading">
    <w:name w:val="SuperHeading"/>
    <w:basedOn w:val="Normal"/>
    <w:rsid w:val="00AB123D"/>
    <w:pPr>
      <w:spacing w:before="240" w:after="120"/>
      <w:outlineLvl w:val="0"/>
    </w:pPr>
    <w:rPr>
      <w:rFonts w:ascii="Times New Roman" w:hAnsi="Times New Roman"/>
      <w:b/>
      <w:sz w:val="28"/>
    </w:rPr>
  </w:style>
  <w:style w:type="paragraph" w:customStyle="1" w:styleId="AllowPageBreak">
    <w:name w:val="AllowPageBreak"/>
    <w:rsid w:val="00AB12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12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2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2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2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2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2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12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123D"/>
    <w:rPr>
      <w:rFonts w:ascii="Courier New" w:eastAsia="Times New Roman" w:hAnsi="Courier New" w:cs="Times New Roman"/>
      <w:i/>
      <w:szCs w:val="20"/>
      <w:lang w:eastAsia="en-US"/>
    </w:rPr>
  </w:style>
  <w:style w:type="paragraph" w:customStyle="1" w:styleId="HeadingBase">
    <w:name w:val="Heading Base"/>
    <w:rsid w:val="00AB12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23D"/>
    <w:pPr>
      <w:tabs>
        <w:tab w:val="right" w:leader="dot" w:pos="9072"/>
      </w:tabs>
      <w:ind w:left="567"/>
    </w:pPr>
    <w:rPr>
      <w:szCs w:val="22"/>
    </w:rPr>
  </w:style>
  <w:style w:type="paragraph" w:customStyle="1" w:styleId="TOCBase">
    <w:name w:val="TOC Base"/>
    <w:rsid w:val="00AB12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23D"/>
    <w:pPr>
      <w:tabs>
        <w:tab w:val="right" w:leader="dot" w:pos="9072"/>
      </w:tabs>
      <w:spacing w:before="40" w:after="40"/>
      <w:ind w:left="284"/>
    </w:pPr>
    <w:rPr>
      <w:rFonts w:ascii="Times New Roman" w:hAnsi="Times New Roman"/>
    </w:rPr>
  </w:style>
  <w:style w:type="paragraph" w:styleId="TOC1">
    <w:name w:val="toc 1"/>
    <w:basedOn w:val="TOCBase"/>
    <w:next w:val="Normal"/>
    <w:rsid w:val="00AB12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23D"/>
    <w:pPr>
      <w:spacing w:before="5040"/>
      <w:jc w:val="center"/>
    </w:pPr>
    <w:rPr>
      <w:sz w:val="48"/>
      <w:szCs w:val="72"/>
      <w:lang w:val="en-US"/>
    </w:rPr>
  </w:style>
  <w:style w:type="character" w:customStyle="1" w:styleId="TitleChar">
    <w:name w:val="Title Char"/>
    <w:basedOn w:val="DefaultParagraphFont"/>
    <w:link w:val="Title"/>
    <w:rsid w:val="00AB12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23D"/>
    <w:pPr>
      <w:tabs>
        <w:tab w:val="left" w:pos="3600"/>
        <w:tab w:val="left" w:pos="3958"/>
      </w:tabs>
    </w:pPr>
  </w:style>
  <w:style w:type="paragraph" w:styleId="List">
    <w:name w:val="List"/>
    <w:basedOn w:val="BodyText"/>
    <w:next w:val="BodyText"/>
    <w:rsid w:val="00AB123D"/>
    <w:pPr>
      <w:tabs>
        <w:tab w:val="left" w:pos="340"/>
      </w:tabs>
      <w:spacing w:before="60" w:after="60"/>
      <w:ind w:left="340" w:hanging="340"/>
    </w:pPr>
  </w:style>
  <w:style w:type="paragraph" w:customStyle="1" w:styleId="Note">
    <w:name w:val="Note"/>
    <w:basedOn w:val="BodyText"/>
    <w:rsid w:val="00AB12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23D"/>
    <w:pPr>
      <w:framePr w:wrap="auto" w:hAnchor="text" w:y="6049"/>
    </w:pPr>
    <w:rPr>
      <w:color w:val="000000"/>
      <w:sz w:val="40"/>
    </w:rPr>
  </w:style>
  <w:style w:type="paragraph" w:customStyle="1" w:styleId="TOCTitle">
    <w:name w:val="TOCTitle"/>
    <w:basedOn w:val="Heading1"/>
    <w:rsid w:val="00AB123D"/>
    <w:pPr>
      <w:spacing w:after="240"/>
      <w:jc w:val="center"/>
      <w:outlineLvl w:val="9"/>
    </w:pPr>
    <w:rPr>
      <w:caps/>
    </w:rPr>
  </w:style>
  <w:style w:type="paragraph" w:customStyle="1" w:styleId="Version">
    <w:name w:val="Version"/>
    <w:rsid w:val="00AB12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23D"/>
    <w:pPr>
      <w:keepNext w:val="0"/>
      <w:tabs>
        <w:tab w:val="right" w:pos="4176"/>
      </w:tabs>
      <w:ind w:left="198" w:hanging="198"/>
    </w:pPr>
    <w:rPr>
      <w:rFonts w:ascii="Garamond" w:hAnsi="Garamond"/>
    </w:rPr>
  </w:style>
  <w:style w:type="paragraph" w:styleId="IndexHeading">
    <w:name w:val="index heading"/>
    <w:basedOn w:val="Normal"/>
    <w:next w:val="Index1"/>
    <w:semiHidden/>
    <w:rsid w:val="00AB123D"/>
    <w:pPr>
      <w:spacing w:before="120" w:after="120"/>
    </w:pPr>
    <w:rPr>
      <w:rFonts w:ascii="Arial" w:hAnsi="Arial"/>
      <w:b/>
      <w:color w:val="918585"/>
      <w:sz w:val="24"/>
    </w:rPr>
  </w:style>
  <w:style w:type="paragraph" w:styleId="Header">
    <w:name w:val="header"/>
    <w:basedOn w:val="Normal"/>
    <w:link w:val="HeaderChar"/>
    <w:rsid w:val="00AB12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23D"/>
    <w:rPr>
      <w:rFonts w:ascii="Times New Roman" w:eastAsia="Times New Roman" w:hAnsi="Times New Roman" w:cs="Times New Roman"/>
      <w:sz w:val="16"/>
      <w:szCs w:val="20"/>
      <w:lang w:val="en-GB" w:eastAsia="en-US"/>
    </w:rPr>
  </w:style>
  <w:style w:type="paragraph" w:customStyle="1" w:styleId="Chapter">
    <w:name w:val="Chapter"/>
    <w:basedOn w:val="Normal"/>
    <w:rsid w:val="00AB123D"/>
    <w:pPr>
      <w:spacing w:before="240"/>
    </w:pPr>
    <w:rPr>
      <w:rFonts w:ascii="Times New Roman" w:hAnsi="Times New Roman"/>
      <w:smallCaps/>
      <w:spacing w:val="80"/>
      <w:sz w:val="28"/>
    </w:rPr>
  </w:style>
  <w:style w:type="paragraph" w:customStyle="1" w:styleId="InChapter">
    <w:name w:val="InChapter"/>
    <w:basedOn w:val="Heading3"/>
    <w:rsid w:val="00AB123D"/>
    <w:pPr>
      <w:spacing w:after="240"/>
      <w:outlineLvl w:val="9"/>
    </w:pPr>
    <w:rPr>
      <w:noProof/>
    </w:rPr>
  </w:style>
  <w:style w:type="paragraph" w:styleId="Index2">
    <w:name w:val="index 2"/>
    <w:basedOn w:val="Normal"/>
    <w:next w:val="Normal"/>
    <w:semiHidden/>
    <w:rsid w:val="00AB123D"/>
    <w:pPr>
      <w:tabs>
        <w:tab w:val="right" w:pos="4176"/>
      </w:tabs>
      <w:ind w:left="568" w:hanging="284"/>
    </w:pPr>
    <w:rPr>
      <w:rFonts w:ascii="Garamond" w:hAnsi="Garamond"/>
    </w:rPr>
  </w:style>
  <w:style w:type="paragraph" w:customStyle="1" w:styleId="Byline">
    <w:name w:val="Byline"/>
    <w:rsid w:val="00AB12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23D"/>
    <w:pPr>
      <w:tabs>
        <w:tab w:val="clear" w:pos="3600"/>
        <w:tab w:val="clear" w:pos="3958"/>
      </w:tabs>
      <w:jc w:val="right"/>
    </w:pPr>
  </w:style>
  <w:style w:type="character" w:styleId="Emphasis">
    <w:name w:val="Emphasis"/>
    <w:basedOn w:val="DefaultParagraphFont"/>
    <w:qFormat/>
    <w:rsid w:val="00AB123D"/>
    <w:rPr>
      <w:i/>
    </w:rPr>
  </w:style>
  <w:style w:type="paragraph" w:styleId="Caption">
    <w:name w:val="caption"/>
    <w:basedOn w:val="BodyText"/>
    <w:next w:val="Normal"/>
    <w:qFormat/>
    <w:rsid w:val="00AB123D"/>
    <w:pPr>
      <w:framePr w:w="2268" w:hSpace="181" w:vSpace="181" w:wrap="around" w:vAnchor="text" w:hAnchor="page" w:x="1135" w:y="285" w:anchorLock="1"/>
    </w:pPr>
    <w:rPr>
      <w:i/>
    </w:rPr>
  </w:style>
  <w:style w:type="paragraph" w:customStyle="1" w:styleId="MiniTOCTitle">
    <w:name w:val="MiniTOCTitle"/>
    <w:basedOn w:val="Heading4"/>
    <w:rsid w:val="00AB123D"/>
    <w:pPr>
      <w:spacing w:before="240"/>
      <w:outlineLvl w:val="9"/>
    </w:pPr>
    <w:rPr>
      <w:noProof/>
      <w:sz w:val="24"/>
    </w:rPr>
  </w:style>
  <w:style w:type="paragraph" w:customStyle="1" w:styleId="MiniTOCItem">
    <w:name w:val="MiniTOCItem"/>
    <w:basedOn w:val="ListBullet"/>
    <w:rsid w:val="00AB123D"/>
    <w:pPr>
      <w:numPr>
        <w:numId w:val="0"/>
      </w:numPr>
      <w:tabs>
        <w:tab w:val="right" w:leader="dot" w:pos="6521"/>
      </w:tabs>
      <w:spacing w:before="0" w:after="0"/>
    </w:pPr>
  </w:style>
  <w:style w:type="paragraph" w:customStyle="1" w:styleId="TOFTitle">
    <w:name w:val="TOFTitle"/>
    <w:basedOn w:val="TOCTitle"/>
    <w:rsid w:val="00AB123D"/>
  </w:style>
  <w:style w:type="paragraph" w:styleId="TableofFigures">
    <w:name w:val="table of figures"/>
    <w:basedOn w:val="Normal"/>
    <w:next w:val="Normal"/>
    <w:semiHidden/>
    <w:rsid w:val="00AB123D"/>
    <w:pPr>
      <w:tabs>
        <w:tab w:val="right" w:leader="dot" w:pos="9072"/>
      </w:tabs>
      <w:ind w:left="970" w:hanging="403"/>
    </w:pPr>
    <w:rPr>
      <w:rFonts w:ascii="Times New Roman" w:hAnsi="Times New Roman"/>
      <w:b/>
    </w:rPr>
  </w:style>
  <w:style w:type="paragraph" w:styleId="ListNumber">
    <w:name w:val="List Number"/>
    <w:basedOn w:val="List"/>
    <w:rsid w:val="00AB123D"/>
    <w:pPr>
      <w:numPr>
        <w:numId w:val="11"/>
      </w:numPr>
    </w:pPr>
  </w:style>
  <w:style w:type="character" w:customStyle="1" w:styleId="WingdingSymbols">
    <w:name w:val="Wingding Symbols"/>
    <w:rsid w:val="00AB123D"/>
    <w:rPr>
      <w:rFonts w:ascii="Wingdings" w:hAnsi="Wingdings"/>
    </w:rPr>
  </w:style>
  <w:style w:type="paragraph" w:customStyle="1" w:styleId="TableHeading">
    <w:name w:val="Table Heading"/>
    <w:basedOn w:val="HeadingBase"/>
    <w:rsid w:val="00AB123D"/>
    <w:pPr>
      <w:keepLines/>
      <w:pBdr>
        <w:bottom w:val="single" w:sz="6" w:space="1" w:color="918585"/>
      </w:pBdr>
      <w:spacing w:before="240"/>
    </w:pPr>
  </w:style>
  <w:style w:type="character" w:customStyle="1" w:styleId="HotSpot">
    <w:name w:val="HotSpot"/>
    <w:rsid w:val="00AB123D"/>
    <w:rPr>
      <w:color w:val="0033CC"/>
      <w:u w:val="none"/>
    </w:rPr>
  </w:style>
  <w:style w:type="paragraph" w:customStyle="1" w:styleId="BodyTextRight">
    <w:name w:val="Body Text Right"/>
    <w:basedOn w:val="BodyText"/>
    <w:rsid w:val="00AB123D"/>
    <w:pPr>
      <w:spacing w:before="0" w:after="0"/>
      <w:jc w:val="right"/>
    </w:pPr>
  </w:style>
  <w:style w:type="paragraph" w:styleId="Index3">
    <w:name w:val="index 3"/>
    <w:basedOn w:val="ListNumber2"/>
    <w:next w:val="Normal"/>
    <w:semiHidden/>
    <w:rsid w:val="00AB123D"/>
    <w:pPr>
      <w:numPr>
        <w:numId w:val="0"/>
      </w:numPr>
      <w:tabs>
        <w:tab w:val="right" w:leader="dot" w:pos="4176"/>
      </w:tabs>
    </w:pPr>
  </w:style>
  <w:style w:type="paragraph" w:styleId="ListNumber2">
    <w:name w:val="List Number 2"/>
    <w:basedOn w:val="List2"/>
    <w:rsid w:val="00AB123D"/>
    <w:pPr>
      <w:numPr>
        <w:numId w:val="10"/>
      </w:numPr>
      <w:tabs>
        <w:tab w:val="clear" w:pos="1060"/>
      </w:tabs>
    </w:pPr>
  </w:style>
  <w:style w:type="paragraph" w:customStyle="1" w:styleId="MarginNote">
    <w:name w:val="Margin Note"/>
    <w:basedOn w:val="BodyText"/>
    <w:rsid w:val="00AB12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2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2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123D"/>
    <w:rPr>
      <w:sz w:val="32"/>
    </w:rPr>
  </w:style>
  <w:style w:type="paragraph" w:customStyle="1" w:styleId="HeadingProcedure">
    <w:name w:val="Heading Procedure"/>
    <w:basedOn w:val="HeadingBase"/>
    <w:next w:val="Normal"/>
    <w:rsid w:val="00AB123D"/>
    <w:pPr>
      <w:tabs>
        <w:tab w:val="left" w:pos="0"/>
      </w:tabs>
      <w:spacing w:before="120" w:after="60"/>
    </w:pPr>
    <w:rPr>
      <w:i/>
      <w:color w:val="918585"/>
      <w:sz w:val="22"/>
    </w:rPr>
  </w:style>
  <w:style w:type="paragraph" w:customStyle="1" w:styleId="TableBodyText">
    <w:name w:val="Table Body Text"/>
    <w:basedOn w:val="BodyText"/>
    <w:rsid w:val="00AB123D"/>
    <w:pPr>
      <w:spacing w:before="60" w:after="60"/>
    </w:pPr>
  </w:style>
  <w:style w:type="paragraph" w:styleId="ListContinue">
    <w:name w:val="List Continue"/>
    <w:basedOn w:val="List"/>
    <w:rsid w:val="00AB123D"/>
    <w:pPr>
      <w:ind w:firstLine="0"/>
    </w:pPr>
  </w:style>
  <w:style w:type="paragraph" w:customStyle="1" w:styleId="ListNote">
    <w:name w:val="List Note"/>
    <w:basedOn w:val="List"/>
    <w:rsid w:val="00AB123D"/>
    <w:pPr>
      <w:pBdr>
        <w:top w:val="single" w:sz="6" w:space="2" w:color="918585"/>
        <w:bottom w:val="single" w:sz="6" w:space="2" w:color="918585"/>
      </w:pBdr>
      <w:tabs>
        <w:tab w:val="left" w:pos="1021"/>
      </w:tabs>
      <w:ind w:firstLine="0"/>
    </w:pPr>
  </w:style>
  <w:style w:type="paragraph" w:customStyle="1" w:styleId="Warning">
    <w:name w:val="Warning"/>
    <w:basedOn w:val="BodyText"/>
    <w:rsid w:val="00AB123D"/>
    <w:pPr>
      <w:shd w:val="clear" w:color="auto" w:fill="D9D9D9"/>
      <w:tabs>
        <w:tab w:val="left" w:pos="992"/>
      </w:tabs>
      <w:ind w:left="119" w:right="119"/>
    </w:pPr>
    <w:rPr>
      <w:sz w:val="20"/>
    </w:rPr>
  </w:style>
  <w:style w:type="paragraph" w:customStyle="1" w:styleId="MarginIcons">
    <w:name w:val="Margin Icons"/>
    <w:basedOn w:val="BodyText"/>
    <w:rsid w:val="00AB12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23D"/>
    <w:rPr>
      <w:rFonts w:ascii="Courier New" w:hAnsi="Courier New"/>
    </w:rPr>
  </w:style>
  <w:style w:type="paragraph" w:customStyle="1" w:styleId="NoteBullet">
    <w:name w:val="Note Bullet"/>
    <w:basedOn w:val="Note"/>
    <w:rsid w:val="00AB123D"/>
    <w:pPr>
      <w:tabs>
        <w:tab w:val="clear" w:pos="680"/>
      </w:tabs>
      <w:spacing w:before="60" w:after="60"/>
    </w:pPr>
  </w:style>
  <w:style w:type="paragraph" w:customStyle="1" w:styleId="SubHeading2">
    <w:name w:val="SubHeading2"/>
    <w:basedOn w:val="HeadingBase"/>
    <w:rsid w:val="00AB123D"/>
    <w:pPr>
      <w:spacing w:before="240" w:after="60"/>
    </w:pPr>
    <w:rPr>
      <w:sz w:val="20"/>
    </w:rPr>
  </w:style>
  <w:style w:type="paragraph" w:customStyle="1" w:styleId="SubHeading1">
    <w:name w:val="SubHeading1"/>
    <w:basedOn w:val="HeadingBase"/>
    <w:rsid w:val="00AB123D"/>
    <w:pPr>
      <w:spacing w:before="240" w:after="60"/>
    </w:pPr>
    <w:rPr>
      <w:color w:val="918585"/>
      <w:sz w:val="22"/>
    </w:rPr>
  </w:style>
  <w:style w:type="paragraph" w:customStyle="1" w:styleId="SideHeading">
    <w:name w:val="Side Heading"/>
    <w:basedOn w:val="HeadingBase"/>
    <w:rsid w:val="00AB12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23D"/>
    <w:pPr>
      <w:numPr>
        <w:numId w:val="12"/>
      </w:numPr>
    </w:pPr>
  </w:style>
  <w:style w:type="paragraph" w:styleId="PlainText">
    <w:name w:val="Plain Text"/>
    <w:basedOn w:val="Normal"/>
    <w:link w:val="PlainTextChar"/>
    <w:rsid w:val="00AB123D"/>
    <w:rPr>
      <w:sz w:val="20"/>
    </w:rPr>
  </w:style>
  <w:style w:type="character" w:customStyle="1" w:styleId="PlainTextChar">
    <w:name w:val="Plain Text Char"/>
    <w:basedOn w:val="DefaultParagraphFont"/>
    <w:link w:val="PlainText"/>
    <w:rsid w:val="00AB123D"/>
    <w:rPr>
      <w:rFonts w:ascii="Courier New" w:eastAsia="Times New Roman" w:hAnsi="Courier New" w:cs="Times New Roman"/>
      <w:sz w:val="20"/>
      <w:szCs w:val="20"/>
      <w:lang w:eastAsia="en-US"/>
    </w:rPr>
  </w:style>
  <w:style w:type="character" w:customStyle="1" w:styleId="MenuOption">
    <w:name w:val="Menu Option"/>
    <w:basedOn w:val="DefaultParagraphFont"/>
    <w:rsid w:val="00AB123D"/>
    <w:rPr>
      <w:b/>
      <w:smallCaps/>
    </w:rPr>
  </w:style>
  <w:style w:type="paragraph" w:customStyle="1" w:styleId="TableListNumber">
    <w:name w:val="Table List Number"/>
    <w:basedOn w:val="ListNumber"/>
    <w:rsid w:val="00AB123D"/>
    <w:pPr>
      <w:numPr>
        <w:numId w:val="0"/>
      </w:numPr>
    </w:pPr>
  </w:style>
  <w:style w:type="paragraph" w:styleId="TOC4">
    <w:name w:val="toc 4"/>
    <w:basedOn w:val="TOCBase"/>
    <w:next w:val="Normal"/>
    <w:semiHidden/>
    <w:rsid w:val="00AB123D"/>
    <w:pPr>
      <w:tabs>
        <w:tab w:val="right" w:leader="dot" w:pos="9071"/>
      </w:tabs>
      <w:ind w:left="1701"/>
    </w:pPr>
  </w:style>
  <w:style w:type="paragraph" w:customStyle="1" w:styleId="ListAlpha">
    <w:name w:val="List Alpha"/>
    <w:basedOn w:val="List"/>
    <w:rsid w:val="00AB123D"/>
    <w:pPr>
      <w:numPr>
        <w:numId w:val="9"/>
      </w:numPr>
    </w:pPr>
  </w:style>
  <w:style w:type="paragraph" w:customStyle="1" w:styleId="ListAlpha2">
    <w:name w:val="List Alpha 2"/>
    <w:basedOn w:val="List2"/>
    <w:rsid w:val="00AB123D"/>
    <w:pPr>
      <w:numPr>
        <w:numId w:val="8"/>
      </w:numPr>
    </w:pPr>
  </w:style>
  <w:style w:type="paragraph" w:styleId="List2">
    <w:name w:val="List 2"/>
    <w:basedOn w:val="BodyText"/>
    <w:rsid w:val="00AB123D"/>
    <w:pPr>
      <w:tabs>
        <w:tab w:val="left" w:pos="680"/>
      </w:tabs>
      <w:spacing w:before="60" w:after="60"/>
      <w:ind w:left="680" w:hanging="340"/>
    </w:pPr>
  </w:style>
  <w:style w:type="paragraph" w:styleId="List3">
    <w:name w:val="List 3"/>
    <w:basedOn w:val="BodyText"/>
    <w:rsid w:val="00AB123D"/>
    <w:pPr>
      <w:tabs>
        <w:tab w:val="left" w:pos="1021"/>
      </w:tabs>
      <w:spacing w:before="60" w:after="60"/>
      <w:ind w:left="1020" w:hanging="340"/>
    </w:pPr>
  </w:style>
  <w:style w:type="paragraph" w:styleId="List4">
    <w:name w:val="List 4"/>
    <w:basedOn w:val="BodyText"/>
    <w:rsid w:val="00AB123D"/>
    <w:pPr>
      <w:tabs>
        <w:tab w:val="left" w:pos="1361"/>
      </w:tabs>
      <w:spacing w:before="60" w:after="60"/>
      <w:ind w:left="1361" w:hanging="340"/>
    </w:pPr>
  </w:style>
  <w:style w:type="paragraph" w:styleId="List5">
    <w:name w:val="List 5"/>
    <w:basedOn w:val="BodyText"/>
    <w:rsid w:val="00AB123D"/>
    <w:pPr>
      <w:tabs>
        <w:tab w:val="left" w:pos="1701"/>
      </w:tabs>
      <w:spacing w:before="60" w:after="60"/>
      <w:ind w:left="1701" w:hanging="340"/>
    </w:pPr>
  </w:style>
  <w:style w:type="paragraph" w:styleId="ListBullet3">
    <w:name w:val="List Bullet 3"/>
    <w:basedOn w:val="List3"/>
    <w:rsid w:val="00AB123D"/>
    <w:pPr>
      <w:numPr>
        <w:numId w:val="15"/>
      </w:numPr>
      <w:tabs>
        <w:tab w:val="clear" w:pos="1021"/>
      </w:tabs>
      <w:ind w:left="1037" w:hanging="357"/>
    </w:pPr>
  </w:style>
  <w:style w:type="paragraph" w:styleId="ListBullet4">
    <w:name w:val="List Bullet 4"/>
    <w:basedOn w:val="List4"/>
    <w:rsid w:val="00AB123D"/>
    <w:pPr>
      <w:numPr>
        <w:numId w:val="3"/>
      </w:numPr>
    </w:pPr>
  </w:style>
  <w:style w:type="paragraph" w:styleId="ListBullet5">
    <w:name w:val="List Bullet 5"/>
    <w:basedOn w:val="List5"/>
    <w:rsid w:val="00AB123D"/>
    <w:pPr>
      <w:numPr>
        <w:numId w:val="4"/>
      </w:numPr>
    </w:pPr>
  </w:style>
  <w:style w:type="paragraph" w:styleId="ListContinue2">
    <w:name w:val="List Continue 2"/>
    <w:basedOn w:val="List2"/>
    <w:rsid w:val="00AB123D"/>
    <w:pPr>
      <w:ind w:firstLine="0"/>
    </w:pPr>
  </w:style>
  <w:style w:type="paragraph" w:styleId="ListContinue3">
    <w:name w:val="List Continue 3"/>
    <w:basedOn w:val="List3"/>
    <w:rsid w:val="00AB123D"/>
    <w:pPr>
      <w:ind w:left="1021" w:firstLine="0"/>
    </w:pPr>
  </w:style>
  <w:style w:type="paragraph" w:styleId="ListContinue4">
    <w:name w:val="List Continue 4"/>
    <w:basedOn w:val="List4"/>
    <w:rsid w:val="00AB123D"/>
    <w:pPr>
      <w:ind w:firstLine="0"/>
    </w:pPr>
  </w:style>
  <w:style w:type="paragraph" w:styleId="ListContinue5">
    <w:name w:val="List Continue 5"/>
    <w:basedOn w:val="List5"/>
    <w:rsid w:val="00AB123D"/>
    <w:pPr>
      <w:ind w:firstLine="0"/>
    </w:pPr>
  </w:style>
  <w:style w:type="paragraph" w:styleId="ListNumber3">
    <w:name w:val="List Number 3"/>
    <w:basedOn w:val="List3"/>
    <w:rsid w:val="00AB123D"/>
    <w:pPr>
      <w:numPr>
        <w:numId w:val="5"/>
      </w:numPr>
    </w:pPr>
  </w:style>
  <w:style w:type="paragraph" w:styleId="ListNumber4">
    <w:name w:val="List Number 4"/>
    <w:basedOn w:val="List4"/>
    <w:rsid w:val="00AB123D"/>
    <w:pPr>
      <w:numPr>
        <w:numId w:val="6"/>
      </w:numPr>
    </w:pPr>
  </w:style>
  <w:style w:type="paragraph" w:styleId="ListNumber5">
    <w:name w:val="List Number 5"/>
    <w:basedOn w:val="List5"/>
    <w:rsid w:val="00AB123D"/>
    <w:pPr>
      <w:numPr>
        <w:numId w:val="7"/>
      </w:numPr>
    </w:pPr>
  </w:style>
  <w:style w:type="paragraph" w:styleId="BlockText">
    <w:name w:val="Block Text"/>
    <w:basedOn w:val="Normal"/>
    <w:rsid w:val="00AB123D"/>
    <w:pPr>
      <w:spacing w:after="120"/>
      <w:ind w:left="1440" w:right="1440"/>
    </w:pPr>
  </w:style>
  <w:style w:type="character" w:customStyle="1" w:styleId="Subscript">
    <w:name w:val="Subscript"/>
    <w:basedOn w:val="DefaultParagraphFont"/>
    <w:rsid w:val="00AB123D"/>
    <w:rPr>
      <w:sz w:val="16"/>
      <w:vertAlign w:val="subscript"/>
    </w:rPr>
  </w:style>
  <w:style w:type="character" w:customStyle="1" w:styleId="Superscript">
    <w:name w:val="Superscript"/>
    <w:basedOn w:val="DefaultParagraphFont"/>
    <w:rsid w:val="00AB123D"/>
    <w:rPr>
      <w:sz w:val="16"/>
      <w:vertAlign w:val="superscript"/>
    </w:rPr>
  </w:style>
  <w:style w:type="character" w:customStyle="1" w:styleId="Symbols">
    <w:name w:val="Symbols"/>
    <w:basedOn w:val="DefaultParagraphFont"/>
    <w:rsid w:val="00AB123D"/>
    <w:rPr>
      <w:rFonts w:ascii="Symbol" w:hAnsi="Symbol"/>
    </w:rPr>
  </w:style>
  <w:style w:type="character" w:customStyle="1" w:styleId="MenuOptions">
    <w:name w:val="Menu Options"/>
    <w:basedOn w:val="DefaultParagraphFont"/>
    <w:rsid w:val="00AB123D"/>
    <w:rPr>
      <w:rFonts w:ascii="Arial Narrow" w:hAnsi="Arial Narrow"/>
      <w:smallCaps/>
    </w:rPr>
  </w:style>
  <w:style w:type="character" w:customStyle="1" w:styleId="Buttons">
    <w:name w:val="Buttons"/>
    <w:basedOn w:val="DefaultParagraphFont"/>
    <w:rsid w:val="00AB123D"/>
    <w:rPr>
      <w:b/>
    </w:rPr>
  </w:style>
  <w:style w:type="character" w:customStyle="1" w:styleId="Underlined">
    <w:name w:val="Underlined"/>
    <w:basedOn w:val="DefaultParagraphFont"/>
    <w:rsid w:val="00AB123D"/>
    <w:rPr>
      <w:u w:val="single"/>
    </w:rPr>
  </w:style>
  <w:style w:type="paragraph" w:customStyle="1" w:styleId="TableBodyTextRight">
    <w:name w:val="Table Body Text Right"/>
    <w:basedOn w:val="TableBodyText"/>
    <w:rsid w:val="00AB123D"/>
    <w:pPr>
      <w:widowControl w:val="0"/>
      <w:autoSpaceDE w:val="0"/>
      <w:autoSpaceDN w:val="0"/>
      <w:adjustRightInd w:val="0"/>
      <w:jc w:val="right"/>
    </w:pPr>
    <w:rPr>
      <w:rFonts w:cs="Arial"/>
      <w:szCs w:val="18"/>
    </w:rPr>
  </w:style>
  <w:style w:type="paragraph" w:customStyle="1" w:styleId="CopyrightText">
    <w:name w:val="Copyright Text"/>
    <w:basedOn w:val="BodyText"/>
    <w:rsid w:val="00AB123D"/>
    <w:rPr>
      <w:sz w:val="18"/>
    </w:rPr>
  </w:style>
  <w:style w:type="paragraph" w:customStyle="1" w:styleId="BodySmallRight">
    <w:name w:val="Body Small Right"/>
    <w:basedOn w:val="BodyTextRight"/>
    <w:rsid w:val="00AB123D"/>
    <w:rPr>
      <w:sz w:val="18"/>
      <w:szCs w:val="18"/>
    </w:rPr>
  </w:style>
  <w:style w:type="paragraph" w:customStyle="1" w:styleId="MarginEdition">
    <w:name w:val="Margin Edition"/>
    <w:basedOn w:val="MarginNote"/>
    <w:rsid w:val="00AB123D"/>
    <w:pPr>
      <w:spacing w:before="0" w:after="0"/>
    </w:pPr>
    <w:rPr>
      <w:rFonts w:ascii="Times New Roman" w:hAnsi="Times New Roman"/>
      <w:color w:val="999999"/>
    </w:rPr>
  </w:style>
  <w:style w:type="paragraph" w:customStyle="1" w:styleId="Spacer">
    <w:name w:val="Spacer"/>
    <w:basedOn w:val="Normal"/>
    <w:rsid w:val="00AB123D"/>
    <w:rPr>
      <w:sz w:val="2"/>
      <w:szCs w:val="2"/>
    </w:rPr>
  </w:style>
  <w:style w:type="character" w:customStyle="1" w:styleId="Small">
    <w:name w:val="Small"/>
    <w:basedOn w:val="DefaultParagraphFont"/>
    <w:rsid w:val="00AB123D"/>
    <w:rPr>
      <w:sz w:val="16"/>
    </w:rPr>
  </w:style>
  <w:style w:type="paragraph" w:customStyle="1" w:styleId="WideTable">
    <w:name w:val="Wide Table"/>
    <w:basedOn w:val="Normal"/>
    <w:rsid w:val="00AB123D"/>
    <w:pPr>
      <w:ind w:left="-1418"/>
    </w:pPr>
    <w:rPr>
      <w:sz w:val="2"/>
      <w:szCs w:val="2"/>
    </w:rPr>
  </w:style>
  <w:style w:type="character" w:styleId="PageNumber">
    <w:name w:val="page number"/>
    <w:basedOn w:val="DefaultParagraphFont"/>
    <w:rsid w:val="00AB123D"/>
  </w:style>
  <w:style w:type="paragraph" w:styleId="Quote">
    <w:name w:val="Quote"/>
    <w:basedOn w:val="Heading1"/>
    <w:link w:val="QuoteChar"/>
    <w:qFormat/>
    <w:rsid w:val="00AB123D"/>
    <w:rPr>
      <w:b w:val="0"/>
      <w:sz w:val="72"/>
      <w:szCs w:val="72"/>
      <w:lang w:val="en-NZ"/>
    </w:rPr>
  </w:style>
  <w:style w:type="character" w:customStyle="1" w:styleId="QuoteChar">
    <w:name w:val="Quote Char"/>
    <w:basedOn w:val="DefaultParagraphFont"/>
    <w:link w:val="Quote"/>
    <w:rsid w:val="00AB12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23D"/>
    <w:pPr>
      <w:pageBreakBefore/>
    </w:pPr>
  </w:style>
  <w:style w:type="paragraph" w:customStyle="1" w:styleId="Border">
    <w:name w:val="Border"/>
    <w:basedOn w:val="Normal"/>
    <w:qFormat/>
    <w:rsid w:val="00AB12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23D"/>
    <w:rPr>
      <w:b/>
      <w:bCs/>
      <w:i/>
      <w:iCs/>
      <w:color w:val="auto"/>
    </w:rPr>
  </w:style>
  <w:style w:type="paragraph" w:styleId="IntenseQuote">
    <w:name w:val="Intense Quote"/>
    <w:basedOn w:val="Normal"/>
    <w:next w:val="Normal"/>
    <w:link w:val="IntenseQuoteChar"/>
    <w:uiPriority w:val="30"/>
    <w:qFormat/>
    <w:rsid w:val="00AB12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2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123D"/>
    <w:rPr>
      <w:smallCaps/>
      <w:color w:val="auto"/>
      <w:u w:val="single"/>
    </w:rPr>
  </w:style>
  <w:style w:type="character" w:styleId="IntenseReference">
    <w:name w:val="Intense Reference"/>
    <w:basedOn w:val="DefaultParagraphFont"/>
    <w:uiPriority w:val="32"/>
    <w:qFormat/>
    <w:rsid w:val="00AB123D"/>
    <w:rPr>
      <w:b/>
      <w:bCs/>
      <w:smallCaps/>
      <w:color w:val="auto"/>
      <w:spacing w:val="5"/>
      <w:u w:val="single"/>
    </w:rPr>
  </w:style>
  <w:style w:type="paragraph" w:customStyle="1" w:styleId="2ColumnHeading">
    <w:name w:val="2Column Heading"/>
    <w:basedOn w:val="BodyText"/>
    <w:qFormat/>
    <w:rsid w:val="00AB123D"/>
    <w:pPr>
      <w:spacing w:after="60"/>
      <w:ind w:left="-2268"/>
    </w:pPr>
    <w:rPr>
      <w:b/>
    </w:rPr>
  </w:style>
  <w:style w:type="paragraph" w:customStyle="1" w:styleId="Heading1TOC">
    <w:name w:val="Heading1 TOC"/>
    <w:basedOn w:val="Normal"/>
    <w:qFormat/>
    <w:rsid w:val="00AB123D"/>
    <w:pPr>
      <w:spacing w:before="240" w:after="120"/>
    </w:pPr>
    <w:rPr>
      <w:rFonts w:ascii="Times New Roman" w:hAnsi="Times New Roman"/>
      <w:b/>
      <w:sz w:val="32"/>
    </w:rPr>
  </w:style>
  <w:style w:type="paragraph" w:customStyle="1" w:styleId="Heading2TOC">
    <w:name w:val="Heading2 TOC"/>
    <w:basedOn w:val="Normal"/>
    <w:qFormat/>
    <w:rsid w:val="00AB123D"/>
    <w:pPr>
      <w:spacing w:before="240" w:after="60"/>
    </w:pPr>
    <w:rPr>
      <w:rFonts w:ascii="Times New Roman" w:hAnsi="Times New Roman"/>
      <w:b/>
      <w:sz w:val="28"/>
    </w:rPr>
  </w:style>
  <w:style w:type="character" w:customStyle="1" w:styleId="Underline">
    <w:name w:val="Underline"/>
    <w:basedOn w:val="DefaultParagraphFont"/>
    <w:qFormat/>
    <w:rsid w:val="00AB123D"/>
    <w:rPr>
      <w:u w:val="single"/>
    </w:rPr>
  </w:style>
  <w:style w:type="character" w:customStyle="1" w:styleId="BoldandItalics">
    <w:name w:val="Bold and Italics"/>
    <w:qFormat/>
    <w:rsid w:val="00AB123D"/>
    <w:rPr>
      <w:b/>
      <w:i/>
      <w:u w:val="none"/>
    </w:rPr>
  </w:style>
  <w:style w:type="paragraph" w:styleId="BalloonText">
    <w:name w:val="Balloon Text"/>
    <w:basedOn w:val="Normal"/>
    <w:link w:val="BalloonTextChar"/>
    <w:rsid w:val="00AB123D"/>
    <w:rPr>
      <w:rFonts w:ascii="Tahoma" w:hAnsi="Tahoma" w:cs="Tahoma"/>
      <w:sz w:val="16"/>
      <w:szCs w:val="16"/>
    </w:rPr>
  </w:style>
  <w:style w:type="character" w:customStyle="1" w:styleId="BalloonTextChar">
    <w:name w:val="Balloon Text Char"/>
    <w:basedOn w:val="DefaultParagraphFont"/>
    <w:link w:val="BalloonText"/>
    <w:rsid w:val="00AB12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12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2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123D"/>
    <w:rPr>
      <w:b/>
      <w:color w:val="660033"/>
      <w:spacing w:val="0"/>
    </w:rPr>
  </w:style>
  <w:style w:type="paragraph" w:customStyle="1" w:styleId="Nameditemlist">
    <w:name w:val="Named item list"/>
    <w:basedOn w:val="BodyText"/>
    <w:qFormat/>
    <w:rsid w:val="00AB12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2378</Words>
  <Characters>14890</Characters>
  <Application>Microsoft Office Word</Application>
  <DocSecurity>0</DocSecurity>
  <Lines>627</Lines>
  <Paragraphs>259</Paragraphs>
  <ScaleCrop>false</ScaleCrop>
  <Company>Author-it Software Corporation Ltd.</Company>
  <LinksUpToDate>false</LinksUpToDate>
  <CharactersWithSpaces>17059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UETTDREL02B Operate plant and equipment near live electrical conductors/apparatus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2012-10-11T19:44:00Z</dcterms:created>
  <dcterms:modified xsi:type="dcterms:W3CDTF">2012-10-11T19:44:00Z</dcterms:modified>
</cp:coreProperties>
</file>