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69A" w:rsidP="00D0369A">
      <w:pPr>
        <w:pStyle w:val="Title"/>
      </w:pPr>
      <w:bookmarkStart w:id="0" w:name="_GoBack"/>
      <w:bookmarkEnd w:id="0"/>
      <w:r>
        <w:fldChar w:fldCharType="begin"/>
      </w:r>
      <w:r>
        <w:instrText xml:space="preserve"> TITLE   \* MERGEFORMAT </w:instrText>
      </w:r>
      <w:r>
        <w:fldChar w:fldCharType="separate"/>
      </w:r>
      <w:r>
        <w:t>UETTDRDS24B Design transmission and sub-transmission protection and control</w:t>
      </w:r>
      <w:r>
        <w:fldChar w:fldCharType="end"/>
      </w:r>
    </w:p>
    <w:p w:rsidR="00D0369A" w:rsidP="00D0369A">
      <w:pPr>
        <w:pStyle w:val="Version"/>
        <w:sectPr w:rsidSect="005B1B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B91" w:rsidP="005B1B91">
      <w:pPr>
        <w:pStyle w:val="SuperHeading"/>
      </w:pPr>
      <w:r w:rsidRPr="005B1B91">
        <w:t>UETTDRDS24B Design transmission and sub-transmission protection and control</w:t>
      </w:r>
    </w:p>
    <w:p w:rsidR="00000000" w:rsidRPr="005B1B91" w:rsidP="005B1B91">
      <w:pPr>
        <w:pStyle w:val="Heading1"/>
      </w:pPr>
      <w:bookmarkStart w:id="1" w:name="O_275453"/>
      <w:bookmarkEnd w:id="1"/>
      <w:r w:rsidRPr="005B1B91">
        <w:t>Modification History</w:t>
      </w:r>
    </w:p>
    <w:p w:rsidR="00000000" w:rsidRPr="005B1B91" w:rsidP="005B1B91">
      <w:pPr>
        <w:pStyle w:val="BodyText"/>
      </w:pPr>
      <w:r w:rsidRPr="005B1B91">
        <w:t>Not Applicable</w:t>
      </w:r>
    </w:p>
    <w:p w:rsidR="00000000" w:rsidRPr="005B1B91" w:rsidP="005B1B91">
      <w:pPr>
        <w:pStyle w:val="AllowPageBreak"/>
      </w:pPr>
    </w:p>
    <w:p w:rsidR="00000000" w:rsidRPr="005B1B91" w:rsidP="005B1B91">
      <w:pPr>
        <w:pStyle w:val="Heading1"/>
      </w:pPr>
      <w:bookmarkStart w:id="2" w:name="O_231319"/>
      <w:bookmarkEnd w:id="2"/>
      <w:r w:rsidRPr="005B1B91">
        <w:t>Unit Descriptor</w:t>
      </w:r>
    </w:p>
    <w:tbl>
      <w:tblPr>
        <w:tblW w:w="0" w:type="auto"/>
        <w:tblLayout w:type="fixed"/>
        <w:tblCellMar>
          <w:left w:w="62" w:type="dxa"/>
          <w:right w:w="62" w:type="dxa"/>
        </w:tblCellMar>
        <w:tblLook w:val="0000"/>
      </w:tblPr>
      <w:tblGrid>
        <w:gridCol w:w="2758"/>
        <w:gridCol w:w="5882"/>
      </w:tblGrid>
      <w:tr w:rsidTr="00D036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1</w:t>
            </w:r>
            <w:r w:rsidRPr="005B1B91">
              <w:t xml:space="preserve">) </w:t>
            </w:r>
          </w:p>
          <w:p w:rsidR="00000000" w:rsidP="005B1B91">
            <w:pPr>
              <w:pStyle w:val="BodyText"/>
              <w:rPr>
                <w:lang w:val="en-NZ"/>
              </w:rPr>
            </w:pPr>
            <w:r w:rsidRPr="005B1B91">
              <w:rPr>
                <w:rStyle w:val="SpecialBold"/>
              </w:rPr>
              <w:t>1</w:t>
            </w:r>
            <w:r w:rsidRPr="005B1B91">
              <w:t>.</w:t>
            </w:r>
            <w:r w:rsidRPr="005B1B91">
              <w:rPr>
                <w:rStyle w:val="SpecialBold"/>
              </w:rPr>
              <w:t>1</w:t>
            </w:r>
            <w:r w:rsidRPr="005B1B91">
              <w:t xml:space="preserve">) </w:t>
            </w:r>
            <w:r w:rsidRPr="005B1B91">
              <w:rPr>
                <w:rStyle w:val="SpecialBold"/>
              </w:rPr>
              <w:t>Descriptor</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 xml:space="preserve">This Competency Standard Unit covers the design of Transmission, Sub-transmission and Zone Substation Protection and Control. This may include basic secondary upgrades, SCADA modifications or new installations on green field sites. The design must conform </w:t>
            </w:r>
            <w:r w:rsidRPr="005B1B91">
              <w:t>to safety regulations and environmental standards and incorporate the principles of safe design.</w:t>
            </w:r>
          </w:p>
        </w:tc>
      </w:tr>
    </w:tbl>
    <w:p w:rsidR="00D0369A" w:rsidP="005B1B91">
      <w:pPr>
        <w:pStyle w:val="BodyText"/>
      </w:pPr>
    </w:p>
    <w:p w:rsidR="00D0369A" w:rsidP="005B1B91">
      <w:pPr>
        <w:pStyle w:val="BodyText"/>
      </w:pPr>
    </w:p>
    <w:p w:rsidR="00000000" w:rsidRPr="005B1B91" w:rsidP="005B1B91">
      <w:pPr>
        <w:pStyle w:val="Heading1"/>
      </w:pPr>
      <w:bookmarkStart w:id="3" w:name="O_231324"/>
      <w:bookmarkEnd w:id="3"/>
      <w:r w:rsidRPr="005B1B91">
        <w:t>Application of the Unit</w:t>
      </w:r>
    </w:p>
    <w:tbl>
      <w:tblPr>
        <w:tblW w:w="0" w:type="auto"/>
        <w:tblLayout w:type="fixed"/>
        <w:tblCellMar>
          <w:left w:w="62" w:type="dxa"/>
          <w:right w:w="62" w:type="dxa"/>
        </w:tblCellMar>
        <w:tblLook w:val="0000"/>
      </w:tblPr>
      <w:tblGrid>
        <w:gridCol w:w="2758"/>
        <w:gridCol w:w="5882"/>
      </w:tblGrid>
      <w:tr w:rsidTr="00D036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4</w:t>
            </w:r>
            <w:r w:rsidRPr="005B1B91">
              <w:t>)</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This competency standard Unit is intended to augment formally acquired competencies. I</w:t>
            </w:r>
            <w:r w:rsidRPr="005B1B91">
              <w:t>t is suitable for employment-based programs under an approved contract of training.</w:t>
            </w:r>
          </w:p>
        </w:tc>
      </w:tr>
    </w:tbl>
    <w:p w:rsidR="00D0369A" w:rsidP="005B1B91">
      <w:pPr>
        <w:pStyle w:val="BodyText"/>
      </w:pPr>
    </w:p>
    <w:p w:rsidR="00D0369A" w:rsidP="005B1B91">
      <w:pPr>
        <w:pStyle w:val="BodyText"/>
      </w:pPr>
    </w:p>
    <w:p w:rsidR="00000000" w:rsidRPr="005B1B91" w:rsidP="005B1B91">
      <w:pPr>
        <w:pStyle w:val="Heading1"/>
      </w:pPr>
      <w:bookmarkStart w:id="4" w:name="O_231320"/>
      <w:bookmarkEnd w:id="4"/>
      <w:r w:rsidRPr="005B1B91">
        <w:t>Licensing/Regulatory Information</w:t>
      </w:r>
    </w:p>
    <w:tbl>
      <w:tblPr>
        <w:tblW w:w="0" w:type="auto"/>
        <w:tblLayout w:type="fixed"/>
        <w:tblCellMar>
          <w:left w:w="62" w:type="dxa"/>
          <w:right w:w="62" w:type="dxa"/>
        </w:tblCellMar>
        <w:tblLook w:val="0000"/>
      </w:tblPr>
      <w:tblGrid>
        <w:gridCol w:w="8640"/>
      </w:tblGrid>
      <w:tr w:rsidTr="00D0369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1</w:t>
            </w:r>
            <w:r w:rsidRPr="005B1B91">
              <w:t>.</w:t>
            </w:r>
            <w:r w:rsidRPr="005B1B91">
              <w:rPr>
                <w:rStyle w:val="SpecialBold"/>
              </w:rPr>
              <w:t>2</w:t>
            </w:r>
            <w:r w:rsidRPr="005B1B91">
              <w:t xml:space="preserve">) </w:t>
            </w:r>
            <w:r w:rsidRPr="005B1B91">
              <w:rPr>
                <w:rStyle w:val="SpecialBold"/>
              </w:rPr>
              <w:t>License to practice</w:t>
            </w:r>
          </w:p>
        </w:tc>
      </w:tr>
      <w:tr w:rsidTr="00D036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The skills and knowledge described in this unit may require a l</w:t>
            </w:r>
            <w:r w:rsidRPr="005B1B91">
              <w:t>icence/registration to practice in the work place subject to regulations for undertaking of electrical work. Practice in workplace and during training is also subject to regulations directly related to Occupational Health and Safety, electricity/telecommun</w:t>
            </w:r>
            <w:r w:rsidRPr="005B1B91">
              <w:t>ications/gas/water industry safety and compliance, industrial relations, environmental protection, anti discrimination and training. Commonwealth, State/Territory or Local Government legislation and regulations may exist that limits the age of operating ce</w:t>
            </w:r>
            <w:r w:rsidRPr="005B1B91">
              <w:t>rtain equipment.</w:t>
            </w:r>
          </w:p>
        </w:tc>
      </w:tr>
    </w:tbl>
    <w:p w:rsidR="00D0369A" w:rsidP="005B1B91">
      <w:pPr>
        <w:pStyle w:val="BodyText"/>
      </w:pPr>
    </w:p>
    <w:p w:rsidR="00D0369A" w:rsidP="005B1B91">
      <w:pPr>
        <w:pStyle w:val="BodyText"/>
      </w:pPr>
    </w:p>
    <w:p w:rsidR="00000000" w:rsidRPr="005B1B91" w:rsidP="005B1B91">
      <w:pPr>
        <w:pStyle w:val="Heading1"/>
      </w:pPr>
      <w:bookmarkStart w:id="5" w:name="O_231321"/>
      <w:bookmarkEnd w:id="5"/>
      <w:r w:rsidRPr="005B1B91">
        <w:t>Pre-Requisites</w:t>
      </w:r>
    </w:p>
    <w:tbl>
      <w:tblPr>
        <w:tblW w:w="0" w:type="auto"/>
        <w:tblLayout w:type="fixed"/>
        <w:tblCellMar>
          <w:left w:w="62" w:type="dxa"/>
          <w:right w:w="62" w:type="dxa"/>
        </w:tblCellMar>
        <w:tblLook w:val="0000"/>
      </w:tblPr>
      <w:tblGrid>
        <w:gridCol w:w="2758"/>
        <w:gridCol w:w="735"/>
        <w:gridCol w:w="2022"/>
        <w:gridCol w:w="3125"/>
      </w:tblGrid>
      <w:tr w:rsidTr="00D036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Prerequisite Unit</w:t>
            </w:r>
            <w:r w:rsidRPr="005B1B91">
              <w:t>(</w:t>
            </w:r>
            <w:r w:rsidRPr="005B1B91">
              <w:rPr>
                <w:rStyle w:val="SpecialBold"/>
              </w:rPr>
              <w:t>s</w:t>
            </w:r>
            <w:r w:rsidRPr="005B1B91">
              <w:t>)</w:t>
            </w:r>
          </w:p>
        </w:tc>
        <w:tc>
          <w:tcPr>
            <w:tcW w:w="5882" w:type="dxa"/>
            <w:gridSpan w:val="3"/>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2</w:t>
            </w:r>
            <w:r w:rsidRPr="005B1B91">
              <w:t xml:space="preserve">) </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5B1B9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2</w:t>
            </w:r>
            <w:r w:rsidRPr="005B1B91">
              <w:t>.</w:t>
            </w:r>
            <w:r w:rsidRPr="005B1B91">
              <w:rPr>
                <w:rStyle w:val="SpecialBold"/>
              </w:rPr>
              <w:t>1</w:t>
            </w:r>
            <w:r w:rsidRPr="005B1B91">
              <w:t xml:space="preserve">) </w:t>
            </w:r>
            <w:r w:rsidRPr="005B1B91">
              <w:rPr>
                <w:rStyle w:val="SpecialBold"/>
              </w:rPr>
              <w:t>Competencies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Granting of competency in this unit shall be made only after competency in the following unit(s) has/have been confirmed:</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UETTDRDS09B</w:t>
            </w:r>
          </w:p>
        </w:tc>
        <w:tc>
          <w:tcPr>
            <w:tcW w:w="312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Prepare and Manage Detailed Construction Plans for Electrical System Infrastructure.</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and</w:t>
            </w:r>
          </w:p>
        </w:tc>
        <w:tc>
          <w:tcPr>
            <w:tcW w:w="2022"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UETTDRDS14B</w:t>
            </w:r>
          </w:p>
        </w:tc>
        <w:tc>
          <w:tcPr>
            <w:tcW w:w="312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Design Zone Substation Modifications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For the full prerequisite chain details for this unit please refer to Table 3 in Volume 1, Part 2</w:t>
            </w:r>
          </w:p>
        </w:tc>
      </w:tr>
    </w:tbl>
    <w:p w:rsidR="00D0369A" w:rsidP="005B1B91">
      <w:pPr>
        <w:pStyle w:val="BodyText"/>
      </w:pPr>
    </w:p>
    <w:p w:rsidR="00D0369A" w:rsidP="005B1B91">
      <w:pPr>
        <w:pStyle w:val="BodyText"/>
      </w:pPr>
    </w:p>
    <w:p w:rsidR="00000000" w:rsidRPr="005B1B91" w:rsidP="005B1B91">
      <w:pPr>
        <w:pStyle w:val="Heading1"/>
      </w:pPr>
      <w:bookmarkStart w:id="6" w:name="O_231323"/>
      <w:bookmarkEnd w:id="6"/>
      <w:r w:rsidRPr="005B1B91">
        <w:t>Employability Skills Information</w:t>
      </w:r>
    </w:p>
    <w:tbl>
      <w:tblPr>
        <w:tblW w:w="0" w:type="auto"/>
        <w:tblLayout w:type="fixed"/>
        <w:tblCellMar>
          <w:left w:w="62" w:type="dxa"/>
          <w:right w:w="62" w:type="dxa"/>
        </w:tblCellMar>
        <w:tblLook w:val="0000"/>
      </w:tblPr>
      <w:tblGrid>
        <w:gridCol w:w="2758"/>
        <w:gridCol w:w="5882"/>
      </w:tblGrid>
      <w:tr w:rsidTr="00D036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3</w:t>
            </w:r>
            <w:r w:rsidRPr="005B1B91">
              <w:t>)</w:t>
            </w:r>
          </w:p>
          <w:p w:rsidR="00000000" w:rsidRPr="005B1B91" w:rsidP="005B1B91">
            <w:pPr>
              <w:pStyle w:val="BodyText"/>
            </w:pPr>
            <w:r w:rsidRPr="005B1B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B1B91">
              <w:t>requirements.</w:t>
            </w:r>
          </w:p>
        </w:tc>
      </w:tr>
    </w:tbl>
    <w:p w:rsidR="00D0369A" w:rsidP="005B1B91">
      <w:pPr>
        <w:pStyle w:val="BodyText"/>
      </w:pPr>
    </w:p>
    <w:p w:rsidR="00D0369A" w:rsidP="005B1B91">
      <w:pPr>
        <w:pStyle w:val="BodyText"/>
      </w:pPr>
    </w:p>
    <w:p w:rsidR="00000000" w:rsidRPr="005B1B91" w:rsidP="005B1B91">
      <w:pPr>
        <w:pStyle w:val="Heading1"/>
      </w:pPr>
      <w:bookmarkStart w:id="7" w:name="O_293499"/>
      <w:bookmarkEnd w:id="7"/>
      <w:r w:rsidRPr="005B1B91">
        <w:t>Elements and Performance Criteria Pre-Content</w:t>
      </w:r>
    </w:p>
    <w:tbl>
      <w:tblPr>
        <w:tblW w:w="0" w:type="auto"/>
        <w:tblLayout w:type="fixed"/>
        <w:tblCellMar>
          <w:left w:w="62" w:type="dxa"/>
          <w:right w:w="62" w:type="dxa"/>
        </w:tblCellMar>
        <w:tblLook w:val="0000"/>
      </w:tblPr>
      <w:tblGrid>
        <w:gridCol w:w="2758"/>
        <w:gridCol w:w="5882"/>
      </w:tblGrid>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6</w:t>
            </w:r>
            <w:r w:rsidRPr="005B1B9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Performance Criteria describe the required performance needed to demonstrate achievement of the element. Ass</w:t>
            </w:r>
            <w:r w:rsidRPr="005B1B91">
              <w:t>essment of performance is to be consistent with the evidence guide.</w:t>
            </w:r>
          </w:p>
        </w:tc>
      </w:tr>
    </w:tbl>
    <w:p w:rsidR="00000000" w:rsidRPr="005B1B91" w:rsidP="005B1B91">
      <w:pPr>
        <w:pStyle w:val="BodyText"/>
      </w:pPr>
    </w:p>
    <w:p w:rsidR="00000000" w:rsidRPr="005B1B91" w:rsidP="005B1B91">
      <w:pPr>
        <w:pStyle w:val="AllowPageBreak"/>
      </w:pPr>
    </w:p>
    <w:p w:rsidR="00000000" w:rsidRPr="005B1B91" w:rsidP="005B1B91">
      <w:pPr>
        <w:pStyle w:val="Heading1"/>
      </w:pPr>
      <w:bookmarkStart w:id="8" w:name="O_240167"/>
      <w:bookmarkEnd w:id="8"/>
      <w:r w:rsidRPr="005B1B91">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D0369A">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PERFORMANCE CRITERIA</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w:t>
            </w:r>
          </w:p>
        </w:tc>
        <w:tc>
          <w:tcPr>
            <w:tcW w:w="2344"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Plan and coordinate for the design of transmission, sub-transmission and zone substation protection and control systems</w:t>
            </w: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1.1</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OHS practices/procedures and environmental and sustainable energy procedures, which may influence the design of substations, are rev</w:t>
            </w:r>
            <w:r w:rsidRPr="005B1B91">
              <w:t>iewed and determined.</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1.2</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Purpose of the design is established and expected outcomes of the work are confirmed with the appropriate personnel.</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1.3</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Established policies, procedures and specifications for the design are obtained or established with the appropriate personnel.</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1.4</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Equipment/tools and personal protective equipment are selected and coordinated based on specified requirements and establi</w:t>
            </w:r>
            <w:r w:rsidRPr="005B1B91">
              <w:t>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1.5</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Work is prioritised and sequenced for the most efficient and effective outcome following consultation with others for completion within acceptable timeframes, to a quality standard and in accordance with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1.6</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Risk control measures are identified, prioritised and evaluated against the work schedule</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1.7</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Relevant work permits are secured to coordinate the performance of work according to requirements and/or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1.8</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Resources including personnel, equipment, tools and personal protective equipment required for the job are identified, scheduled and coordinated and confirmed in a safe and technical working order</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1.9</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Liaison and communication issues with other/authoris</w:t>
            </w:r>
            <w:r w:rsidRPr="005B1B91">
              <w:t>ed personnel, authorities, clients and land-owners are resolved and activities coordinated to carry out work</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1.10</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Site is prepared according to the work schedule and to minimise risk and damage to property, commerce, and individuals in accordance with e</w:t>
            </w:r>
            <w:r w:rsidRPr="005B1B91">
              <w:t>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1.11</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Personnel participating in the work, including plant operators and contractors, are fully briefed and respective responsibilities coordinated and authorised where applicable in accordance with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w:t>
            </w:r>
          </w:p>
        </w:tc>
        <w:tc>
          <w:tcPr>
            <w:tcW w:w="2344" w:type="dxa"/>
            <w:vMerge w:val="restart"/>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Carry out and coordinate the design of transmission, sub-transmission and zone substation protection and control systems</w:t>
            </w: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2.1</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Circuit/systems modelling is used to evaluate alternative proposals as per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2.2</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OHS and sustainable energ</w:t>
            </w:r>
            <w:r w:rsidRPr="005B1B91">
              <w:t>y principles, functionality and practices to reduce the incidents of accidents and minimise waste are incorporated into the project in accordance with requirements and/or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2.3</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System design decisions are made on the basis of safety and effective outcomes according to requirements and/or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2.4</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Mathematical models of the design are used to analyse the effectiveness of the finished project as per requirement</w:t>
            </w:r>
            <w:r w:rsidRPr="005B1B91">
              <w:t>s and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2.5</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Technical advice is given regarding potential hazards, safety risks and control measures so that monitoring and preventative action can be undertaken and/or appropriate authorities consulted, where necessary, in accordan</w:t>
            </w:r>
            <w:r w:rsidRPr="005B1B91">
              <w:t>ce with requirements and established procedures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2.6</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 xml:space="preserve">Essential knowledge and associated skills are applied to analyse specific data and compare it with compliance specifications to ensure completion </w:t>
            </w:r>
            <w:r w:rsidRPr="005B1B91">
              <w:t>of the project within an agreed timeframe according to requirements.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2.7</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Solutions to non-routine problems are identified and actioned using acquired essential knowledge and associated skills according to requirements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2.8</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Quality of work is monitored</w:t>
            </w:r>
            <w:r w:rsidRPr="005B1B91">
              <w:t xml:space="preserve"> against personal performance agreement and/or established organisational and professional standards.</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3</w:t>
            </w:r>
          </w:p>
        </w:tc>
        <w:tc>
          <w:tcPr>
            <w:tcW w:w="2344"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Complete and coordinate the design of transmission, sub-transmission and zone substation protection and control systems</w:t>
            </w: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3.1</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 xml:space="preserve">Final checks of the design </w:t>
            </w:r>
            <w:r w:rsidRPr="005B1B91">
              <w:t>are undertaken to ensure they comply with all requirements and include all specifications and documentations needed to complete the design brief.</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3.2</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Appropriate personnel are notified of completion and reports and/or completion documents are finalised.</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3.3</w:t>
            </w:r>
          </w:p>
        </w:tc>
        <w:tc>
          <w:tcPr>
            <w:tcW w:w="4963"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Reports and/or completion documents are submitted to relevant personnel/organisations for approval and, where applicable, statutory or regulatory approval</w:t>
            </w:r>
          </w:p>
        </w:tc>
      </w:tr>
      <w:tr w:rsidTr="00D036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3.4</w:t>
            </w:r>
          </w:p>
        </w:tc>
        <w:tc>
          <w:tcPr>
            <w:tcW w:w="4963"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Approved copies of design documents are issued and records are updated in accordance w</w:t>
            </w:r>
            <w:r w:rsidRPr="005B1B91">
              <w:t>ith established procedures.</w:t>
            </w:r>
          </w:p>
        </w:tc>
      </w:tr>
    </w:tbl>
    <w:p w:rsidR="00D0369A" w:rsidP="005B1B91">
      <w:pPr>
        <w:pStyle w:val="BodyText"/>
      </w:pPr>
    </w:p>
    <w:p w:rsidR="00D0369A" w:rsidP="005B1B91">
      <w:pPr>
        <w:pStyle w:val="BodyText"/>
      </w:pPr>
    </w:p>
    <w:p w:rsidR="00000000" w:rsidRPr="005B1B91" w:rsidP="005B1B91">
      <w:pPr>
        <w:pStyle w:val="Heading1"/>
      </w:pPr>
      <w:bookmarkStart w:id="9" w:name="O_263958"/>
      <w:bookmarkEnd w:id="9"/>
      <w:r w:rsidRPr="005B1B91">
        <w:t>Required Skills and Knowledge</w:t>
      </w:r>
    </w:p>
    <w:tbl>
      <w:tblPr>
        <w:tblW w:w="0" w:type="auto"/>
        <w:tblLayout w:type="fixed"/>
        <w:tblCellMar>
          <w:left w:w="62" w:type="dxa"/>
          <w:right w:w="62" w:type="dxa"/>
        </w:tblCellMar>
        <w:tblLook w:val="0000"/>
      </w:tblPr>
      <w:tblGrid>
        <w:gridCol w:w="2758"/>
        <w:gridCol w:w="1287"/>
        <w:gridCol w:w="4595"/>
      </w:tblGrid>
      <w:tr w:rsidTr="00D0369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REQUIRED SKILLS AND KNOWLEDGE</w:t>
            </w:r>
          </w:p>
        </w:tc>
      </w:tr>
      <w:tr w:rsidTr="00D0369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7</w:t>
            </w:r>
            <w:r w:rsidRPr="005B1B91">
              <w:t xml:space="preserve">) </w:t>
            </w:r>
            <w:r w:rsidRPr="005B1B91">
              <w:rPr>
                <w:rStyle w:val="SpecialBold"/>
              </w:rPr>
              <w:t>Essential Knowledge and Associated Skills</w:t>
            </w:r>
            <w:r w:rsidRPr="005B1B91">
              <w:t xml:space="preserve"> (</w:t>
            </w:r>
            <w:r w:rsidRPr="005B1B91">
              <w:rPr>
                <w:rStyle w:val="SpecialBold"/>
              </w:rPr>
              <w:t>EKAS</w:t>
            </w:r>
            <w:r w:rsidRPr="005B1B91">
              <w:t>): This describes the essential skills and knowledge and their level, required for this unit.</w:t>
            </w:r>
          </w:p>
        </w:tc>
      </w:tr>
      <w:tr w:rsidTr="00D0369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Evidence shall show that knowledge has been acquired of designing distribution substations.</w:t>
            </w:r>
          </w:p>
          <w:p w:rsidR="00000000" w:rsidRPr="005B1B91" w:rsidP="005B1B91">
            <w:pPr>
              <w:pStyle w:val="BodyText"/>
            </w:pPr>
            <w:r w:rsidRPr="005B1B91">
              <w:t>All knowledge and skills detailed in this unit should be contextualised to current industry practices and technologies.</w:t>
            </w:r>
          </w:p>
          <w:p w:rsidR="00000000" w:rsidP="005B1B91">
            <w:pPr>
              <w:pStyle w:val="BodyText"/>
              <w:rPr>
                <w:lang w:val="en-NZ"/>
              </w:rPr>
            </w:pPr>
            <w:r w:rsidRPr="005B1B91">
              <w:t xml:space="preserve">The extent of the essential knowledge and </w:t>
            </w:r>
            <w:r w:rsidRPr="005B1B91">
              <w:t>associated skills (EKAS) required is given in Volume 2 - Part 2.2 EKAS. It forms an integral part of this unit.</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 xml:space="preserve">E2.18.1 </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Occupational Health and Safety principles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E2.18.2</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Electrical safe working practice</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T2.3.8</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Safe design principles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T2.4.7</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Feeder automation system</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T2.10.3</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Commissioning of discrete protection devices - Substations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T2.10.12</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Substation LV supply design principles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T2.10.13</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Substation control systems design principles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T2.10.25</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Commissioning of distribution protection and control systems - substations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T2.10.26</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Voltage regulation scheme principles - Substations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T2.10.27</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Use of test equipment on a discrete protection scheme - Substations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T2.10.28</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Electrical equipment - distri</w:t>
            </w:r>
            <w:r w:rsidRPr="005B1B91">
              <w:t>bution field device protection and control schemes - substations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T2.11.2</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Circuit breaker auxiliary systems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T2.11.17</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Protection scheme requirements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T2.11.18</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Discrete protection systems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T2.11.19</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Interdependent protection systems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T2.11.20</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Complex protection systems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T2.11.26</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Test Equipment A - fundamental</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T2.11.27</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Test Equipment B - protection</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T2.11.29</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Test Equipment D - control</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T2.11.53</w:t>
            </w:r>
          </w:p>
        </w:tc>
        <w:tc>
          <w:tcPr>
            <w:tcW w:w="4595"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Protection schemes</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T2.11.71</w:t>
            </w:r>
          </w:p>
        </w:tc>
        <w:tc>
          <w:tcPr>
            <w:tcW w:w="4595"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Transmission, sub-transmission and zone substation control and protection design process - principles</w:t>
            </w:r>
          </w:p>
        </w:tc>
      </w:tr>
    </w:tbl>
    <w:p w:rsidR="00D0369A" w:rsidP="005B1B91">
      <w:pPr>
        <w:pStyle w:val="BodyText"/>
      </w:pPr>
    </w:p>
    <w:p w:rsidR="00D0369A" w:rsidP="005B1B91">
      <w:pPr>
        <w:pStyle w:val="BodyText"/>
      </w:pPr>
    </w:p>
    <w:p w:rsidR="00000000" w:rsidRPr="005B1B91" w:rsidP="005B1B91">
      <w:pPr>
        <w:pStyle w:val="Heading1"/>
      </w:pPr>
      <w:bookmarkStart w:id="10" w:name="O_248150"/>
      <w:bookmarkEnd w:id="10"/>
      <w:r w:rsidRPr="005B1B91">
        <w:t>Evidence Guide</w:t>
      </w:r>
    </w:p>
    <w:tbl>
      <w:tblPr>
        <w:tblW w:w="0" w:type="auto"/>
        <w:tblLayout w:type="fixed"/>
        <w:tblCellMar>
          <w:left w:w="62" w:type="dxa"/>
          <w:right w:w="62" w:type="dxa"/>
        </w:tblCellMar>
        <w:tblLook w:val="0000"/>
      </w:tblPr>
      <w:tblGrid>
        <w:gridCol w:w="2207"/>
        <w:gridCol w:w="735"/>
        <w:gridCol w:w="919"/>
        <w:gridCol w:w="1838"/>
        <w:gridCol w:w="2941"/>
      </w:tblGrid>
      <w:tr w:rsidTr="00D0369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EVIDENCE GUIDE</w:t>
            </w:r>
          </w:p>
        </w:tc>
      </w:tr>
      <w:tr w:rsidTr="00D0369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9</w:t>
            </w:r>
            <w:r w:rsidRPr="005B1B91">
              <w:t>) This provides essential advice for assessment of the unit of competency and must be read in conjunction with the Performance Criteria and the range statement of the unit of competency and the Training Package Assessment Guidelines.</w:t>
            </w:r>
          </w:p>
          <w:p w:rsidR="00000000" w:rsidP="005B1B91">
            <w:pPr>
              <w:pStyle w:val="BodyText"/>
              <w:rPr>
                <w:lang w:val="en-NZ"/>
              </w:rPr>
            </w:pPr>
            <w:r w:rsidRPr="005B1B91">
              <w:t>The Evidence Guide for</w:t>
            </w:r>
            <w:r w:rsidRPr="005B1B91">
              <w:t>ms an integral part of this Competency Standard Unit and shall be used in conjunction with all component parts of this unit and, performed in accordance with the Assessment Guidelines of this Training Package.</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9</w:t>
            </w:r>
            <w:r w:rsidRPr="005B1B91">
              <w:t>.</w:t>
            </w:r>
            <w:r w:rsidRPr="005B1B91">
              <w:rPr>
                <w:rStyle w:val="SpecialBold"/>
              </w:rPr>
              <w:t>1</w:t>
            </w:r>
            <w:r w:rsidRPr="005B1B91">
              <w:t xml:space="preserve">) </w:t>
            </w:r>
          </w:p>
          <w:p w:rsidR="00000000" w:rsidRPr="005B1B91" w:rsidP="005B1B91">
            <w:pPr>
              <w:pStyle w:val="BodyText"/>
            </w:pPr>
            <w:r w:rsidRPr="005B1B91">
              <w:t>Longitudinal</w:t>
            </w:r>
            <w:r w:rsidRPr="005B1B91">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5B1B91">
              <w:t>n. It is the Industry's preferred model for apprenticeships. However, where summative (or final) assessment is used it is to include the application of the competency in the normal work environment or, at a minimum, the application of the competency in a r</w:t>
            </w:r>
            <w:r w:rsidRPr="005B1B91">
              <w:t>ealistically simulated work environment. It is recognised that, in some circumstances, assessment in part or full can occur outside the workplace. However, it must be in accord with Industry and, Regulatory policy in this regard.</w:t>
            </w:r>
          </w:p>
          <w:p w:rsidR="00000000" w:rsidRPr="005B1B91" w:rsidP="005B1B91">
            <w:pPr>
              <w:pStyle w:val="BodyText"/>
            </w:pPr>
            <w:r w:rsidRPr="005B1B91">
              <w:t>Methods chosen for a parti</w:t>
            </w:r>
            <w:r w:rsidRPr="005B1B91">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5B1B91">
              <w:t>the critical nature of the competencies being assessed.</w:t>
            </w:r>
          </w:p>
          <w:p w:rsidR="00000000" w:rsidRPr="005B1B91" w:rsidP="005B1B91">
            <w:pPr>
              <w:pStyle w:val="BodyText"/>
            </w:pPr>
            <w:r w:rsidRPr="005B1B91">
              <w:t xml:space="preserve">The critical safety nature of working with electricity, electrical equipment, gas or any other hazardous substance/material carries risk in deeming a person competent. Hence, sources of evidence need </w:t>
            </w:r>
            <w:r w:rsidRPr="005B1B91">
              <w:t>to be 'rich' in nature so as to minimise error in judgment.</w:t>
            </w:r>
          </w:p>
          <w:p w:rsidR="00000000" w:rsidP="005B1B91">
            <w:pPr>
              <w:pStyle w:val="BodyText"/>
              <w:rPr>
                <w:lang w:val="en-NZ"/>
              </w:rPr>
            </w:pPr>
            <w:r w:rsidRPr="005B1B91">
              <w:t>Activities associated with normal every day work have a bearing on the decision as to how much and how detailed the data gathered will contribute to its 'richness'. Some skills are more critical t</w:t>
            </w:r>
            <w:r w:rsidRPr="005B1B91">
              <w:t>o safety and operational requirements while the same skills may be more or less frequently practiced. These points are raised for the assessors to consider when choosing an assessment method and developing assessment instruments. Sample assessment instrume</w:t>
            </w:r>
            <w:r w:rsidRPr="005B1B91">
              <w:t>nts are included for Assessors in the Assessment Guidelines of this Training Package.</w:t>
            </w:r>
          </w:p>
        </w:tc>
      </w:tr>
      <w:tr w:rsidTr="00D0369A">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 xml:space="preserve">Critical aspects of evidence required to demonstrate </w:t>
            </w:r>
            <w:r w:rsidRPr="005B1B91">
              <w:rPr>
                <w:rStyle w:val="SpecialBold"/>
              </w:rPr>
              <w:t>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9</w:t>
            </w:r>
            <w:r w:rsidRPr="005B1B91">
              <w:t>.</w:t>
            </w:r>
            <w:r w:rsidRPr="005B1B91">
              <w:rPr>
                <w:rStyle w:val="SpecialBold"/>
              </w:rPr>
              <w:t>2</w:t>
            </w:r>
            <w:r w:rsidRPr="005B1B91">
              <w:t xml:space="preserve">) </w:t>
            </w:r>
          </w:p>
          <w:p w:rsidR="00000000" w:rsidP="005B1B91">
            <w:pPr>
              <w:pStyle w:val="BodyText"/>
              <w:rPr>
                <w:lang w:val="en-NZ"/>
              </w:rPr>
            </w:pPr>
            <w:r w:rsidRPr="005B1B91">
              <w:t>Before the critical aspects of evi</w:t>
            </w:r>
            <w:r w:rsidRPr="005B1B91">
              <w:t>dence are considered all prerequisites shall be met.</w:t>
            </w:r>
          </w:p>
        </w:tc>
      </w:tr>
      <w:tr w:rsidTr="00D0369A">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Evidence for competence in this unit is based, shall be considered holistically. Each element and associated Performance Criteria shall be demonstrated on at least two occasions in accordance with t</w:t>
            </w:r>
            <w:r w:rsidRPr="005B1B91">
              <w:t>he "Assessment Guidelines - UET09". Evidence shall also comprise:</w:t>
            </w:r>
          </w:p>
          <w:p w:rsidR="00000000" w:rsidP="005B1B91">
            <w:pPr>
              <w:pStyle w:val="ListBullet"/>
              <w:rPr>
                <w:lang w:val="en-NZ"/>
              </w:rPr>
            </w:pPr>
            <w:r w:rsidRPr="005B1B91">
              <w:t>A representative body of Performance Criteria demonstrated within the timeframes typically expected of the discipline, work function and industrial environment. In particular this shall inco</w:t>
            </w:r>
            <w:r w:rsidRPr="005B1B91">
              <w:t>rporate evidence that shows a candidate is able to:</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ListBullet2"/>
            </w:pPr>
            <w:r w:rsidRPr="005B1B91">
              <w:t>Implement Occupational Health and Safety workplace procedures and practices including the use of risk control measures as specified in the Performance Criteria and range; and</w:t>
            </w:r>
          </w:p>
          <w:p w:rsidR="00000000" w:rsidRPr="005B1B91" w:rsidP="005B1B91">
            <w:pPr>
              <w:pStyle w:val="ListBullet2"/>
            </w:pPr>
            <w:r w:rsidRPr="005B1B91">
              <w:t>Apply sustainable energy principles and practices as specified in the Performance Criteria and range; and</w:t>
            </w:r>
          </w:p>
          <w:p w:rsidR="00000000" w:rsidRPr="005B1B91" w:rsidP="005B1B91">
            <w:pPr>
              <w:pStyle w:val="ListBullet2"/>
            </w:pPr>
            <w:r w:rsidRPr="005B1B91">
              <w:t>Demonstrate an understanding of the essential knowledge and associated skills as described in this unit to such an extent that the learner's performan</w:t>
            </w:r>
            <w:r w:rsidRPr="005B1B91">
              <w:t>ce outcome is reported in accordance with the preferred approach; namely a percentile graded result, where required by the regulated environment; and</w:t>
            </w:r>
          </w:p>
          <w:p w:rsidR="00000000" w:rsidRPr="005B1B91" w:rsidP="005B1B91">
            <w:pPr>
              <w:pStyle w:val="ListBullet2"/>
            </w:pPr>
            <w:r w:rsidRPr="005B1B91">
              <w:t>Demonstrate an appropriate level of employability skills; and</w:t>
            </w:r>
          </w:p>
          <w:p w:rsidR="00000000" w:rsidP="005B1B91">
            <w:pPr>
              <w:pStyle w:val="ListBullet2"/>
              <w:rPr>
                <w:lang w:val="en-NZ"/>
              </w:rPr>
            </w:pPr>
            <w:r w:rsidRPr="005B1B91">
              <w:t>Conduct work observing the relevant Anti Dis</w:t>
            </w:r>
            <w:r w:rsidRPr="005B1B91">
              <w:t>crimination legislation, regulations, policies and workplace procedures; and</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B1B91">
            <w:pPr>
              <w:pStyle w:val="ListBullet"/>
              <w:rPr>
                <w:lang w:val="en-NZ"/>
              </w:rPr>
            </w:pPr>
            <w:r w:rsidRPr="005B1B91">
              <w:t>Demonstrated performance across a representative range of contexts from the prescribed items below:</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B1B9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rPr>
                <w:rStyle w:val="SpecialBold"/>
              </w:rPr>
              <w:t>Range of tools</w:t>
            </w:r>
            <w:r w:rsidRPr="005B1B91">
              <w:t>/</w:t>
            </w:r>
            <w:r w:rsidRPr="005B1B91">
              <w:rPr>
                <w:rStyle w:val="SpecialBold"/>
              </w:rPr>
              <w:t>equipment</w:t>
            </w:r>
            <w:r w:rsidRPr="005B1B91">
              <w:t>/</w:t>
            </w:r>
            <w:r w:rsidRPr="005B1B91">
              <w:rPr>
                <w:rStyle w:val="SpecialBold"/>
              </w:rPr>
              <w:t>materials</w:t>
            </w:r>
            <w:r w:rsidRPr="005B1B91">
              <w:t>/</w:t>
            </w:r>
            <w:r w:rsidRPr="005B1B91">
              <w:rPr>
                <w:rStyle w:val="SpecialBold"/>
              </w:rPr>
              <w:t>procedures</w:t>
            </w:r>
            <w:r w:rsidRPr="005B1B91">
              <w:t>/</w:t>
            </w:r>
            <w:r w:rsidRPr="005B1B91">
              <w:rPr>
                <w:rStyle w:val="SpecialBold"/>
              </w:rPr>
              <w:t>workplaces</w:t>
            </w:r>
            <w:r w:rsidRPr="005B1B91">
              <w:t>/</w:t>
            </w:r>
            <w:r w:rsidRPr="005B1B91">
              <w:rPr>
                <w:rStyle w:val="SpecialBold"/>
              </w:rPr>
              <w:t>other variables</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B1B9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B91" w:rsidP="005B1B91">
            <w:pPr>
              <w:pStyle w:val="BodyText"/>
            </w:pPr>
            <w:r w:rsidRPr="005B1B91">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B91" w:rsidP="005B1B91">
            <w:pPr>
              <w:pStyle w:val="BodyText"/>
            </w:pPr>
            <w:r w:rsidRPr="005B1B91">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rPr>
                <w:rStyle w:val="SpecialBold"/>
              </w:rPr>
              <w:t>Item List</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Completion of two (2) compliant technical designs relating to each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B91" w:rsidP="005B1B91">
            <w:pPr>
              <w:pStyle w:val="BodyText"/>
            </w:pPr>
            <w:r w:rsidRPr="005B1B91">
              <w:t>Protection and control systems implemented to suit statutory and organisational requirements.</w:t>
            </w:r>
          </w:p>
          <w:p w:rsidR="00000000" w:rsidRPr="005B1B91" w:rsidP="005B1B91">
            <w:pPr>
              <w:pStyle w:val="BodyText"/>
            </w:pPr>
            <w:r w:rsidRPr="005B1B91">
              <w:t>AC and DC circuit diagrams correct and documented.</w:t>
            </w:r>
          </w:p>
          <w:p w:rsidR="00000000" w:rsidRPr="005B1B91" w:rsidP="005B1B91">
            <w:pPr>
              <w:pStyle w:val="BodyText"/>
            </w:pPr>
            <w:r w:rsidRPr="005B1B91">
              <w:t>SCADA hardwired and serially communicated signals.</w:t>
            </w:r>
          </w:p>
          <w:p w:rsidR="00000000" w:rsidRPr="005B1B91" w:rsidP="005B1B91">
            <w:pPr>
              <w:pStyle w:val="BodyText"/>
            </w:pPr>
            <w:r w:rsidRPr="005B1B91">
              <w:t>Metering.</w:t>
            </w:r>
          </w:p>
          <w:p w:rsidR="00000000" w:rsidRPr="005B1B91" w:rsidP="005B1B91">
            <w:pPr>
              <w:pStyle w:val="BodyText"/>
            </w:pPr>
            <w:r w:rsidRPr="005B1B91">
              <w:t>Load control.</w:t>
            </w:r>
          </w:p>
          <w:p w:rsidR="00000000" w:rsidRPr="005B1B91" w:rsidP="005B1B91">
            <w:pPr>
              <w:pStyle w:val="BodyText"/>
            </w:pPr>
            <w:r w:rsidRPr="005B1B91">
              <w:t>Power factor control.</w:t>
            </w:r>
          </w:p>
          <w:p w:rsidR="00000000" w:rsidRPr="005B1B91" w:rsidP="005B1B91">
            <w:pPr>
              <w:pStyle w:val="BodyText"/>
            </w:pPr>
            <w:r w:rsidRPr="005B1B91">
              <w:t>AC and DC supp</w:t>
            </w:r>
            <w:r w:rsidRPr="005B1B91">
              <w:t>lies.</w:t>
            </w:r>
          </w:p>
          <w:p w:rsidR="00000000" w:rsidRPr="005B1B91" w:rsidP="005B1B91">
            <w:pPr>
              <w:pStyle w:val="BodyText"/>
            </w:pPr>
            <w:r w:rsidRPr="005B1B91">
              <w:t>Protection and control panel layouts.</w:t>
            </w:r>
          </w:p>
          <w:p w:rsidR="00000000" w:rsidP="005B1B91">
            <w:pPr>
              <w:pStyle w:val="BodyText"/>
              <w:rPr>
                <w:lang w:val="en-NZ"/>
              </w:rPr>
            </w:pPr>
            <w:r w:rsidRPr="005B1B91">
              <w:t>Control cable termination diagrams.</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Designs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B91" w:rsidP="005B1B91">
            <w:pPr>
              <w:pStyle w:val="BodyText"/>
            </w:pPr>
            <w:r w:rsidRPr="005B1B91">
              <w:t>Activities that address the correction of errors in the process.</w:t>
            </w:r>
          </w:p>
          <w:p w:rsidR="00000000" w:rsidP="005B1B91">
            <w:pPr>
              <w:pStyle w:val="BodyText"/>
              <w:rPr>
                <w:lang w:val="en-NZ"/>
              </w:rPr>
            </w:pPr>
            <w:r w:rsidRPr="005B1B91">
              <w:t>Application of a design control che</w:t>
            </w:r>
            <w:r w:rsidRPr="005B1B91">
              <w:t>cklist, which lists all of the required design activities to be carried out in this process.</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B91">
            <w:pPr>
              <w:pStyle w:val="BodyText"/>
              <w:rPr>
                <w:lang w:val="en-NZ"/>
              </w:rPr>
            </w:pPr>
            <w:r w:rsidRPr="005B1B91">
              <w:t>Dealing with an unplanned event by drawing on essential knowledge and associated skills to provide appropriate solutions incorporated in</w:t>
            </w:r>
            <w:r w:rsidRPr="005B1B91">
              <w:t xml:space="preserve"> the holistic assessment with the above listed items.</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9</w:t>
            </w:r>
            <w:r w:rsidRPr="005B1B91">
              <w:t>.</w:t>
            </w:r>
            <w:r w:rsidRPr="005B1B91">
              <w:rPr>
                <w:rStyle w:val="SpecialBold"/>
              </w:rPr>
              <w:t>3</w:t>
            </w:r>
            <w:r w:rsidRPr="005B1B91">
              <w:t xml:space="preserve">) </w:t>
            </w:r>
          </w:p>
          <w:p w:rsidR="00000000" w:rsidRPr="005B1B91" w:rsidP="005B1B91">
            <w:pPr>
              <w:pStyle w:val="BodyText"/>
            </w:pPr>
            <w:r w:rsidRPr="005B1B91">
              <w:t>This unit should be assessed as it relates to normal work practice using procedures, information and resources typical of a workplace. This should</w:t>
            </w:r>
            <w:r w:rsidRPr="005B1B91">
              <w:t xml:space="preserve"> include:</w:t>
            </w:r>
          </w:p>
          <w:p w:rsidR="00000000" w:rsidRPr="005B1B91" w:rsidP="005B1B91">
            <w:pPr>
              <w:pStyle w:val="ListBullet2"/>
            </w:pPr>
            <w:r w:rsidRPr="005B1B91">
              <w:t>OHS policy and work procedures and instructions.</w:t>
            </w:r>
          </w:p>
          <w:p w:rsidR="00000000" w:rsidP="005B1B91">
            <w:pPr>
              <w:pStyle w:val="ListBullet2"/>
              <w:rPr>
                <w:lang w:val="en-NZ"/>
              </w:rPr>
            </w:pPr>
            <w:r w:rsidRPr="005B1B91">
              <w:t>Suitable work environment, facilities, equipment and materials to undertake actual design of transmission, sub-transmission and zone substation protection and control systems.</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In addition to the resources listed above, in Context of and specific resources for assessment, evidence should show demonstrated competency working realistic environment and a variety of conditions.</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9</w:t>
            </w:r>
            <w:r w:rsidRPr="005B1B91">
              <w:t>.</w:t>
            </w:r>
            <w:r w:rsidRPr="005B1B91">
              <w:rPr>
                <w:rStyle w:val="SpecialBold"/>
              </w:rPr>
              <w:t>4</w:t>
            </w:r>
            <w:r w:rsidRPr="005B1B91">
              <w:t xml:space="preserve">) </w:t>
            </w:r>
          </w:p>
          <w:p w:rsidR="00000000" w:rsidRPr="005B1B91" w:rsidP="005B1B91">
            <w:pPr>
              <w:pStyle w:val="BodyText"/>
            </w:pPr>
            <w:r w:rsidRPr="005B1B91">
              <w:t>This Competency Standard Unit shall be assessed by methods given in Volume 1, Part 3 "Assessment Guidelines".</w:t>
            </w:r>
          </w:p>
          <w:p w:rsidR="00000000" w:rsidP="005B1B91">
            <w:pPr>
              <w:pStyle w:val="BodyText"/>
              <w:rPr>
                <w:lang w:val="en-NZ"/>
              </w:rPr>
            </w:pPr>
            <w:r w:rsidRPr="005B1B91">
              <w:t>Note:</w:t>
            </w:r>
            <w:r w:rsidRPr="005B1B91">
              <w:br/>
              <w:t xml:space="preserve">Competent performance with inherent safe working practices is expected in the Industry to which this Competency Standard Unit applies. This </w:t>
            </w:r>
            <w:r w:rsidRPr="005B1B91">
              <w:t>requires that the specified essential knowledge and associated skills are assessed in a structured environment which is primarily intended for learning/assessment and incorporates all necessary equipment and facilities for learners to develop and demonstra</w:t>
            </w:r>
            <w:r w:rsidRPr="005B1B91">
              <w:t>te the essential knowledge and associated skills described in this unit.</w:t>
            </w:r>
          </w:p>
        </w:tc>
      </w:tr>
      <w:tr w:rsidTr="00D0369A">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9</w:t>
            </w:r>
            <w:r w:rsidRPr="005B1B91">
              <w:t>.</w:t>
            </w:r>
            <w:r w:rsidRPr="005B1B91">
              <w:rPr>
                <w:rStyle w:val="SpecialBold"/>
              </w:rPr>
              <w:t>5</w:t>
            </w:r>
            <w:r w:rsidRPr="005B1B91">
              <w:t>)</w:t>
            </w:r>
          </w:p>
        </w:tc>
      </w:tr>
      <w:tr w:rsidTr="00D0369A">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 xml:space="preserve">There are no recommended concurrent assessments with this unit, however in some cases efficiencies may be gained </w:t>
            </w:r>
            <w:r w:rsidRPr="005B1B91">
              <w:t>in terms of learning and assessment effort being concurrently managed.</w:t>
            </w:r>
          </w:p>
        </w:tc>
      </w:tr>
    </w:tbl>
    <w:p w:rsidR="00D0369A" w:rsidP="005B1B91">
      <w:pPr>
        <w:pStyle w:val="BodyText"/>
      </w:pPr>
    </w:p>
    <w:p w:rsidR="00D0369A" w:rsidP="005B1B91">
      <w:pPr>
        <w:pStyle w:val="BodyText"/>
      </w:pPr>
    </w:p>
    <w:p w:rsidR="00000000" w:rsidRPr="005B1B91" w:rsidP="005B1B91">
      <w:pPr>
        <w:pStyle w:val="Heading1"/>
      </w:pPr>
      <w:bookmarkStart w:id="11" w:name="O_256134"/>
      <w:bookmarkEnd w:id="11"/>
      <w:r w:rsidRPr="005B1B91">
        <w:t>Range Statement</w:t>
      </w:r>
    </w:p>
    <w:tbl>
      <w:tblPr>
        <w:tblW w:w="0" w:type="auto"/>
        <w:tblLayout w:type="fixed"/>
        <w:tblCellMar>
          <w:left w:w="62" w:type="dxa"/>
          <w:right w:w="62" w:type="dxa"/>
        </w:tblCellMar>
        <w:tblLook w:val="0000"/>
      </w:tblPr>
      <w:tblGrid>
        <w:gridCol w:w="2207"/>
        <w:gridCol w:w="6433"/>
      </w:tblGrid>
      <w:tr w:rsidTr="00D0369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RANGE STATEMENT</w:t>
            </w:r>
          </w:p>
        </w:tc>
      </w:tr>
      <w:tr w:rsidTr="00D0369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8</w:t>
            </w:r>
            <w:r w:rsidRPr="005B1B91">
              <w:t xml:space="preserve">) This relates to the unit of competency as a whole providing the range of contexts and conditions </w:t>
            </w:r>
            <w:r w:rsidRPr="005B1B91">
              <w:t>to which the Performance Criteria apply. It allows for different work environments and situations that will affect performance.</w:t>
            </w:r>
          </w:p>
        </w:tc>
      </w:tr>
      <w:tr w:rsidTr="00D0369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This Competency Standard Unit shall/may be demonstrated in relation to the desi</w:t>
            </w:r>
            <w:r w:rsidRPr="005B1B91">
              <w:t>gn of transmission, sub-transmission and zone substation protection and control components and may include the following equipment:</w:t>
            </w:r>
          </w:p>
          <w:p w:rsidR="00000000" w:rsidRPr="005B1B91" w:rsidP="005B1B91">
            <w:pPr>
              <w:pStyle w:val="BodyText"/>
            </w:pPr>
            <w:r w:rsidRPr="005B1B91">
              <w:t>Manufacturers recommendations; Reliability performance profiles; Knowledge of local history and experience; Consultation wit</w:t>
            </w:r>
            <w:r w:rsidRPr="005B1B91">
              <w:t>h other Authorities; Environmental influences; Present practices.</w:t>
            </w:r>
          </w:p>
          <w:p w:rsidR="00000000" w:rsidRPr="005B1B91" w:rsidP="005B1B91">
            <w:pPr>
              <w:pStyle w:val="BodyText"/>
            </w:pPr>
            <w:r w:rsidRPr="005B1B91">
              <w:t>Equipment includes; Sectionalisers, air break switches, capacitor banks, transformer taps, metering and protection equipment, data communication systems</w:t>
            </w:r>
          </w:p>
          <w:p w:rsidR="00000000" w:rsidRPr="005B1B91" w:rsidP="005B1B91">
            <w:pPr>
              <w:pStyle w:val="BodyText"/>
            </w:pPr>
            <w:r w:rsidRPr="005B1B91">
              <w:t>Primary and secondary voltage and cur</w:t>
            </w:r>
            <w:r w:rsidRPr="005B1B91">
              <w:t>rent injection equipment; time delay measuring equipment; Current transformers; Voltage transformers; Power transformers; Tapchangers; Circuit breakers; Capacitor banks; Ring main units; Audio frequency load control; Circuit breaker auxiliary systems; Subs</w:t>
            </w:r>
            <w:r w:rsidRPr="005B1B91">
              <w:t>tation and metal structure earthing systems; SCADA interfaces and transducer inputs; local opto-isolated alarms: PLC programs; Auto Reclosers (ACRs); protection relays; metering; control circuits; Statistical metering systems; Frame leakage relays; Distanc</w:t>
            </w:r>
            <w:r w:rsidRPr="005B1B91">
              <w:t>e relays; Pilot wire relays; Transformer differential relays; Busbar differential relays; Impedance bus zone relays; Overcurrent and earth fault relays; Transformer neutral check relays; Circuit breaker fail relays; Multi-trip relays; Auto recloser relays;</w:t>
            </w:r>
            <w:r w:rsidRPr="005B1B91">
              <w:t xml:space="preserve"> Voltage transformer failure relays; Surge protection relays; Buchholz relays; Winding temperature relays; Sensitive earth fault relays; Phase failure relays; Frequency relays; Load shedding relays; General protection LV devices; Oil temperature protection</w:t>
            </w:r>
            <w:r w:rsidRPr="005B1B91">
              <w:t xml:space="preserve"> devices; Oil surge protection devices; Power supplies. differential relays; power systems; multi-facetted schemes; interactive overload schemes, distance protection (incorporating relay selection, switched/non-switched schemes; mutual coupling and teed fe</w:t>
            </w:r>
            <w:r w:rsidRPr="005B1B91">
              <w:t>eder systems); protection signalling (incorporating series, direct, permissive, distance acceleration, block interruption); telecommunication circuits and equipment.</w:t>
            </w:r>
          </w:p>
          <w:p w:rsidR="00000000" w:rsidRPr="005B1B91" w:rsidP="005B1B91">
            <w:pPr>
              <w:pStyle w:val="BodyText"/>
            </w:pPr>
            <w:r w:rsidRPr="005B1B91">
              <w:t>AC protection circuits: HV FDRs, TFRs, BBP/LBU, LV FDRs</w:t>
            </w:r>
          </w:p>
          <w:p w:rsidR="00000000" w:rsidRPr="005B1B91" w:rsidP="005B1B91">
            <w:pPr>
              <w:pStyle w:val="BodyText"/>
            </w:pPr>
            <w:r w:rsidRPr="005B1B91">
              <w:t>DC protection and control circuits</w:t>
            </w:r>
            <w:r w:rsidRPr="005B1B91">
              <w:t>: Supplies and auxiliaries, protection, BBP, trip circuit monitoring, CB monitoring, serially communicated SCADA, control and indication</w:t>
            </w:r>
          </w:p>
          <w:p w:rsidR="00000000" w:rsidRPr="005B1B91" w:rsidP="005B1B91">
            <w:pPr>
              <w:pStyle w:val="BodyText"/>
            </w:pPr>
            <w:r w:rsidRPr="005B1B91">
              <w:t>Hard wire communicated SCADA</w:t>
            </w:r>
          </w:p>
          <w:p w:rsidR="00000000" w:rsidRPr="005B1B91" w:rsidP="005B1B91">
            <w:pPr>
              <w:pStyle w:val="BodyText"/>
            </w:pPr>
            <w:r w:rsidRPr="005B1B91">
              <w:t>TFR tap changer and cooling control circuits</w:t>
            </w:r>
          </w:p>
          <w:p w:rsidR="00000000" w:rsidRPr="005B1B91" w:rsidP="005B1B91">
            <w:pPr>
              <w:pStyle w:val="BodyText"/>
            </w:pPr>
            <w:r w:rsidRPr="005B1B91">
              <w:t>Power factor correction capacitor protection/</w:t>
            </w:r>
            <w:r w:rsidRPr="005B1B91">
              <w:t>control</w:t>
            </w:r>
          </w:p>
          <w:p w:rsidR="00000000" w:rsidRPr="005B1B91" w:rsidP="005B1B91">
            <w:pPr>
              <w:pStyle w:val="BodyText"/>
            </w:pPr>
            <w:r w:rsidRPr="005B1B91">
              <w:t>AC Supplies (415/240VAC)</w:t>
            </w:r>
          </w:p>
          <w:p w:rsidR="00000000" w:rsidRPr="005B1B91" w:rsidP="005B1B91">
            <w:pPr>
              <w:pStyle w:val="BodyText"/>
            </w:pPr>
            <w:r w:rsidRPr="005B1B91">
              <w:t>DC Supplies (125/48VDC)</w:t>
            </w:r>
          </w:p>
          <w:p w:rsidR="00000000" w:rsidRPr="005B1B91" w:rsidP="005B1B91">
            <w:pPr>
              <w:pStyle w:val="BodyText"/>
            </w:pPr>
            <w:r w:rsidRPr="005B1B91">
              <w:t>Indication lighting timer circuit</w:t>
            </w:r>
          </w:p>
          <w:p w:rsidR="00000000" w:rsidRPr="005B1B91" w:rsidP="005B1B91">
            <w:pPr>
              <w:pStyle w:val="BodyText"/>
            </w:pPr>
            <w:r w:rsidRPr="005B1B91">
              <w:t>Miscellaneous circuits may include: Metering, frequency injection, radio/communication, intertripping, frame leakage and SMU control</w:t>
            </w:r>
          </w:p>
          <w:p w:rsidR="00000000" w:rsidRPr="005B1B91" w:rsidP="005B1B91">
            <w:pPr>
              <w:pStyle w:val="BodyText"/>
            </w:pPr>
            <w:r w:rsidRPr="005B1B91">
              <w:t xml:space="preserve">Connection diagrams may incude: </w:t>
            </w:r>
            <w:r w:rsidRPr="005B1B91">
              <w:t>Control panels, HV circuit breakers,LV circuit breakers, Line and TFR CT's, TFR neutral CT's, Line VT's, TFR's, disconnectors, battery chargers, fire control panel, power factor and control caps.</w:t>
            </w:r>
          </w:p>
          <w:p w:rsidR="00000000" w:rsidRPr="005B1B91" w:rsidP="005B1B91">
            <w:pPr>
              <w:pStyle w:val="BodyText"/>
            </w:pPr>
            <w:r w:rsidRPr="005B1B91">
              <w:t>Other areas may include: Control panel layouts, control cabl</w:t>
            </w:r>
            <w:r w:rsidRPr="005B1B91">
              <w:t>e schedule and label list.</w:t>
            </w:r>
          </w:p>
          <w:p w:rsidR="00000000" w:rsidRPr="005B1B91" w:rsidP="005B1B91">
            <w:pPr>
              <w:pStyle w:val="BodyText"/>
            </w:pPr>
          </w:p>
          <w:p w:rsidR="00000000" w:rsidP="005B1B91">
            <w:pPr>
              <w:pStyle w:val="BodyText"/>
              <w:rPr>
                <w:lang w:val="en-NZ"/>
              </w:rPr>
            </w:pPr>
            <w:r w:rsidRPr="005B1B91">
              <w:t>The following constants and variables included in the element/Performance Criteria in this unit are fully described in the Definitions Section 1 of this volume and form an integral part of the Range Statement of this unit:</w:t>
            </w:r>
          </w:p>
        </w:tc>
      </w:tr>
      <w:tr w:rsidTr="00D036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5B1B91" w:rsidP="005B1B91">
            <w:pPr>
              <w:pStyle w:val="ListBullet2"/>
            </w:pPr>
            <w:r w:rsidRPr="005B1B91">
              <w:t>Appropriate and relevant persons (see Personnel)</w:t>
            </w:r>
          </w:p>
          <w:p w:rsidR="00000000" w:rsidRPr="005B1B91" w:rsidP="005B1B91">
            <w:pPr>
              <w:pStyle w:val="ListBullet2"/>
            </w:pPr>
            <w:r w:rsidRPr="005B1B91">
              <w:t>Appropriate authorities</w:t>
            </w:r>
          </w:p>
          <w:p w:rsidR="00000000" w:rsidRPr="005B1B91" w:rsidP="005B1B91">
            <w:pPr>
              <w:pStyle w:val="ListBullet2"/>
            </w:pPr>
            <w:r w:rsidRPr="005B1B91">
              <w:t>Appropriate work platform.</w:t>
            </w:r>
          </w:p>
          <w:p w:rsidR="00000000" w:rsidRPr="005B1B91" w:rsidP="005B1B91">
            <w:pPr>
              <w:pStyle w:val="ListBullet2"/>
            </w:pPr>
            <w:r w:rsidRPr="005B1B91">
              <w:t>Assessing risk</w:t>
            </w:r>
          </w:p>
          <w:p w:rsidR="00000000" w:rsidRPr="005B1B91" w:rsidP="005B1B91">
            <w:pPr>
              <w:pStyle w:val="ListBullet2"/>
            </w:pPr>
            <w:r w:rsidRPr="005B1B91">
              <w:t>Assessment</w:t>
            </w:r>
          </w:p>
          <w:p w:rsidR="00000000" w:rsidRPr="005B1B91" w:rsidP="005B1B91">
            <w:pPr>
              <w:pStyle w:val="ListBullet2"/>
            </w:pPr>
            <w:r w:rsidRPr="005B1B91">
              <w:t xml:space="preserve">Authorisation </w:t>
            </w:r>
          </w:p>
          <w:p w:rsidR="00000000" w:rsidRPr="005B1B91" w:rsidP="005B1B91">
            <w:pPr>
              <w:pStyle w:val="ListBullet2"/>
            </w:pPr>
            <w:r w:rsidRPr="005B1B91">
              <w:t>Confined space</w:t>
            </w:r>
          </w:p>
          <w:p w:rsidR="00000000" w:rsidRPr="005B1B91" w:rsidP="005B1B91">
            <w:pPr>
              <w:pStyle w:val="ListBullet2"/>
            </w:pPr>
            <w:r w:rsidRPr="005B1B91">
              <w:t>Diagnostic, testing and restoration.</w:t>
            </w:r>
          </w:p>
          <w:p w:rsidR="00000000" w:rsidRPr="005B1B91" w:rsidP="005B1B91">
            <w:pPr>
              <w:pStyle w:val="ListBullet2"/>
            </w:pPr>
            <w:r w:rsidRPr="005B1B91">
              <w:t>Documenting detail work events, record keeping and or storage o</w:t>
            </w:r>
            <w:r w:rsidRPr="005B1B91">
              <w:t>f information.</w:t>
            </w:r>
          </w:p>
          <w:p w:rsidR="00000000" w:rsidRPr="005B1B91" w:rsidP="005B1B91">
            <w:pPr>
              <w:pStyle w:val="ListBullet2"/>
            </w:pPr>
            <w:r w:rsidRPr="005B1B91">
              <w:t xml:space="preserve">Drawings and specifications </w:t>
            </w:r>
          </w:p>
          <w:p w:rsidR="00000000" w:rsidRPr="005B1B91" w:rsidP="005B1B91">
            <w:pPr>
              <w:pStyle w:val="ListBullet2"/>
            </w:pPr>
            <w:r w:rsidRPr="005B1B91">
              <w:t>Emergency</w:t>
            </w:r>
          </w:p>
          <w:p w:rsidR="00000000" w:rsidRPr="005B1B91" w:rsidP="005B1B91">
            <w:pPr>
              <w:pStyle w:val="ListBullet2"/>
            </w:pPr>
            <w:r w:rsidRPr="005B1B91">
              <w:t>Environmental and sustainable energy procedures</w:t>
            </w:r>
          </w:p>
          <w:p w:rsidR="00000000" w:rsidRPr="005B1B91" w:rsidP="005B1B91">
            <w:pPr>
              <w:pStyle w:val="ListBullet2"/>
            </w:pPr>
            <w:r w:rsidRPr="005B1B91">
              <w:t>Environmental legislation.</w:t>
            </w:r>
          </w:p>
          <w:p w:rsidR="00000000" w:rsidRPr="005B1B91" w:rsidP="005B1B91">
            <w:pPr>
              <w:pStyle w:val="ListBullet2"/>
            </w:pPr>
            <w:r w:rsidRPr="005B1B91">
              <w:t>Environmental management documentation.</w:t>
            </w:r>
          </w:p>
          <w:p w:rsidR="00000000" w:rsidRPr="005B1B91" w:rsidP="005B1B91">
            <w:pPr>
              <w:pStyle w:val="ListBullet2"/>
            </w:pPr>
            <w:r w:rsidRPr="005B1B91">
              <w:t>Established procedures.</w:t>
            </w:r>
          </w:p>
          <w:p w:rsidR="00000000" w:rsidRPr="005B1B91" w:rsidP="005B1B91">
            <w:pPr>
              <w:pStyle w:val="ListBullet2"/>
            </w:pPr>
            <w:r w:rsidRPr="005B1B91">
              <w:t>Fall prevention</w:t>
            </w:r>
          </w:p>
          <w:p w:rsidR="00000000" w:rsidRPr="005B1B91" w:rsidP="005B1B91">
            <w:pPr>
              <w:pStyle w:val="ListBullet2"/>
            </w:pPr>
            <w:r w:rsidRPr="005B1B91">
              <w:t>Hazards</w:t>
            </w:r>
          </w:p>
          <w:p w:rsidR="00000000" w:rsidRPr="005B1B91" w:rsidP="005B1B91">
            <w:pPr>
              <w:pStyle w:val="ListBullet2"/>
            </w:pPr>
            <w:r w:rsidRPr="005B1B91">
              <w:t>Identifying hazards</w:t>
            </w:r>
          </w:p>
          <w:p w:rsidR="00000000" w:rsidRPr="005B1B91" w:rsidP="005B1B91">
            <w:pPr>
              <w:pStyle w:val="ListBullet2"/>
            </w:pPr>
            <w:r w:rsidRPr="005B1B91">
              <w:t>Inspect</w:t>
            </w:r>
          </w:p>
          <w:p w:rsidR="00000000" w:rsidRPr="005B1B91" w:rsidP="005B1B91">
            <w:pPr>
              <w:pStyle w:val="ListBullet2"/>
            </w:pPr>
            <w:r w:rsidRPr="005B1B91">
              <w:t>Legislation</w:t>
            </w:r>
          </w:p>
          <w:p w:rsidR="00000000" w:rsidRPr="005B1B91" w:rsidP="005B1B91">
            <w:pPr>
              <w:pStyle w:val="ListBullet2"/>
            </w:pPr>
            <w:r w:rsidRPr="005B1B91">
              <w:t>MSDS</w:t>
            </w:r>
          </w:p>
          <w:p w:rsidR="00000000" w:rsidRPr="005B1B91" w:rsidP="005B1B91">
            <w:pPr>
              <w:pStyle w:val="ListBullet2"/>
            </w:pPr>
            <w:r w:rsidRPr="005B1B91">
              <w:t>Notification.</w:t>
            </w:r>
          </w:p>
          <w:p w:rsidR="00000000" w:rsidRPr="005B1B91" w:rsidP="005B1B91">
            <w:pPr>
              <w:pStyle w:val="ListBullet2"/>
            </w:pPr>
            <w:r w:rsidRPr="005B1B91">
              <w:t>OHS practices</w:t>
            </w:r>
          </w:p>
          <w:p w:rsidR="00000000" w:rsidRPr="005B1B91" w:rsidP="005B1B91">
            <w:pPr>
              <w:pStyle w:val="ListBullet2"/>
            </w:pPr>
            <w:r w:rsidRPr="005B1B91">
              <w:t>OHS issues</w:t>
            </w:r>
          </w:p>
          <w:p w:rsidR="00000000" w:rsidRPr="005B1B91" w:rsidP="005B1B91">
            <w:pPr>
              <w:pStyle w:val="ListBullet2"/>
            </w:pPr>
            <w:r w:rsidRPr="005B1B91">
              <w:t>Permits and / or permits to work</w:t>
            </w:r>
          </w:p>
          <w:p w:rsidR="00000000" w:rsidRPr="005B1B91" w:rsidP="005B1B91">
            <w:pPr>
              <w:pStyle w:val="ListBullet2"/>
            </w:pPr>
            <w:r w:rsidRPr="005B1B91">
              <w:t>Personnel.</w:t>
            </w:r>
          </w:p>
          <w:p w:rsidR="00000000" w:rsidRPr="005B1B91" w:rsidP="005B1B91">
            <w:pPr>
              <w:pStyle w:val="ListBullet2"/>
            </w:pPr>
            <w:r w:rsidRPr="005B1B91">
              <w:t>Quality assurance systems.</w:t>
            </w:r>
          </w:p>
          <w:p w:rsidR="00000000" w:rsidRPr="005B1B91" w:rsidP="005B1B91">
            <w:pPr>
              <w:pStyle w:val="ListBullet2"/>
            </w:pPr>
            <w:r w:rsidRPr="005B1B91">
              <w:t>Requirements.</w:t>
            </w:r>
          </w:p>
          <w:p w:rsidR="00000000" w:rsidRPr="005B1B91" w:rsidP="005B1B91">
            <w:pPr>
              <w:pStyle w:val="ListBullet2"/>
            </w:pPr>
            <w:r w:rsidRPr="005B1B91">
              <w:t>Safe design principles</w:t>
            </w:r>
          </w:p>
          <w:p w:rsidR="00000000" w:rsidRPr="005B1B91" w:rsidP="005B1B91">
            <w:pPr>
              <w:pStyle w:val="ListBullet2"/>
            </w:pPr>
            <w:r w:rsidRPr="005B1B91">
              <w:t>Testing procedures</w:t>
            </w:r>
          </w:p>
          <w:p w:rsidR="00000000" w:rsidRPr="005B1B91" w:rsidP="005B1B91">
            <w:pPr>
              <w:pStyle w:val="ListBullet2"/>
            </w:pPr>
            <w:r w:rsidRPr="005B1B91">
              <w:t>Work clearance systems</w:t>
            </w:r>
          </w:p>
        </w:tc>
      </w:tr>
    </w:tbl>
    <w:p w:rsidR="00D0369A" w:rsidP="005B1B91">
      <w:pPr>
        <w:pStyle w:val="BodyText"/>
      </w:pPr>
    </w:p>
    <w:p w:rsidR="00D0369A" w:rsidP="005B1B91">
      <w:pPr>
        <w:pStyle w:val="BodyText"/>
      </w:pPr>
    </w:p>
    <w:p w:rsidR="00000000" w:rsidRPr="005B1B91" w:rsidP="005B1B91">
      <w:pPr>
        <w:pStyle w:val="Heading1"/>
      </w:pPr>
      <w:bookmarkStart w:id="12" w:name="O_297147"/>
      <w:bookmarkEnd w:id="12"/>
      <w:r w:rsidRPr="005B1B91">
        <w:t>Unit Sector(s)</w:t>
      </w:r>
    </w:p>
    <w:p w:rsidR="00000000" w:rsidRPr="005B1B91" w:rsidP="005B1B91">
      <w:pPr>
        <w:pStyle w:val="BodyText"/>
      </w:pPr>
      <w:r w:rsidRPr="005B1B91">
        <w:t>Not Applicable</w:t>
      </w:r>
    </w:p>
    <w:p w:rsidR="00000000" w:rsidRPr="005B1B91" w:rsidP="005B1B91">
      <w:pPr>
        <w:pStyle w:val="AllowPageBreak"/>
      </w:pPr>
    </w:p>
    <w:p w:rsidR="00000000" w:rsidRPr="005B1B91" w:rsidP="005B1B91">
      <w:pPr>
        <w:pStyle w:val="Heading1"/>
      </w:pPr>
      <w:bookmarkStart w:id="13" w:name="O_231322"/>
      <w:bookmarkEnd w:id="13"/>
      <w:r w:rsidRPr="005B1B91">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D0369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2</w:t>
            </w:r>
            <w:r w:rsidRPr="005B1B91">
              <w:t>.</w:t>
            </w:r>
            <w:r w:rsidRPr="005B1B91">
              <w:rPr>
                <w:rStyle w:val="SpecialBold"/>
              </w:rPr>
              <w:t>2</w:t>
            </w:r>
            <w:r w:rsidRPr="005B1B91">
              <w:t xml:space="preserve">) </w:t>
            </w:r>
            <w:r w:rsidRPr="005B1B91">
              <w:rPr>
                <w:rStyle w:val="SpecialBold"/>
              </w:rPr>
              <w:t>Literacy and numeracy skills</w:t>
            </w:r>
          </w:p>
          <w:p w:rsidR="00000000" w:rsidP="005B1B91">
            <w:pPr>
              <w:pStyle w:val="BodyText"/>
              <w:rPr>
                <w:lang w:val="en-NZ"/>
              </w:rPr>
            </w:pPr>
            <w:r w:rsidRPr="005B1B91">
              <w:t>Participants are best equipped to achieve this unit if they have reading, writing and numeracy skills indicated by the following scales. Description of each scale is given in Volum</w:t>
            </w:r>
            <w:r w:rsidRPr="005B1B91">
              <w:t>e 2, Part 3 "Literacy and Numeracy"</w:t>
            </w:r>
          </w:p>
        </w:tc>
      </w:tr>
      <w:tr w:rsidTr="00D0369A">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Reading</w:t>
            </w:r>
          </w:p>
        </w:tc>
        <w:tc>
          <w:tcPr>
            <w:tcW w:w="1071"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5</w:t>
            </w:r>
          </w:p>
        </w:tc>
        <w:tc>
          <w:tcPr>
            <w:tcW w:w="1776"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Writing</w:t>
            </w:r>
          </w:p>
        </w:tc>
        <w:tc>
          <w:tcPr>
            <w:tcW w:w="1207"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5</w:t>
            </w:r>
          </w:p>
        </w:tc>
        <w:tc>
          <w:tcPr>
            <w:tcW w:w="1886"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t>Numeracy</w:t>
            </w:r>
          </w:p>
        </w:tc>
        <w:tc>
          <w:tcPr>
            <w:tcW w:w="1080"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5</w:t>
            </w:r>
          </w:p>
        </w:tc>
      </w:tr>
    </w:tbl>
    <w:p w:rsidR="00D0369A" w:rsidP="005B1B91">
      <w:pPr>
        <w:pStyle w:val="BodyText"/>
      </w:pPr>
    </w:p>
    <w:p w:rsidR="00D0369A" w:rsidP="005B1B91">
      <w:pPr>
        <w:pStyle w:val="BodyText"/>
      </w:pPr>
    </w:p>
    <w:p w:rsidR="00000000" w:rsidRPr="005B1B91" w:rsidP="005B1B91">
      <w:pPr>
        <w:pStyle w:val="Heading1"/>
      </w:pPr>
      <w:bookmarkStart w:id="14" w:name="O_231325"/>
      <w:bookmarkEnd w:id="14"/>
      <w:r w:rsidRPr="005B1B91">
        <w:t>Competency Field</w:t>
      </w:r>
    </w:p>
    <w:tbl>
      <w:tblPr>
        <w:tblW w:w="0" w:type="auto"/>
        <w:tblLayout w:type="fixed"/>
        <w:tblCellMar>
          <w:left w:w="62" w:type="dxa"/>
          <w:right w:w="62" w:type="dxa"/>
        </w:tblCellMar>
        <w:tblLook w:val="0000"/>
      </w:tblPr>
      <w:tblGrid>
        <w:gridCol w:w="2758"/>
        <w:gridCol w:w="5882"/>
      </w:tblGrid>
      <w:tr w:rsidTr="00D036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5B1B91">
            <w:pPr>
              <w:pStyle w:val="BodyText"/>
              <w:rPr>
                <w:lang w:val="en-NZ"/>
              </w:rPr>
            </w:pPr>
            <w:r w:rsidRPr="005B1B91">
              <w:rPr>
                <w:rStyle w:val="SpecialBold"/>
              </w:rPr>
              <w:t>5</w:t>
            </w:r>
            <w:r w:rsidRPr="005B1B91">
              <w:t>)</w:t>
            </w:r>
          </w:p>
        </w:tc>
      </w:tr>
      <w:tr w:rsidTr="00D036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B1B91" w:rsidP="005B1B91">
            <w:pPr>
              <w:pStyle w:val="BodyText"/>
            </w:pPr>
            <w:r w:rsidRPr="005B1B91">
              <w:t>Design</w:t>
            </w:r>
          </w:p>
        </w:tc>
      </w:tr>
    </w:tbl>
    <w:p w:rsidR="00D0369A" w:rsidP="005B1B91">
      <w:pPr>
        <w:pStyle w:val="BodyText"/>
      </w:pPr>
    </w:p>
    <w:p w:rsidR="00D0369A" w:rsidP="005B1B91">
      <w:pPr>
        <w:pStyle w:val="BodyText"/>
      </w:pPr>
    </w:p>
    <w:p w:rsidR="00000000" w:rsidRPr="005B1B91" w:rsidP="005B1B91"/>
    <w:sectPr w:rsidSect="005B1B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69A" w:rsidP="00D036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9A" w:rsidP="005B1B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0369A" w:rsidP="005B1B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0369A" w:rsidP="005B1B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91" w:rsidRPr="00D0369A" w:rsidP="00D036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9A" w:rsidRPr="002D2AF8" w:rsidP="005B1B91">
    <w:pPr>
      <w:pStyle w:val="Header"/>
      <w:framePr w:wrap="around"/>
    </w:pPr>
    <w:r>
      <w:fldChar w:fldCharType="begin"/>
    </w:r>
    <w:r>
      <w:instrText xml:space="preserve"> TITLE   \* MERGEFORMAT </w:instrText>
    </w:r>
    <w:r>
      <w:fldChar w:fldCharType="separate"/>
    </w:r>
    <w:r>
      <w:t>UETTDRDS24B Design transmission and sub-transmission protection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0369A" w:rsidP="005B1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0C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44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09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B91"/>
    <w:pPr>
      <w:spacing w:before="360" w:after="60"/>
      <w:outlineLvl w:val="0"/>
    </w:pPr>
    <w:rPr>
      <w:sz w:val="32"/>
    </w:rPr>
  </w:style>
  <w:style w:type="paragraph" w:styleId="Heading2">
    <w:name w:val="heading 2"/>
    <w:basedOn w:val="HeadingBase"/>
    <w:next w:val="BodyText"/>
    <w:link w:val="Heading2Char"/>
    <w:qFormat/>
    <w:rsid w:val="005B1B91"/>
    <w:pPr>
      <w:keepLines/>
      <w:spacing w:before="240" w:after="120"/>
      <w:outlineLvl w:val="1"/>
    </w:pPr>
    <w:rPr>
      <w:sz w:val="28"/>
      <w:szCs w:val="40"/>
    </w:rPr>
  </w:style>
  <w:style w:type="paragraph" w:styleId="Heading3">
    <w:name w:val="heading 3"/>
    <w:basedOn w:val="HeadingBase"/>
    <w:next w:val="BodyText"/>
    <w:link w:val="Heading3Char"/>
    <w:qFormat/>
    <w:rsid w:val="005B1B91"/>
    <w:pPr>
      <w:spacing w:before="180" w:after="120"/>
      <w:outlineLvl w:val="2"/>
    </w:pPr>
    <w:rPr>
      <w:spacing w:val="-10"/>
      <w:kern w:val="32"/>
    </w:rPr>
  </w:style>
  <w:style w:type="paragraph" w:styleId="Heading4">
    <w:name w:val="heading 4"/>
    <w:basedOn w:val="HeadingBase"/>
    <w:next w:val="BodyText"/>
    <w:link w:val="Heading4Char"/>
    <w:qFormat/>
    <w:rsid w:val="005B1B91"/>
    <w:pPr>
      <w:spacing w:before="160" w:after="120"/>
      <w:outlineLvl w:val="3"/>
    </w:pPr>
    <w:rPr>
      <w:sz w:val="22"/>
    </w:rPr>
  </w:style>
  <w:style w:type="paragraph" w:styleId="Heading5">
    <w:name w:val="heading 5"/>
    <w:basedOn w:val="HeadingBase"/>
    <w:next w:val="Normal"/>
    <w:link w:val="Heading5Char"/>
    <w:qFormat/>
    <w:rsid w:val="005B1B91"/>
    <w:pPr>
      <w:spacing w:before="80"/>
      <w:outlineLvl w:val="4"/>
    </w:pPr>
    <w:rPr>
      <w:color w:val="918585"/>
      <w:sz w:val="20"/>
    </w:rPr>
  </w:style>
  <w:style w:type="paragraph" w:styleId="Heading6">
    <w:name w:val="heading 6"/>
    <w:basedOn w:val="HeadingBase"/>
    <w:next w:val="Normal"/>
    <w:link w:val="Heading6Char"/>
    <w:qFormat/>
    <w:rsid w:val="005B1B91"/>
    <w:pPr>
      <w:spacing w:before="60"/>
      <w:outlineLvl w:val="5"/>
    </w:pPr>
    <w:rPr>
      <w:color w:val="918585"/>
      <w:sz w:val="20"/>
    </w:rPr>
  </w:style>
  <w:style w:type="paragraph" w:styleId="Heading7">
    <w:name w:val="heading 7"/>
    <w:basedOn w:val="Normal"/>
    <w:next w:val="Normal"/>
    <w:link w:val="Heading7Char"/>
    <w:qFormat/>
    <w:rsid w:val="005B1B91"/>
    <w:pPr>
      <w:ind w:left="720"/>
      <w:outlineLvl w:val="6"/>
    </w:pPr>
    <w:rPr>
      <w:i/>
    </w:rPr>
  </w:style>
  <w:style w:type="paragraph" w:styleId="Heading8">
    <w:name w:val="heading 8"/>
    <w:basedOn w:val="Normal"/>
    <w:next w:val="Normal"/>
    <w:link w:val="Heading8Char"/>
    <w:qFormat/>
    <w:rsid w:val="005B1B91"/>
    <w:pPr>
      <w:ind w:left="720"/>
      <w:outlineLvl w:val="7"/>
    </w:pPr>
    <w:rPr>
      <w:i/>
    </w:rPr>
  </w:style>
  <w:style w:type="paragraph" w:styleId="Heading9">
    <w:name w:val="heading 9"/>
    <w:basedOn w:val="Normal"/>
    <w:next w:val="Normal"/>
    <w:link w:val="Heading9Char"/>
    <w:qFormat/>
    <w:rsid w:val="005B1B91"/>
    <w:pPr>
      <w:ind w:left="720"/>
      <w:outlineLvl w:val="8"/>
    </w:pPr>
    <w:rPr>
      <w:i/>
    </w:rPr>
  </w:style>
  <w:style w:type="character" w:default="1" w:styleId="DefaultParagraphFont">
    <w:name w:val="Default Paragraph Font"/>
    <w:uiPriority w:val="1"/>
    <w:unhideWhenUsed/>
    <w:rsid w:val="005B1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B91"/>
  </w:style>
  <w:style w:type="character" w:customStyle="1" w:styleId="Heading1Char">
    <w:name w:val="Heading 1 Char"/>
    <w:basedOn w:val="DefaultParagraphFont"/>
    <w:link w:val="Heading1"/>
    <w:rsid w:val="005B1B91"/>
    <w:rPr>
      <w:rFonts w:ascii="Times New Roman" w:eastAsia="Times New Roman" w:hAnsi="Times New Roman" w:cs="Times New Roman"/>
      <w:b/>
      <w:sz w:val="32"/>
      <w:szCs w:val="20"/>
      <w:lang w:eastAsia="en-US"/>
    </w:rPr>
  </w:style>
  <w:style w:type="paragraph" w:styleId="BodyText">
    <w:name w:val="Body Text"/>
    <w:basedOn w:val="Normal"/>
    <w:link w:val="BodyTextChar"/>
    <w:rsid w:val="005B1B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B91"/>
    <w:rPr>
      <w:rFonts w:ascii="Times New Roman" w:eastAsia="Times New Roman" w:hAnsi="Times New Roman" w:cs="Times New Roman"/>
      <w:sz w:val="24"/>
      <w:lang w:eastAsia="en-US"/>
    </w:rPr>
  </w:style>
  <w:style w:type="paragraph" w:styleId="Footer">
    <w:name w:val="footer"/>
    <w:basedOn w:val="Normal"/>
    <w:link w:val="FooterChar"/>
    <w:rsid w:val="005B1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B91"/>
    <w:rPr>
      <w:rFonts w:ascii="Times New Roman" w:eastAsia="Times New Roman" w:hAnsi="Times New Roman" w:cs="Times New Roman"/>
      <w:sz w:val="16"/>
      <w:lang w:eastAsia="en-US"/>
    </w:rPr>
  </w:style>
  <w:style w:type="paragraph" w:styleId="ListBullet">
    <w:name w:val="List Bullet"/>
    <w:basedOn w:val="List"/>
    <w:rsid w:val="005B1B91"/>
    <w:pPr>
      <w:numPr>
        <w:numId w:val="13"/>
      </w:numPr>
      <w:tabs>
        <w:tab w:val="clear" w:pos="340"/>
      </w:tabs>
      <w:spacing w:before="40" w:after="40"/>
    </w:pPr>
  </w:style>
  <w:style w:type="character" w:customStyle="1" w:styleId="SpecialBold">
    <w:name w:val="Special Bold"/>
    <w:basedOn w:val="DefaultParagraphFont"/>
    <w:rsid w:val="005B1B91"/>
    <w:rPr>
      <w:b/>
      <w:spacing w:val="0"/>
    </w:rPr>
  </w:style>
  <w:style w:type="paragraph" w:styleId="ListBullet2">
    <w:name w:val="List Bullet 2"/>
    <w:basedOn w:val="List2"/>
    <w:rsid w:val="005B1B91"/>
    <w:pPr>
      <w:numPr>
        <w:numId w:val="14"/>
      </w:numPr>
      <w:tabs>
        <w:tab w:val="clear" w:pos="680"/>
      </w:tabs>
    </w:pPr>
  </w:style>
  <w:style w:type="paragraph" w:customStyle="1" w:styleId="SuperHeading">
    <w:name w:val="SuperHeading"/>
    <w:basedOn w:val="Normal"/>
    <w:rsid w:val="005B1B91"/>
    <w:pPr>
      <w:spacing w:before="240" w:after="120"/>
      <w:outlineLvl w:val="0"/>
    </w:pPr>
    <w:rPr>
      <w:rFonts w:ascii="Times New Roman" w:hAnsi="Times New Roman"/>
      <w:b/>
      <w:sz w:val="28"/>
    </w:rPr>
  </w:style>
  <w:style w:type="paragraph" w:customStyle="1" w:styleId="AllowPageBreak">
    <w:name w:val="AllowPageBreak"/>
    <w:rsid w:val="005B1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B91"/>
    <w:rPr>
      <w:rFonts w:ascii="Courier New" w:eastAsia="Times New Roman" w:hAnsi="Courier New" w:cs="Times New Roman"/>
      <w:i/>
      <w:szCs w:val="20"/>
      <w:lang w:eastAsia="en-US"/>
    </w:rPr>
  </w:style>
  <w:style w:type="paragraph" w:customStyle="1" w:styleId="HeadingBase">
    <w:name w:val="Heading Base"/>
    <w:rsid w:val="005B1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B91"/>
    <w:pPr>
      <w:tabs>
        <w:tab w:val="right" w:leader="dot" w:pos="9072"/>
      </w:tabs>
      <w:ind w:left="567"/>
    </w:pPr>
    <w:rPr>
      <w:szCs w:val="22"/>
    </w:rPr>
  </w:style>
  <w:style w:type="paragraph" w:customStyle="1" w:styleId="TOCBase">
    <w:name w:val="TOC Base"/>
    <w:rsid w:val="005B1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B91"/>
    <w:pPr>
      <w:tabs>
        <w:tab w:val="right" w:leader="dot" w:pos="9072"/>
      </w:tabs>
      <w:spacing w:before="40" w:after="40"/>
      <w:ind w:left="284"/>
    </w:pPr>
    <w:rPr>
      <w:rFonts w:ascii="Times New Roman" w:hAnsi="Times New Roman"/>
    </w:rPr>
  </w:style>
  <w:style w:type="paragraph" w:styleId="TOC1">
    <w:name w:val="toc 1"/>
    <w:basedOn w:val="TOCBase"/>
    <w:next w:val="Normal"/>
    <w:rsid w:val="005B1B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B91"/>
    <w:pPr>
      <w:spacing w:before="5040"/>
      <w:jc w:val="center"/>
    </w:pPr>
    <w:rPr>
      <w:sz w:val="48"/>
      <w:szCs w:val="72"/>
      <w:lang w:val="en-US"/>
    </w:rPr>
  </w:style>
  <w:style w:type="character" w:customStyle="1" w:styleId="TitleChar">
    <w:name w:val="Title Char"/>
    <w:basedOn w:val="DefaultParagraphFont"/>
    <w:link w:val="Title"/>
    <w:rsid w:val="005B1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B91"/>
    <w:pPr>
      <w:tabs>
        <w:tab w:val="left" w:pos="3600"/>
        <w:tab w:val="left" w:pos="3958"/>
      </w:tabs>
    </w:pPr>
  </w:style>
  <w:style w:type="paragraph" w:styleId="List">
    <w:name w:val="List"/>
    <w:basedOn w:val="BodyText"/>
    <w:next w:val="BodyText"/>
    <w:rsid w:val="005B1B91"/>
    <w:pPr>
      <w:tabs>
        <w:tab w:val="left" w:pos="340"/>
      </w:tabs>
      <w:spacing w:before="60" w:after="60"/>
      <w:ind w:left="340" w:hanging="340"/>
    </w:pPr>
  </w:style>
  <w:style w:type="paragraph" w:customStyle="1" w:styleId="Note">
    <w:name w:val="Note"/>
    <w:basedOn w:val="BodyText"/>
    <w:rsid w:val="005B1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B91"/>
    <w:pPr>
      <w:framePr w:wrap="auto" w:hAnchor="text" w:y="6049"/>
    </w:pPr>
    <w:rPr>
      <w:color w:val="000000"/>
      <w:sz w:val="40"/>
    </w:rPr>
  </w:style>
  <w:style w:type="paragraph" w:customStyle="1" w:styleId="TOCTitle">
    <w:name w:val="TOCTitle"/>
    <w:basedOn w:val="Heading1"/>
    <w:rsid w:val="005B1B91"/>
    <w:pPr>
      <w:spacing w:after="240"/>
      <w:jc w:val="center"/>
      <w:outlineLvl w:val="9"/>
    </w:pPr>
    <w:rPr>
      <w:caps/>
    </w:rPr>
  </w:style>
  <w:style w:type="paragraph" w:customStyle="1" w:styleId="Version">
    <w:name w:val="Version"/>
    <w:rsid w:val="005B1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B91"/>
    <w:pPr>
      <w:keepNext w:val="0"/>
      <w:tabs>
        <w:tab w:val="right" w:pos="4176"/>
      </w:tabs>
      <w:ind w:left="198" w:hanging="198"/>
    </w:pPr>
    <w:rPr>
      <w:rFonts w:ascii="Garamond" w:hAnsi="Garamond"/>
    </w:rPr>
  </w:style>
  <w:style w:type="paragraph" w:styleId="IndexHeading">
    <w:name w:val="index heading"/>
    <w:basedOn w:val="Normal"/>
    <w:next w:val="Index1"/>
    <w:semiHidden/>
    <w:rsid w:val="005B1B91"/>
    <w:pPr>
      <w:spacing w:before="120" w:after="120"/>
    </w:pPr>
    <w:rPr>
      <w:rFonts w:ascii="Arial" w:hAnsi="Arial"/>
      <w:b/>
      <w:color w:val="918585"/>
      <w:sz w:val="24"/>
    </w:rPr>
  </w:style>
  <w:style w:type="paragraph" w:styleId="Header">
    <w:name w:val="header"/>
    <w:basedOn w:val="Normal"/>
    <w:link w:val="HeaderChar"/>
    <w:rsid w:val="005B1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B91"/>
    <w:rPr>
      <w:rFonts w:ascii="Times New Roman" w:eastAsia="Times New Roman" w:hAnsi="Times New Roman" w:cs="Times New Roman"/>
      <w:sz w:val="16"/>
      <w:szCs w:val="20"/>
      <w:lang w:val="en-GB" w:eastAsia="en-US"/>
    </w:rPr>
  </w:style>
  <w:style w:type="paragraph" w:customStyle="1" w:styleId="Chapter">
    <w:name w:val="Chapter"/>
    <w:basedOn w:val="Normal"/>
    <w:rsid w:val="005B1B91"/>
    <w:pPr>
      <w:spacing w:before="240"/>
    </w:pPr>
    <w:rPr>
      <w:rFonts w:ascii="Times New Roman" w:hAnsi="Times New Roman"/>
      <w:smallCaps/>
      <w:spacing w:val="80"/>
      <w:sz w:val="28"/>
    </w:rPr>
  </w:style>
  <w:style w:type="paragraph" w:customStyle="1" w:styleId="InChapter">
    <w:name w:val="InChapter"/>
    <w:basedOn w:val="Heading3"/>
    <w:rsid w:val="005B1B91"/>
    <w:pPr>
      <w:spacing w:after="240"/>
      <w:outlineLvl w:val="9"/>
    </w:pPr>
    <w:rPr>
      <w:noProof/>
    </w:rPr>
  </w:style>
  <w:style w:type="paragraph" w:styleId="Index2">
    <w:name w:val="index 2"/>
    <w:basedOn w:val="Normal"/>
    <w:next w:val="Normal"/>
    <w:semiHidden/>
    <w:rsid w:val="005B1B91"/>
    <w:pPr>
      <w:tabs>
        <w:tab w:val="right" w:pos="4176"/>
      </w:tabs>
      <w:ind w:left="568" w:hanging="284"/>
    </w:pPr>
    <w:rPr>
      <w:rFonts w:ascii="Garamond" w:hAnsi="Garamond"/>
    </w:rPr>
  </w:style>
  <w:style w:type="paragraph" w:customStyle="1" w:styleId="Byline">
    <w:name w:val="Byline"/>
    <w:rsid w:val="005B1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B91"/>
    <w:pPr>
      <w:tabs>
        <w:tab w:val="clear" w:pos="3600"/>
        <w:tab w:val="clear" w:pos="3958"/>
      </w:tabs>
      <w:jc w:val="right"/>
    </w:pPr>
  </w:style>
  <w:style w:type="character" w:styleId="Emphasis">
    <w:name w:val="Emphasis"/>
    <w:basedOn w:val="DefaultParagraphFont"/>
    <w:qFormat/>
    <w:rsid w:val="005B1B91"/>
    <w:rPr>
      <w:i/>
    </w:rPr>
  </w:style>
  <w:style w:type="paragraph" w:styleId="Caption">
    <w:name w:val="caption"/>
    <w:basedOn w:val="BodyText"/>
    <w:next w:val="Normal"/>
    <w:qFormat/>
    <w:rsid w:val="005B1B91"/>
    <w:pPr>
      <w:framePr w:w="2268" w:hSpace="181" w:vSpace="181" w:wrap="around" w:vAnchor="text" w:hAnchor="page" w:x="1135" w:y="285" w:anchorLock="1"/>
    </w:pPr>
    <w:rPr>
      <w:i/>
    </w:rPr>
  </w:style>
  <w:style w:type="paragraph" w:customStyle="1" w:styleId="MiniTOCTitle">
    <w:name w:val="MiniTOCTitle"/>
    <w:basedOn w:val="Heading4"/>
    <w:rsid w:val="005B1B91"/>
    <w:pPr>
      <w:spacing w:before="240"/>
      <w:outlineLvl w:val="9"/>
    </w:pPr>
    <w:rPr>
      <w:noProof/>
      <w:sz w:val="24"/>
    </w:rPr>
  </w:style>
  <w:style w:type="paragraph" w:customStyle="1" w:styleId="MiniTOCItem">
    <w:name w:val="MiniTOCItem"/>
    <w:basedOn w:val="ListBullet"/>
    <w:rsid w:val="005B1B91"/>
    <w:pPr>
      <w:numPr>
        <w:numId w:val="0"/>
      </w:numPr>
      <w:tabs>
        <w:tab w:val="right" w:leader="dot" w:pos="6521"/>
      </w:tabs>
      <w:spacing w:before="0" w:after="0"/>
    </w:pPr>
  </w:style>
  <w:style w:type="paragraph" w:customStyle="1" w:styleId="TOFTitle">
    <w:name w:val="TOFTitle"/>
    <w:basedOn w:val="TOCTitle"/>
    <w:rsid w:val="005B1B91"/>
  </w:style>
  <w:style w:type="paragraph" w:styleId="TableofFigures">
    <w:name w:val="table of figures"/>
    <w:basedOn w:val="Normal"/>
    <w:next w:val="Normal"/>
    <w:semiHidden/>
    <w:rsid w:val="005B1B91"/>
    <w:pPr>
      <w:tabs>
        <w:tab w:val="right" w:leader="dot" w:pos="9072"/>
      </w:tabs>
      <w:ind w:left="970" w:hanging="403"/>
    </w:pPr>
    <w:rPr>
      <w:rFonts w:ascii="Times New Roman" w:hAnsi="Times New Roman"/>
      <w:b/>
    </w:rPr>
  </w:style>
  <w:style w:type="paragraph" w:styleId="ListNumber">
    <w:name w:val="List Number"/>
    <w:basedOn w:val="List"/>
    <w:rsid w:val="005B1B91"/>
    <w:pPr>
      <w:numPr>
        <w:numId w:val="11"/>
      </w:numPr>
    </w:pPr>
  </w:style>
  <w:style w:type="character" w:customStyle="1" w:styleId="WingdingSymbols">
    <w:name w:val="Wingding Symbols"/>
    <w:rsid w:val="005B1B91"/>
    <w:rPr>
      <w:rFonts w:ascii="Wingdings" w:hAnsi="Wingdings"/>
    </w:rPr>
  </w:style>
  <w:style w:type="paragraph" w:customStyle="1" w:styleId="TableHeading">
    <w:name w:val="Table Heading"/>
    <w:basedOn w:val="HeadingBase"/>
    <w:rsid w:val="005B1B91"/>
    <w:pPr>
      <w:keepLines/>
      <w:pBdr>
        <w:bottom w:val="single" w:sz="6" w:space="1" w:color="918585"/>
      </w:pBdr>
      <w:spacing w:before="240"/>
    </w:pPr>
  </w:style>
  <w:style w:type="character" w:customStyle="1" w:styleId="HotSpot">
    <w:name w:val="HotSpot"/>
    <w:rsid w:val="005B1B91"/>
    <w:rPr>
      <w:color w:val="0033CC"/>
      <w:u w:val="none"/>
    </w:rPr>
  </w:style>
  <w:style w:type="paragraph" w:customStyle="1" w:styleId="BodyTextRight">
    <w:name w:val="Body Text Right"/>
    <w:basedOn w:val="BodyText"/>
    <w:rsid w:val="005B1B91"/>
    <w:pPr>
      <w:spacing w:before="0" w:after="0"/>
      <w:jc w:val="right"/>
    </w:pPr>
  </w:style>
  <w:style w:type="paragraph" w:styleId="Index3">
    <w:name w:val="index 3"/>
    <w:basedOn w:val="ListNumber2"/>
    <w:next w:val="Normal"/>
    <w:semiHidden/>
    <w:rsid w:val="005B1B91"/>
    <w:pPr>
      <w:numPr>
        <w:numId w:val="0"/>
      </w:numPr>
      <w:tabs>
        <w:tab w:val="right" w:leader="dot" w:pos="4176"/>
      </w:tabs>
    </w:pPr>
  </w:style>
  <w:style w:type="paragraph" w:styleId="ListNumber2">
    <w:name w:val="List Number 2"/>
    <w:basedOn w:val="List2"/>
    <w:rsid w:val="005B1B91"/>
    <w:pPr>
      <w:numPr>
        <w:numId w:val="10"/>
      </w:numPr>
      <w:tabs>
        <w:tab w:val="clear" w:pos="1060"/>
      </w:tabs>
    </w:pPr>
  </w:style>
  <w:style w:type="paragraph" w:customStyle="1" w:styleId="MarginNote">
    <w:name w:val="Margin Note"/>
    <w:basedOn w:val="BodyText"/>
    <w:rsid w:val="005B1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B91"/>
    <w:rPr>
      <w:sz w:val="32"/>
    </w:rPr>
  </w:style>
  <w:style w:type="paragraph" w:customStyle="1" w:styleId="HeadingProcedure">
    <w:name w:val="Heading Procedure"/>
    <w:basedOn w:val="HeadingBase"/>
    <w:next w:val="Normal"/>
    <w:rsid w:val="005B1B91"/>
    <w:pPr>
      <w:tabs>
        <w:tab w:val="left" w:pos="0"/>
      </w:tabs>
      <w:spacing w:before="120" w:after="60"/>
    </w:pPr>
    <w:rPr>
      <w:i/>
      <w:color w:val="918585"/>
      <w:sz w:val="22"/>
    </w:rPr>
  </w:style>
  <w:style w:type="paragraph" w:customStyle="1" w:styleId="TableBodyText">
    <w:name w:val="Table Body Text"/>
    <w:basedOn w:val="BodyText"/>
    <w:rsid w:val="005B1B91"/>
    <w:pPr>
      <w:spacing w:before="60" w:after="60"/>
    </w:pPr>
  </w:style>
  <w:style w:type="paragraph" w:styleId="ListContinue">
    <w:name w:val="List Continue"/>
    <w:basedOn w:val="List"/>
    <w:rsid w:val="005B1B91"/>
    <w:pPr>
      <w:ind w:firstLine="0"/>
    </w:pPr>
  </w:style>
  <w:style w:type="paragraph" w:customStyle="1" w:styleId="ListNote">
    <w:name w:val="List Note"/>
    <w:basedOn w:val="List"/>
    <w:rsid w:val="005B1B91"/>
    <w:pPr>
      <w:pBdr>
        <w:top w:val="single" w:sz="6" w:space="2" w:color="918585"/>
        <w:bottom w:val="single" w:sz="6" w:space="2" w:color="918585"/>
      </w:pBdr>
      <w:tabs>
        <w:tab w:val="left" w:pos="1021"/>
      </w:tabs>
      <w:ind w:firstLine="0"/>
    </w:pPr>
  </w:style>
  <w:style w:type="paragraph" w:customStyle="1" w:styleId="Warning">
    <w:name w:val="Warning"/>
    <w:basedOn w:val="BodyText"/>
    <w:rsid w:val="005B1B91"/>
    <w:pPr>
      <w:shd w:val="clear" w:color="auto" w:fill="D9D9D9"/>
      <w:tabs>
        <w:tab w:val="left" w:pos="992"/>
      </w:tabs>
      <w:ind w:left="119" w:right="119"/>
    </w:pPr>
    <w:rPr>
      <w:sz w:val="20"/>
    </w:rPr>
  </w:style>
  <w:style w:type="paragraph" w:customStyle="1" w:styleId="MarginIcons">
    <w:name w:val="Margin Icons"/>
    <w:basedOn w:val="BodyText"/>
    <w:rsid w:val="005B1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B91"/>
    <w:rPr>
      <w:rFonts w:ascii="Courier New" w:hAnsi="Courier New"/>
    </w:rPr>
  </w:style>
  <w:style w:type="paragraph" w:customStyle="1" w:styleId="NoteBullet">
    <w:name w:val="Note Bullet"/>
    <w:basedOn w:val="Note"/>
    <w:rsid w:val="005B1B91"/>
    <w:pPr>
      <w:tabs>
        <w:tab w:val="clear" w:pos="680"/>
      </w:tabs>
      <w:spacing w:before="60" w:after="60"/>
    </w:pPr>
  </w:style>
  <w:style w:type="paragraph" w:customStyle="1" w:styleId="SubHeading2">
    <w:name w:val="SubHeading2"/>
    <w:basedOn w:val="HeadingBase"/>
    <w:rsid w:val="005B1B91"/>
    <w:pPr>
      <w:spacing w:before="240" w:after="60"/>
    </w:pPr>
    <w:rPr>
      <w:sz w:val="20"/>
    </w:rPr>
  </w:style>
  <w:style w:type="paragraph" w:customStyle="1" w:styleId="SubHeading1">
    <w:name w:val="SubHeading1"/>
    <w:basedOn w:val="HeadingBase"/>
    <w:rsid w:val="005B1B91"/>
    <w:pPr>
      <w:spacing w:before="240" w:after="60"/>
    </w:pPr>
    <w:rPr>
      <w:color w:val="918585"/>
      <w:sz w:val="22"/>
    </w:rPr>
  </w:style>
  <w:style w:type="paragraph" w:customStyle="1" w:styleId="SideHeading">
    <w:name w:val="Side Heading"/>
    <w:basedOn w:val="HeadingBase"/>
    <w:rsid w:val="005B1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B91"/>
    <w:pPr>
      <w:numPr>
        <w:numId w:val="12"/>
      </w:numPr>
    </w:pPr>
  </w:style>
  <w:style w:type="paragraph" w:styleId="PlainText">
    <w:name w:val="Plain Text"/>
    <w:basedOn w:val="Normal"/>
    <w:link w:val="PlainTextChar"/>
    <w:rsid w:val="005B1B91"/>
    <w:rPr>
      <w:sz w:val="20"/>
    </w:rPr>
  </w:style>
  <w:style w:type="character" w:customStyle="1" w:styleId="PlainTextChar">
    <w:name w:val="Plain Text Char"/>
    <w:basedOn w:val="DefaultParagraphFont"/>
    <w:link w:val="PlainText"/>
    <w:rsid w:val="005B1B91"/>
    <w:rPr>
      <w:rFonts w:ascii="Courier New" w:eastAsia="Times New Roman" w:hAnsi="Courier New" w:cs="Times New Roman"/>
      <w:sz w:val="20"/>
      <w:szCs w:val="20"/>
      <w:lang w:eastAsia="en-US"/>
    </w:rPr>
  </w:style>
  <w:style w:type="character" w:customStyle="1" w:styleId="MenuOption">
    <w:name w:val="Menu Option"/>
    <w:basedOn w:val="DefaultParagraphFont"/>
    <w:rsid w:val="005B1B91"/>
    <w:rPr>
      <w:b/>
      <w:smallCaps/>
    </w:rPr>
  </w:style>
  <w:style w:type="paragraph" w:customStyle="1" w:styleId="TableListNumber">
    <w:name w:val="Table List Number"/>
    <w:basedOn w:val="ListNumber"/>
    <w:rsid w:val="005B1B91"/>
    <w:pPr>
      <w:numPr>
        <w:numId w:val="0"/>
      </w:numPr>
    </w:pPr>
  </w:style>
  <w:style w:type="paragraph" w:styleId="TOC4">
    <w:name w:val="toc 4"/>
    <w:basedOn w:val="TOCBase"/>
    <w:next w:val="Normal"/>
    <w:semiHidden/>
    <w:rsid w:val="005B1B91"/>
    <w:pPr>
      <w:tabs>
        <w:tab w:val="right" w:leader="dot" w:pos="9071"/>
      </w:tabs>
      <w:ind w:left="1701"/>
    </w:pPr>
  </w:style>
  <w:style w:type="paragraph" w:customStyle="1" w:styleId="ListAlpha">
    <w:name w:val="List Alpha"/>
    <w:basedOn w:val="List"/>
    <w:rsid w:val="005B1B91"/>
    <w:pPr>
      <w:numPr>
        <w:numId w:val="9"/>
      </w:numPr>
    </w:pPr>
  </w:style>
  <w:style w:type="paragraph" w:customStyle="1" w:styleId="ListAlpha2">
    <w:name w:val="List Alpha 2"/>
    <w:basedOn w:val="List2"/>
    <w:rsid w:val="005B1B91"/>
    <w:pPr>
      <w:numPr>
        <w:numId w:val="8"/>
      </w:numPr>
    </w:pPr>
  </w:style>
  <w:style w:type="paragraph" w:styleId="List2">
    <w:name w:val="List 2"/>
    <w:basedOn w:val="BodyText"/>
    <w:rsid w:val="005B1B91"/>
    <w:pPr>
      <w:tabs>
        <w:tab w:val="left" w:pos="680"/>
      </w:tabs>
      <w:spacing w:before="60" w:after="60"/>
      <w:ind w:left="680" w:hanging="340"/>
    </w:pPr>
  </w:style>
  <w:style w:type="paragraph" w:styleId="List3">
    <w:name w:val="List 3"/>
    <w:basedOn w:val="BodyText"/>
    <w:rsid w:val="005B1B91"/>
    <w:pPr>
      <w:tabs>
        <w:tab w:val="left" w:pos="1021"/>
      </w:tabs>
      <w:spacing w:before="60" w:after="60"/>
      <w:ind w:left="1020" w:hanging="340"/>
    </w:pPr>
  </w:style>
  <w:style w:type="paragraph" w:styleId="List4">
    <w:name w:val="List 4"/>
    <w:basedOn w:val="BodyText"/>
    <w:rsid w:val="005B1B91"/>
    <w:pPr>
      <w:tabs>
        <w:tab w:val="left" w:pos="1361"/>
      </w:tabs>
      <w:spacing w:before="60" w:after="60"/>
      <w:ind w:left="1361" w:hanging="340"/>
    </w:pPr>
  </w:style>
  <w:style w:type="paragraph" w:styleId="List5">
    <w:name w:val="List 5"/>
    <w:basedOn w:val="BodyText"/>
    <w:rsid w:val="005B1B91"/>
    <w:pPr>
      <w:tabs>
        <w:tab w:val="left" w:pos="1701"/>
      </w:tabs>
      <w:spacing w:before="60" w:after="60"/>
      <w:ind w:left="1701" w:hanging="340"/>
    </w:pPr>
  </w:style>
  <w:style w:type="paragraph" w:styleId="ListBullet3">
    <w:name w:val="List Bullet 3"/>
    <w:basedOn w:val="List3"/>
    <w:rsid w:val="005B1B91"/>
    <w:pPr>
      <w:numPr>
        <w:numId w:val="15"/>
      </w:numPr>
      <w:tabs>
        <w:tab w:val="clear" w:pos="1021"/>
      </w:tabs>
      <w:ind w:left="1037" w:hanging="357"/>
    </w:pPr>
  </w:style>
  <w:style w:type="paragraph" w:styleId="ListBullet4">
    <w:name w:val="List Bullet 4"/>
    <w:basedOn w:val="List4"/>
    <w:rsid w:val="005B1B91"/>
    <w:pPr>
      <w:numPr>
        <w:numId w:val="3"/>
      </w:numPr>
    </w:pPr>
  </w:style>
  <w:style w:type="paragraph" w:styleId="ListBullet5">
    <w:name w:val="List Bullet 5"/>
    <w:basedOn w:val="List5"/>
    <w:rsid w:val="005B1B91"/>
    <w:pPr>
      <w:numPr>
        <w:numId w:val="4"/>
      </w:numPr>
    </w:pPr>
  </w:style>
  <w:style w:type="paragraph" w:styleId="ListContinue2">
    <w:name w:val="List Continue 2"/>
    <w:basedOn w:val="List2"/>
    <w:rsid w:val="005B1B91"/>
    <w:pPr>
      <w:ind w:firstLine="0"/>
    </w:pPr>
  </w:style>
  <w:style w:type="paragraph" w:styleId="ListContinue3">
    <w:name w:val="List Continue 3"/>
    <w:basedOn w:val="List3"/>
    <w:rsid w:val="005B1B91"/>
    <w:pPr>
      <w:ind w:left="1021" w:firstLine="0"/>
    </w:pPr>
  </w:style>
  <w:style w:type="paragraph" w:styleId="ListContinue4">
    <w:name w:val="List Continue 4"/>
    <w:basedOn w:val="List4"/>
    <w:rsid w:val="005B1B91"/>
    <w:pPr>
      <w:ind w:firstLine="0"/>
    </w:pPr>
  </w:style>
  <w:style w:type="paragraph" w:styleId="ListContinue5">
    <w:name w:val="List Continue 5"/>
    <w:basedOn w:val="List5"/>
    <w:rsid w:val="005B1B91"/>
    <w:pPr>
      <w:ind w:firstLine="0"/>
    </w:pPr>
  </w:style>
  <w:style w:type="paragraph" w:styleId="ListNumber3">
    <w:name w:val="List Number 3"/>
    <w:basedOn w:val="List3"/>
    <w:rsid w:val="005B1B91"/>
    <w:pPr>
      <w:numPr>
        <w:numId w:val="5"/>
      </w:numPr>
    </w:pPr>
  </w:style>
  <w:style w:type="paragraph" w:styleId="ListNumber4">
    <w:name w:val="List Number 4"/>
    <w:basedOn w:val="List4"/>
    <w:rsid w:val="005B1B91"/>
    <w:pPr>
      <w:numPr>
        <w:numId w:val="6"/>
      </w:numPr>
    </w:pPr>
  </w:style>
  <w:style w:type="paragraph" w:styleId="ListNumber5">
    <w:name w:val="List Number 5"/>
    <w:basedOn w:val="List5"/>
    <w:rsid w:val="005B1B91"/>
    <w:pPr>
      <w:numPr>
        <w:numId w:val="7"/>
      </w:numPr>
    </w:pPr>
  </w:style>
  <w:style w:type="paragraph" w:styleId="BlockText">
    <w:name w:val="Block Text"/>
    <w:basedOn w:val="Normal"/>
    <w:rsid w:val="005B1B91"/>
    <w:pPr>
      <w:spacing w:after="120"/>
      <w:ind w:left="1440" w:right="1440"/>
    </w:pPr>
  </w:style>
  <w:style w:type="character" w:customStyle="1" w:styleId="Subscript">
    <w:name w:val="Subscript"/>
    <w:basedOn w:val="DefaultParagraphFont"/>
    <w:rsid w:val="005B1B91"/>
    <w:rPr>
      <w:sz w:val="16"/>
      <w:vertAlign w:val="subscript"/>
    </w:rPr>
  </w:style>
  <w:style w:type="character" w:customStyle="1" w:styleId="Superscript">
    <w:name w:val="Superscript"/>
    <w:basedOn w:val="DefaultParagraphFont"/>
    <w:rsid w:val="005B1B91"/>
    <w:rPr>
      <w:sz w:val="16"/>
      <w:vertAlign w:val="superscript"/>
    </w:rPr>
  </w:style>
  <w:style w:type="character" w:customStyle="1" w:styleId="Symbols">
    <w:name w:val="Symbols"/>
    <w:basedOn w:val="DefaultParagraphFont"/>
    <w:rsid w:val="005B1B91"/>
    <w:rPr>
      <w:rFonts w:ascii="Symbol" w:hAnsi="Symbol"/>
    </w:rPr>
  </w:style>
  <w:style w:type="character" w:customStyle="1" w:styleId="MenuOptions">
    <w:name w:val="Menu Options"/>
    <w:basedOn w:val="DefaultParagraphFont"/>
    <w:rsid w:val="005B1B91"/>
    <w:rPr>
      <w:rFonts w:ascii="Arial Narrow" w:hAnsi="Arial Narrow"/>
      <w:smallCaps/>
    </w:rPr>
  </w:style>
  <w:style w:type="character" w:customStyle="1" w:styleId="Buttons">
    <w:name w:val="Buttons"/>
    <w:basedOn w:val="DefaultParagraphFont"/>
    <w:rsid w:val="005B1B91"/>
    <w:rPr>
      <w:b/>
    </w:rPr>
  </w:style>
  <w:style w:type="character" w:customStyle="1" w:styleId="Underlined">
    <w:name w:val="Underlined"/>
    <w:basedOn w:val="DefaultParagraphFont"/>
    <w:rsid w:val="005B1B91"/>
    <w:rPr>
      <w:u w:val="single"/>
    </w:rPr>
  </w:style>
  <w:style w:type="paragraph" w:customStyle="1" w:styleId="TableBodyTextRight">
    <w:name w:val="Table Body Text Right"/>
    <w:basedOn w:val="TableBodyText"/>
    <w:rsid w:val="005B1B91"/>
    <w:pPr>
      <w:widowControl w:val="0"/>
      <w:autoSpaceDE w:val="0"/>
      <w:autoSpaceDN w:val="0"/>
      <w:adjustRightInd w:val="0"/>
      <w:jc w:val="right"/>
    </w:pPr>
    <w:rPr>
      <w:rFonts w:cs="Arial"/>
      <w:szCs w:val="18"/>
    </w:rPr>
  </w:style>
  <w:style w:type="paragraph" w:customStyle="1" w:styleId="CopyrightText">
    <w:name w:val="Copyright Text"/>
    <w:basedOn w:val="BodyText"/>
    <w:rsid w:val="005B1B91"/>
    <w:rPr>
      <w:sz w:val="18"/>
    </w:rPr>
  </w:style>
  <w:style w:type="paragraph" w:customStyle="1" w:styleId="BodySmallRight">
    <w:name w:val="Body Small Right"/>
    <w:basedOn w:val="BodyTextRight"/>
    <w:rsid w:val="005B1B91"/>
    <w:rPr>
      <w:sz w:val="18"/>
      <w:szCs w:val="18"/>
    </w:rPr>
  </w:style>
  <w:style w:type="paragraph" w:customStyle="1" w:styleId="MarginEdition">
    <w:name w:val="Margin Edition"/>
    <w:basedOn w:val="MarginNote"/>
    <w:rsid w:val="005B1B91"/>
    <w:pPr>
      <w:spacing w:before="0" w:after="0"/>
    </w:pPr>
    <w:rPr>
      <w:rFonts w:ascii="Times New Roman" w:hAnsi="Times New Roman"/>
      <w:color w:val="999999"/>
    </w:rPr>
  </w:style>
  <w:style w:type="paragraph" w:customStyle="1" w:styleId="Spacer">
    <w:name w:val="Spacer"/>
    <w:basedOn w:val="Normal"/>
    <w:rsid w:val="005B1B91"/>
    <w:rPr>
      <w:sz w:val="2"/>
      <w:szCs w:val="2"/>
    </w:rPr>
  </w:style>
  <w:style w:type="character" w:customStyle="1" w:styleId="Small">
    <w:name w:val="Small"/>
    <w:basedOn w:val="DefaultParagraphFont"/>
    <w:rsid w:val="005B1B91"/>
    <w:rPr>
      <w:sz w:val="16"/>
    </w:rPr>
  </w:style>
  <w:style w:type="paragraph" w:customStyle="1" w:styleId="WideTable">
    <w:name w:val="Wide Table"/>
    <w:basedOn w:val="Normal"/>
    <w:rsid w:val="005B1B91"/>
    <w:pPr>
      <w:ind w:left="-1418"/>
    </w:pPr>
    <w:rPr>
      <w:sz w:val="2"/>
      <w:szCs w:val="2"/>
    </w:rPr>
  </w:style>
  <w:style w:type="character" w:styleId="PageNumber">
    <w:name w:val="page number"/>
    <w:basedOn w:val="DefaultParagraphFont"/>
    <w:rsid w:val="005B1B91"/>
  </w:style>
  <w:style w:type="paragraph" w:styleId="Quote">
    <w:name w:val="Quote"/>
    <w:basedOn w:val="Heading1"/>
    <w:link w:val="QuoteChar"/>
    <w:qFormat/>
    <w:rsid w:val="005B1B91"/>
    <w:rPr>
      <w:b w:val="0"/>
      <w:sz w:val="72"/>
      <w:szCs w:val="72"/>
      <w:lang w:val="en-NZ"/>
    </w:rPr>
  </w:style>
  <w:style w:type="character" w:customStyle="1" w:styleId="QuoteChar">
    <w:name w:val="Quote Char"/>
    <w:basedOn w:val="DefaultParagraphFont"/>
    <w:link w:val="Quote"/>
    <w:rsid w:val="005B1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B91"/>
    <w:pPr>
      <w:pageBreakBefore/>
    </w:pPr>
  </w:style>
  <w:style w:type="paragraph" w:customStyle="1" w:styleId="Border">
    <w:name w:val="Border"/>
    <w:basedOn w:val="Normal"/>
    <w:qFormat/>
    <w:rsid w:val="005B1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B91"/>
    <w:rPr>
      <w:b/>
      <w:bCs/>
      <w:i/>
      <w:iCs/>
      <w:color w:val="auto"/>
    </w:rPr>
  </w:style>
  <w:style w:type="paragraph" w:styleId="IntenseQuote">
    <w:name w:val="Intense Quote"/>
    <w:basedOn w:val="Normal"/>
    <w:next w:val="Normal"/>
    <w:link w:val="IntenseQuoteChar"/>
    <w:uiPriority w:val="30"/>
    <w:qFormat/>
    <w:rsid w:val="005B1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B91"/>
    <w:rPr>
      <w:smallCaps/>
      <w:color w:val="auto"/>
      <w:u w:val="single"/>
    </w:rPr>
  </w:style>
  <w:style w:type="character" w:styleId="IntenseReference">
    <w:name w:val="Intense Reference"/>
    <w:basedOn w:val="DefaultParagraphFont"/>
    <w:uiPriority w:val="32"/>
    <w:qFormat/>
    <w:rsid w:val="005B1B91"/>
    <w:rPr>
      <w:b/>
      <w:bCs/>
      <w:smallCaps/>
      <w:color w:val="auto"/>
      <w:spacing w:val="5"/>
      <w:u w:val="single"/>
    </w:rPr>
  </w:style>
  <w:style w:type="paragraph" w:customStyle="1" w:styleId="2ColumnHeading">
    <w:name w:val="2Column Heading"/>
    <w:basedOn w:val="BodyText"/>
    <w:qFormat/>
    <w:rsid w:val="005B1B91"/>
    <w:pPr>
      <w:spacing w:after="60"/>
      <w:ind w:left="-2268"/>
    </w:pPr>
    <w:rPr>
      <w:b/>
    </w:rPr>
  </w:style>
  <w:style w:type="paragraph" w:customStyle="1" w:styleId="Heading1TOC">
    <w:name w:val="Heading1 TOC"/>
    <w:basedOn w:val="Normal"/>
    <w:qFormat/>
    <w:rsid w:val="005B1B91"/>
    <w:pPr>
      <w:spacing w:before="240" w:after="120"/>
    </w:pPr>
    <w:rPr>
      <w:rFonts w:ascii="Times New Roman" w:hAnsi="Times New Roman"/>
      <w:b/>
      <w:sz w:val="32"/>
    </w:rPr>
  </w:style>
  <w:style w:type="paragraph" w:customStyle="1" w:styleId="Heading2TOC">
    <w:name w:val="Heading2 TOC"/>
    <w:basedOn w:val="Normal"/>
    <w:qFormat/>
    <w:rsid w:val="005B1B91"/>
    <w:pPr>
      <w:spacing w:before="240" w:after="60"/>
    </w:pPr>
    <w:rPr>
      <w:rFonts w:ascii="Times New Roman" w:hAnsi="Times New Roman"/>
      <w:b/>
      <w:sz w:val="28"/>
    </w:rPr>
  </w:style>
  <w:style w:type="character" w:customStyle="1" w:styleId="Underline">
    <w:name w:val="Underline"/>
    <w:basedOn w:val="DefaultParagraphFont"/>
    <w:qFormat/>
    <w:rsid w:val="005B1B91"/>
    <w:rPr>
      <w:u w:val="single"/>
    </w:rPr>
  </w:style>
  <w:style w:type="character" w:customStyle="1" w:styleId="BoldandItalics">
    <w:name w:val="Bold and Italics"/>
    <w:qFormat/>
    <w:rsid w:val="005B1B91"/>
    <w:rPr>
      <w:b/>
      <w:i/>
      <w:u w:val="none"/>
    </w:rPr>
  </w:style>
  <w:style w:type="paragraph" w:styleId="BalloonText">
    <w:name w:val="Balloon Text"/>
    <w:basedOn w:val="Normal"/>
    <w:link w:val="BalloonTextChar"/>
    <w:rsid w:val="005B1B91"/>
    <w:rPr>
      <w:rFonts w:ascii="Tahoma" w:hAnsi="Tahoma" w:cs="Tahoma"/>
      <w:sz w:val="16"/>
      <w:szCs w:val="16"/>
    </w:rPr>
  </w:style>
  <w:style w:type="character" w:customStyle="1" w:styleId="BalloonTextChar">
    <w:name w:val="Balloon Text Char"/>
    <w:basedOn w:val="DefaultParagraphFont"/>
    <w:link w:val="BalloonText"/>
    <w:rsid w:val="005B1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B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B91"/>
    <w:rPr>
      <w:b/>
      <w:color w:val="660033"/>
      <w:spacing w:val="0"/>
    </w:rPr>
  </w:style>
  <w:style w:type="paragraph" w:customStyle="1" w:styleId="Nameditemlist">
    <w:name w:val="Named item list"/>
    <w:basedOn w:val="BodyText"/>
    <w:qFormat/>
    <w:rsid w:val="005B1B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2621</Words>
  <Characters>16726</Characters>
  <Application>Microsoft Office Word</Application>
  <DocSecurity>0</DocSecurity>
  <Lines>651</Lines>
  <Paragraphs>259</Paragraphs>
  <ScaleCrop>false</ScaleCrop>
  <Company>Author-it Software Corporation Ltd.</Company>
  <LinksUpToDate>false</LinksUpToDate>
  <CharactersWithSpaces>19136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UETTDRDS24B Design transmission and sub-transmission protection and control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2012-10-11T21:42:00Z</dcterms:created>
  <dcterms:modified xsi:type="dcterms:W3CDTF">2012-10-11T21:42:00Z</dcterms:modified>
</cp:coreProperties>
</file>