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45C" w:rsidP="001F245C">
      <w:pPr>
        <w:pStyle w:val="Title"/>
      </w:pPr>
      <w:r>
        <w:fldChar w:fldCharType="begin"/>
      </w:r>
      <w:r>
        <w:instrText xml:space="preserve"> TITLE   \* MERGEFORMAT </w:instrText>
      </w:r>
      <w:r>
        <w:fldChar w:fldCharType="separate"/>
      </w:r>
      <w:r>
        <w:t>UETTDRDS21B Manage transmission and sub-transmission design process</w:t>
      </w:r>
      <w:r>
        <w:fldChar w:fldCharType="end"/>
      </w:r>
    </w:p>
    <w:p w:rsidR="001F245C" w:rsidP="001F245C">
      <w:pPr>
        <w:pStyle w:val="Version"/>
        <w:sectPr w:rsidSect="006069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69F2" w:rsidP="006069F2">
      <w:pPr>
        <w:pStyle w:val="SuperHeading"/>
      </w:pPr>
      <w:r w:rsidRPr="006069F2">
        <w:t>UETTDRDS21B Manage transmission and sub-transmission design process</w:t>
      </w:r>
    </w:p>
    <w:p w:rsidR="00000000" w:rsidRPr="006069F2" w:rsidP="006069F2">
      <w:pPr>
        <w:pStyle w:val="Heading1"/>
      </w:pPr>
      <w:bookmarkStart w:id="1" w:name="O_275450"/>
      <w:bookmarkEnd w:id="1"/>
      <w:r w:rsidRPr="006069F2">
        <w:t>Modification History</w:t>
      </w:r>
    </w:p>
    <w:p w:rsidR="00000000" w:rsidRPr="006069F2" w:rsidP="006069F2">
      <w:pPr>
        <w:pStyle w:val="BodyText"/>
      </w:pPr>
      <w:r w:rsidRPr="006069F2">
        <w:t>Not Applicable</w:t>
      </w:r>
    </w:p>
    <w:p w:rsidR="00000000" w:rsidRPr="006069F2" w:rsidP="006069F2">
      <w:pPr>
        <w:pStyle w:val="AllowPageBreak"/>
      </w:pPr>
    </w:p>
    <w:p w:rsidR="00000000" w:rsidRPr="006069F2" w:rsidP="006069F2">
      <w:pPr>
        <w:pStyle w:val="Heading1"/>
      </w:pPr>
      <w:bookmarkStart w:id="2" w:name="O_231298"/>
      <w:bookmarkEnd w:id="2"/>
      <w:r w:rsidRPr="006069F2">
        <w:t>Unit Descriptor</w:t>
      </w:r>
    </w:p>
    <w:tbl>
      <w:tblPr>
        <w:tblW w:w="0" w:type="auto"/>
        <w:tblLayout w:type="fixed"/>
        <w:tblCellMar>
          <w:left w:w="62" w:type="dxa"/>
          <w:right w:w="62" w:type="dxa"/>
        </w:tblCellMar>
        <w:tblLook w:val="0000"/>
      </w:tblPr>
      <w:tblGrid>
        <w:gridCol w:w="2758"/>
        <w:gridCol w:w="5882"/>
      </w:tblGrid>
      <w:tr w:rsidTr="001F245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6069F2" w:rsidP="006069F2">
            <w:pPr>
              <w:pStyle w:val="BodyText"/>
            </w:pPr>
            <w:r w:rsidRPr="006069F2">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6069F2" w:rsidP="006069F2">
            <w:pPr>
              <w:pStyle w:val="BodyText"/>
            </w:pPr>
            <w:r w:rsidRPr="006069F2">
              <w:rPr>
                <w:rStyle w:val="SpecialBold"/>
              </w:rPr>
              <w:t>1</w:t>
            </w:r>
            <w:r w:rsidRPr="006069F2">
              <w:t xml:space="preserve">) </w:t>
            </w:r>
          </w:p>
          <w:p w:rsidR="00000000" w:rsidP="006069F2">
            <w:pPr>
              <w:pStyle w:val="BodyText"/>
              <w:rPr>
                <w:lang w:val="en-NZ"/>
              </w:rPr>
            </w:pPr>
            <w:r w:rsidRPr="006069F2">
              <w:rPr>
                <w:rStyle w:val="SpecialBold"/>
              </w:rPr>
              <w:t>1</w:t>
            </w:r>
            <w:r w:rsidRPr="006069F2">
              <w:t>.</w:t>
            </w:r>
            <w:r w:rsidRPr="006069F2">
              <w:rPr>
                <w:rStyle w:val="SpecialBold"/>
              </w:rPr>
              <w:t>1</w:t>
            </w:r>
            <w:r w:rsidRPr="006069F2">
              <w:t xml:space="preserve">) </w:t>
            </w:r>
            <w:r w:rsidRPr="006069F2">
              <w:rPr>
                <w:rStyle w:val="SpecialBold"/>
              </w:rPr>
              <w:t>Descriptor</w:t>
            </w:r>
          </w:p>
        </w:tc>
      </w:tr>
      <w:tr w:rsidTr="001F2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6069F2" w:rsidP="006069F2">
            <w:pPr>
              <w:pStyle w:val="BodyText"/>
            </w:pPr>
            <w:r w:rsidRPr="006069F2">
              <w:t>This Competency Standard Unit covers the management of transmission, Sub-transmission and Zone substation design process activities. This applies to all design projects whether they be basic secondary upgrades, SCADA modifications or new installations on g</w:t>
            </w:r>
            <w:r w:rsidRPr="006069F2">
              <w:t>reen field sites. The design and management must conform to safety regulations and environmental standards and incorporate the principles of safe design.</w:t>
            </w:r>
          </w:p>
        </w:tc>
      </w:tr>
    </w:tbl>
    <w:p w:rsidR="001F245C" w:rsidP="006069F2">
      <w:pPr>
        <w:pStyle w:val="BodyText"/>
      </w:pPr>
    </w:p>
    <w:p w:rsidR="001F245C" w:rsidP="006069F2">
      <w:pPr>
        <w:pStyle w:val="BodyText"/>
      </w:pPr>
    </w:p>
    <w:p w:rsidR="00000000" w:rsidRPr="006069F2" w:rsidP="006069F2">
      <w:pPr>
        <w:pStyle w:val="Heading1"/>
      </w:pPr>
      <w:bookmarkStart w:id="3" w:name="O_231303"/>
      <w:bookmarkEnd w:id="3"/>
      <w:r w:rsidRPr="006069F2">
        <w:t>Application of the Unit</w:t>
      </w:r>
    </w:p>
    <w:tbl>
      <w:tblPr>
        <w:tblW w:w="0" w:type="auto"/>
        <w:tblLayout w:type="fixed"/>
        <w:tblCellMar>
          <w:left w:w="62" w:type="dxa"/>
          <w:right w:w="62" w:type="dxa"/>
        </w:tblCellMar>
        <w:tblLook w:val="0000"/>
      </w:tblPr>
      <w:tblGrid>
        <w:gridCol w:w="2758"/>
        <w:gridCol w:w="5882"/>
      </w:tblGrid>
      <w:tr w:rsidTr="001F245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6069F2" w:rsidP="006069F2">
            <w:pPr>
              <w:pStyle w:val="BodyText"/>
            </w:pPr>
            <w:r w:rsidRPr="006069F2">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rPr>
                <w:rStyle w:val="SpecialBold"/>
              </w:rPr>
              <w:t>4</w:t>
            </w:r>
            <w:r w:rsidRPr="006069F2">
              <w:t>)</w:t>
            </w:r>
          </w:p>
        </w:tc>
      </w:tr>
      <w:tr w:rsidTr="001F2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6069F2" w:rsidP="006069F2">
            <w:pPr>
              <w:pStyle w:val="BodyText"/>
            </w:pPr>
            <w:r w:rsidRPr="006069F2">
              <w:t>This competency standard Unit is intended to augment formally acquired competencies. It is suitable for employment-based programs under an approved contract of training.</w:t>
            </w:r>
          </w:p>
        </w:tc>
      </w:tr>
    </w:tbl>
    <w:p w:rsidR="001F245C" w:rsidP="006069F2">
      <w:pPr>
        <w:pStyle w:val="BodyText"/>
      </w:pPr>
    </w:p>
    <w:p w:rsidR="001F245C" w:rsidP="006069F2">
      <w:pPr>
        <w:pStyle w:val="BodyText"/>
      </w:pPr>
    </w:p>
    <w:p w:rsidR="00000000" w:rsidRPr="006069F2" w:rsidP="006069F2">
      <w:pPr>
        <w:pStyle w:val="Heading1"/>
      </w:pPr>
      <w:bookmarkStart w:id="4" w:name="O_231299"/>
      <w:bookmarkEnd w:id="4"/>
      <w:r w:rsidRPr="006069F2">
        <w:t>Licensing/Regulatory Information</w:t>
      </w:r>
    </w:p>
    <w:tbl>
      <w:tblPr>
        <w:tblW w:w="0" w:type="auto"/>
        <w:tblLayout w:type="fixed"/>
        <w:tblCellMar>
          <w:left w:w="62" w:type="dxa"/>
          <w:right w:w="62" w:type="dxa"/>
        </w:tblCellMar>
        <w:tblLook w:val="0000"/>
      </w:tblPr>
      <w:tblGrid>
        <w:gridCol w:w="8640"/>
      </w:tblGrid>
      <w:tr w:rsidTr="001F245C">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rPr>
                <w:rStyle w:val="SpecialBold"/>
              </w:rPr>
              <w:t>1</w:t>
            </w:r>
            <w:r w:rsidRPr="006069F2">
              <w:t>.</w:t>
            </w:r>
            <w:r w:rsidRPr="006069F2">
              <w:rPr>
                <w:rStyle w:val="SpecialBold"/>
              </w:rPr>
              <w:t>2</w:t>
            </w:r>
            <w:r w:rsidRPr="006069F2">
              <w:t xml:space="preserve">) </w:t>
            </w:r>
            <w:r w:rsidRPr="006069F2">
              <w:rPr>
                <w:rStyle w:val="SpecialBold"/>
              </w:rPr>
              <w:t>License to practice</w:t>
            </w:r>
          </w:p>
        </w:tc>
      </w:tr>
      <w:tr w:rsidTr="001F245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069F2" w:rsidP="006069F2">
            <w:pPr>
              <w:pStyle w:val="BodyText"/>
            </w:pPr>
            <w:r w:rsidRPr="006069F2">
              <w:t>The skills and knowledge described in this unit may require a licence/registration to practice in the work place subject to regulations for undertaking of electrical work. Practice in workplace and during training is also subject to regulations directly re</w:t>
            </w:r>
            <w:r w:rsidRPr="006069F2">
              <w:t>lated to Occupational Health and Safety, electricity/telecommunications/gas/water industry safety and compliance, industrial relations, environmental protection, anti discrimination and training. Commonwealth, State/Territory or Local Government legislatio</w:t>
            </w:r>
            <w:r w:rsidRPr="006069F2">
              <w:t>n and regulations may exist that limits the age of operating certain equipment.</w:t>
            </w:r>
          </w:p>
        </w:tc>
      </w:tr>
    </w:tbl>
    <w:p w:rsidR="001F245C" w:rsidP="006069F2">
      <w:pPr>
        <w:pStyle w:val="BodyText"/>
      </w:pPr>
    </w:p>
    <w:p w:rsidR="001F245C" w:rsidP="006069F2">
      <w:pPr>
        <w:pStyle w:val="BodyText"/>
      </w:pPr>
    </w:p>
    <w:p w:rsidR="00000000" w:rsidRPr="006069F2" w:rsidP="006069F2">
      <w:pPr>
        <w:pStyle w:val="Heading1"/>
      </w:pPr>
      <w:bookmarkStart w:id="5" w:name="O_231300"/>
      <w:bookmarkEnd w:id="5"/>
      <w:r w:rsidRPr="006069F2">
        <w:t>Pre-Requisites</w:t>
      </w:r>
    </w:p>
    <w:tbl>
      <w:tblPr>
        <w:tblW w:w="0" w:type="auto"/>
        <w:tblLayout w:type="fixed"/>
        <w:tblCellMar>
          <w:left w:w="62" w:type="dxa"/>
          <w:right w:w="62" w:type="dxa"/>
        </w:tblCellMar>
        <w:tblLook w:val="0000"/>
      </w:tblPr>
      <w:tblGrid>
        <w:gridCol w:w="2758"/>
        <w:gridCol w:w="735"/>
        <w:gridCol w:w="2022"/>
        <w:gridCol w:w="3125"/>
      </w:tblGrid>
      <w:tr w:rsidTr="001F245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6069F2" w:rsidP="006069F2">
            <w:pPr>
              <w:pStyle w:val="BodyText"/>
            </w:pPr>
            <w:r w:rsidRPr="006069F2">
              <w:rPr>
                <w:rStyle w:val="SpecialBold"/>
              </w:rPr>
              <w:t>Prerequisite Unit</w:t>
            </w:r>
            <w:r w:rsidRPr="006069F2">
              <w:t>(</w:t>
            </w:r>
            <w:r w:rsidRPr="006069F2">
              <w:rPr>
                <w:rStyle w:val="SpecialBold"/>
              </w:rPr>
              <w:t>s</w:t>
            </w:r>
            <w:r w:rsidRPr="006069F2">
              <w:t>)</w:t>
            </w:r>
          </w:p>
        </w:tc>
        <w:tc>
          <w:tcPr>
            <w:tcW w:w="5882" w:type="dxa"/>
            <w:gridSpan w:val="3"/>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rPr>
                <w:rStyle w:val="SpecialBold"/>
              </w:rPr>
              <w:t>2</w:t>
            </w:r>
            <w:r w:rsidRPr="006069F2">
              <w:t xml:space="preserve">) </w:t>
            </w:r>
          </w:p>
        </w:tc>
      </w:tr>
      <w:tr w:rsidTr="001F2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6069F2">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rPr>
                <w:rStyle w:val="SpecialBold"/>
              </w:rPr>
              <w:t>2</w:t>
            </w:r>
            <w:r w:rsidRPr="006069F2">
              <w:t>.</w:t>
            </w:r>
            <w:r w:rsidRPr="006069F2">
              <w:rPr>
                <w:rStyle w:val="SpecialBold"/>
              </w:rPr>
              <w:t>1</w:t>
            </w:r>
            <w:r w:rsidRPr="006069F2">
              <w:t xml:space="preserve">) </w:t>
            </w:r>
            <w:r w:rsidRPr="006069F2">
              <w:rPr>
                <w:rStyle w:val="SpecialBold"/>
              </w:rPr>
              <w:t>Competencies</w:t>
            </w:r>
          </w:p>
        </w:tc>
      </w:tr>
      <w:tr w:rsidTr="001F2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Granting of competency in this unit shall be made only after competency in the fo</w:t>
            </w:r>
            <w:r w:rsidRPr="006069F2">
              <w:t>llowing unit(s) has/have been confirmed:</w:t>
            </w:r>
          </w:p>
        </w:tc>
      </w:tr>
      <w:tr w:rsidTr="001F2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UETTDRDS09B</w:t>
            </w:r>
          </w:p>
        </w:tc>
        <w:tc>
          <w:tcPr>
            <w:tcW w:w="3125"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Prepare and Manage Detailed Construction Plans for Electrical System Infrastructure.</w:t>
            </w:r>
          </w:p>
        </w:tc>
      </w:tr>
      <w:tr w:rsidTr="001F2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6069F2" w:rsidP="006069F2">
            <w:pPr>
              <w:pStyle w:val="BodyText"/>
            </w:pPr>
            <w:r w:rsidRPr="006069F2">
              <w:t>For the full prerequisite chain details for this unit please refer to Table 3 in Volume 1, Part 2</w:t>
            </w:r>
          </w:p>
        </w:tc>
      </w:tr>
    </w:tbl>
    <w:p w:rsidR="001F245C" w:rsidP="006069F2">
      <w:pPr>
        <w:pStyle w:val="BodyText"/>
      </w:pPr>
    </w:p>
    <w:p w:rsidR="001F245C" w:rsidP="006069F2">
      <w:pPr>
        <w:pStyle w:val="BodyText"/>
      </w:pPr>
    </w:p>
    <w:p w:rsidR="00000000" w:rsidRPr="006069F2" w:rsidP="006069F2">
      <w:pPr>
        <w:pStyle w:val="Heading1"/>
      </w:pPr>
      <w:bookmarkStart w:id="6" w:name="O_231302"/>
      <w:bookmarkEnd w:id="6"/>
      <w:r w:rsidRPr="006069F2">
        <w:t>Employability Skills Information</w:t>
      </w:r>
    </w:p>
    <w:tbl>
      <w:tblPr>
        <w:tblW w:w="0" w:type="auto"/>
        <w:tblLayout w:type="fixed"/>
        <w:tblCellMar>
          <w:left w:w="62" w:type="dxa"/>
          <w:right w:w="62" w:type="dxa"/>
        </w:tblCellMar>
        <w:tblLook w:val="0000"/>
      </w:tblPr>
      <w:tblGrid>
        <w:gridCol w:w="2758"/>
        <w:gridCol w:w="5882"/>
      </w:tblGrid>
      <w:tr w:rsidTr="001F245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6069F2" w:rsidP="006069F2">
            <w:pPr>
              <w:pStyle w:val="BodyText"/>
            </w:pPr>
            <w:r w:rsidRPr="006069F2">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6069F2" w:rsidP="006069F2">
            <w:pPr>
              <w:pStyle w:val="BodyText"/>
            </w:pPr>
            <w:r w:rsidRPr="006069F2">
              <w:rPr>
                <w:rStyle w:val="SpecialBold"/>
              </w:rPr>
              <w:t>3</w:t>
            </w:r>
            <w:r w:rsidRPr="006069F2">
              <w:t>)</w:t>
            </w:r>
          </w:p>
          <w:p w:rsidR="00000000" w:rsidRPr="006069F2" w:rsidP="006069F2">
            <w:pPr>
              <w:pStyle w:val="BodyText"/>
            </w:pPr>
            <w:r w:rsidRPr="006069F2">
              <w:t xml:space="preserve">The required outcomes described in this unit of competency contain applicable facets of Employability Skills. The Employability Skills Summary of the qualification in which this unit </w:t>
            </w:r>
            <w:r w:rsidRPr="006069F2">
              <w:t>of competency is packaged will assist in identifying Employability Skill requirements.</w:t>
            </w:r>
          </w:p>
        </w:tc>
      </w:tr>
    </w:tbl>
    <w:p w:rsidR="001F245C" w:rsidP="006069F2">
      <w:pPr>
        <w:pStyle w:val="BodyText"/>
      </w:pPr>
    </w:p>
    <w:p w:rsidR="001F245C" w:rsidP="006069F2">
      <w:pPr>
        <w:pStyle w:val="BodyText"/>
      </w:pPr>
    </w:p>
    <w:p w:rsidR="00000000" w:rsidRPr="006069F2" w:rsidP="006069F2">
      <w:pPr>
        <w:pStyle w:val="Heading1"/>
      </w:pPr>
      <w:bookmarkStart w:id="7" w:name="O_293496"/>
      <w:bookmarkEnd w:id="7"/>
      <w:r w:rsidRPr="006069F2">
        <w:t>Elements and Performance Criteria Pre-Content</w:t>
      </w:r>
    </w:p>
    <w:tbl>
      <w:tblPr>
        <w:tblW w:w="0" w:type="auto"/>
        <w:tblLayout w:type="fixed"/>
        <w:tblCellMar>
          <w:left w:w="62" w:type="dxa"/>
          <w:right w:w="62" w:type="dxa"/>
        </w:tblCellMar>
        <w:tblLook w:val="0000"/>
      </w:tblPr>
      <w:tblGrid>
        <w:gridCol w:w="2758"/>
        <w:gridCol w:w="5882"/>
      </w:tblGrid>
      <w:tr w:rsidTr="001F2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rPr>
                <w:rStyle w:val="SpecialBold"/>
              </w:rPr>
              <w:t>6</w:t>
            </w:r>
            <w:r w:rsidRPr="006069F2">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6069F2" w:rsidP="006069F2">
            <w:pPr>
              <w:pStyle w:val="BodyText"/>
            </w:pPr>
            <w:r w:rsidRPr="006069F2">
              <w:t>Performance Criteria describe the required performance needed to demonstrate achievement of the element. Assessment of performance is to be consistent with the evidence guide.</w:t>
            </w:r>
          </w:p>
        </w:tc>
      </w:tr>
    </w:tbl>
    <w:p w:rsidR="00000000" w:rsidRPr="006069F2" w:rsidP="006069F2">
      <w:pPr>
        <w:pStyle w:val="BodyText"/>
      </w:pPr>
    </w:p>
    <w:p w:rsidR="00000000" w:rsidRPr="006069F2" w:rsidP="006069F2">
      <w:pPr>
        <w:pStyle w:val="AllowPageBreak"/>
      </w:pPr>
    </w:p>
    <w:p w:rsidR="00000000" w:rsidRPr="006069F2" w:rsidP="006069F2">
      <w:pPr>
        <w:pStyle w:val="Heading1"/>
      </w:pPr>
      <w:bookmarkStart w:id="8" w:name="O_240164"/>
      <w:bookmarkEnd w:id="8"/>
      <w:r w:rsidRPr="006069F2">
        <w:t>Elements and Performance Criteria</w:t>
      </w:r>
    </w:p>
    <w:tbl>
      <w:tblPr>
        <w:tblW w:w="0" w:type="auto"/>
        <w:tblLayout w:type="fixed"/>
        <w:tblCellMar>
          <w:left w:w="62" w:type="dxa"/>
          <w:right w:w="62" w:type="dxa"/>
        </w:tblCellMar>
        <w:tblLook w:val="0000"/>
      </w:tblPr>
      <w:tblGrid>
        <w:gridCol w:w="413"/>
        <w:gridCol w:w="2345"/>
        <w:gridCol w:w="919"/>
        <w:gridCol w:w="4963"/>
      </w:tblGrid>
      <w:tr w:rsidTr="001F245C">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6069F2" w:rsidP="006069F2">
            <w:pPr>
              <w:pStyle w:val="BodyText"/>
            </w:pPr>
            <w:r w:rsidRPr="006069F2">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rPr>
                <w:rStyle w:val="SpecialBold"/>
              </w:rPr>
              <w:t>PERFORMANCE CRITER</w:t>
            </w:r>
            <w:r w:rsidRPr="006069F2">
              <w:rPr>
                <w:rStyle w:val="SpecialBold"/>
              </w:rPr>
              <w:t>IA</w:t>
            </w:r>
          </w:p>
        </w:tc>
      </w:tr>
      <w:tr w:rsidTr="001F245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1</w:t>
            </w:r>
          </w:p>
        </w:tc>
        <w:tc>
          <w:tcPr>
            <w:tcW w:w="2345"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Plan and coordinate for the management of the transmission, sub-transmission and zone substation design process</w:t>
            </w:r>
          </w:p>
        </w:tc>
        <w:tc>
          <w:tcPr>
            <w:tcW w:w="919"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1.1</w:t>
            </w:r>
          </w:p>
        </w:tc>
        <w:tc>
          <w:tcPr>
            <w:tcW w:w="4963"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OHS practices/procedures and environmental and sustainable energy procedures, which may influence the design of zone substations, are reviewed and determined.</w:t>
            </w:r>
          </w:p>
        </w:tc>
      </w:tr>
      <w:tr w:rsidTr="001F245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1.2</w:t>
            </w:r>
          </w:p>
        </w:tc>
        <w:tc>
          <w:tcPr>
            <w:tcW w:w="4963"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 xml:space="preserve">Purpose of the design is established and expected outcomes of the work are confirmed with </w:t>
            </w:r>
            <w:r w:rsidRPr="006069F2">
              <w:t>the appropriate personnel.</w:t>
            </w:r>
          </w:p>
        </w:tc>
      </w:tr>
      <w:tr w:rsidTr="001F245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1.3</w:t>
            </w:r>
          </w:p>
        </w:tc>
        <w:tc>
          <w:tcPr>
            <w:tcW w:w="4963"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Established policies, procedures and specifications for the design are obtained or established with the appropriate personnel.</w:t>
            </w:r>
          </w:p>
        </w:tc>
      </w:tr>
      <w:tr w:rsidTr="001F245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1.4</w:t>
            </w:r>
          </w:p>
        </w:tc>
        <w:tc>
          <w:tcPr>
            <w:tcW w:w="4963"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Equipment/tools and personal protective equipment are selected and coordinated based on specified requirements and established procedures</w:t>
            </w:r>
          </w:p>
        </w:tc>
      </w:tr>
      <w:tr w:rsidTr="001F245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1.5</w:t>
            </w:r>
          </w:p>
        </w:tc>
        <w:tc>
          <w:tcPr>
            <w:tcW w:w="4963"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Work is prioritised and sequenced for the most efficient and effective outcome following consultation with othe</w:t>
            </w:r>
            <w:r w:rsidRPr="006069F2">
              <w:t>rs for completion within acceptable timeframes, to a quality standard and in accordance with established procedures</w:t>
            </w:r>
          </w:p>
        </w:tc>
      </w:tr>
      <w:tr w:rsidTr="001F245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1.6</w:t>
            </w:r>
          </w:p>
        </w:tc>
        <w:tc>
          <w:tcPr>
            <w:tcW w:w="4963"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Risk control measures are identified, prioritised and evaluated against the work schedule</w:t>
            </w:r>
          </w:p>
        </w:tc>
      </w:tr>
      <w:tr w:rsidTr="001F245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1.7</w:t>
            </w:r>
          </w:p>
        </w:tc>
        <w:tc>
          <w:tcPr>
            <w:tcW w:w="4963"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Relevant work permits are secured to</w:t>
            </w:r>
            <w:r w:rsidRPr="006069F2">
              <w:t xml:space="preserve"> coordinate the performance of work according to requirements and/or established procedures</w:t>
            </w:r>
          </w:p>
        </w:tc>
      </w:tr>
      <w:tr w:rsidTr="001F245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1.8</w:t>
            </w:r>
          </w:p>
        </w:tc>
        <w:tc>
          <w:tcPr>
            <w:tcW w:w="4963"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 xml:space="preserve">Resources including personnel, equipment, tools and personal protective equipment required for the job are identified, scheduled and coordinated </w:t>
            </w:r>
            <w:r w:rsidRPr="006069F2">
              <w:t>and confirmed in a safe and technical working order</w:t>
            </w:r>
          </w:p>
        </w:tc>
      </w:tr>
      <w:tr w:rsidTr="001F245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1.9</w:t>
            </w:r>
          </w:p>
        </w:tc>
        <w:tc>
          <w:tcPr>
            <w:tcW w:w="4963"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Liaison and communication issues with other/authorised personnel, authorities, clients and land-owners are resolved and activities coordinated to carry out work</w:t>
            </w:r>
          </w:p>
        </w:tc>
      </w:tr>
      <w:tr w:rsidTr="001F245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1.10</w:t>
            </w:r>
          </w:p>
        </w:tc>
        <w:tc>
          <w:tcPr>
            <w:tcW w:w="4963"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Site is prepared according t</w:t>
            </w:r>
            <w:r w:rsidRPr="006069F2">
              <w:t>o the work schedule and to minimise risk and damage to property, commerce, and individuals in accordance with established procedures</w:t>
            </w:r>
          </w:p>
        </w:tc>
      </w:tr>
      <w:tr w:rsidTr="001F245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1.11</w:t>
            </w:r>
          </w:p>
        </w:tc>
        <w:tc>
          <w:tcPr>
            <w:tcW w:w="4963"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Personnel participating in the work, including plant operators and contractors, are fully briefed and respective re</w:t>
            </w:r>
            <w:r w:rsidRPr="006069F2">
              <w:t>sponsibilities coordinated and authorised where applicable in accordance with established procedures</w:t>
            </w:r>
          </w:p>
        </w:tc>
      </w:tr>
      <w:tr w:rsidTr="001F245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2</w:t>
            </w:r>
          </w:p>
        </w:tc>
        <w:tc>
          <w:tcPr>
            <w:tcW w:w="2345" w:type="dxa"/>
            <w:vMerge w:val="restart"/>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Carry out and coordinate the management of the transmission, sub-transmission and zone substation design process</w:t>
            </w:r>
          </w:p>
        </w:tc>
        <w:tc>
          <w:tcPr>
            <w:tcW w:w="919"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2.1</w:t>
            </w:r>
          </w:p>
        </w:tc>
        <w:tc>
          <w:tcPr>
            <w:tcW w:w="4963"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Circuit/systems modelling is used to evaluate alternative proposals as per established procedures.</w:t>
            </w:r>
          </w:p>
        </w:tc>
      </w:tr>
      <w:tr w:rsidTr="001F245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2.2</w:t>
            </w:r>
          </w:p>
        </w:tc>
        <w:tc>
          <w:tcPr>
            <w:tcW w:w="4963"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OHS and sustainable energy principles, functionality and practices to reduce the incidents of accidents and minimise waste are incorporated into the p</w:t>
            </w:r>
            <w:r w:rsidRPr="006069F2">
              <w:t>roject in accordance with requirements and/or established procedures</w:t>
            </w:r>
          </w:p>
        </w:tc>
      </w:tr>
      <w:tr w:rsidTr="001F245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2.3</w:t>
            </w:r>
          </w:p>
        </w:tc>
        <w:tc>
          <w:tcPr>
            <w:tcW w:w="4963"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System design decisions are made on the basis of safety and effective outcomes according to requirements and/or established procedures</w:t>
            </w:r>
          </w:p>
        </w:tc>
      </w:tr>
      <w:tr w:rsidTr="001F245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2.4</w:t>
            </w:r>
          </w:p>
        </w:tc>
        <w:tc>
          <w:tcPr>
            <w:tcW w:w="4963"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Mathematical models of the system are used to analyse the effectiveness of the finished project as per requirements and established procedures</w:t>
            </w:r>
          </w:p>
        </w:tc>
      </w:tr>
      <w:tr w:rsidTr="001F245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2.5</w:t>
            </w:r>
          </w:p>
        </w:tc>
        <w:tc>
          <w:tcPr>
            <w:tcW w:w="4963"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Technical advice is given regarding potential hazards, safety risks and control measures so that monitorin</w:t>
            </w:r>
            <w:r w:rsidRPr="006069F2">
              <w:t>g and preventative action can be undertaken and/or appropriate authorities consulted, where necessary, in accordance with requirements and established procedures</w:t>
            </w:r>
          </w:p>
        </w:tc>
      </w:tr>
      <w:tr w:rsidTr="001F245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2.6</w:t>
            </w:r>
          </w:p>
        </w:tc>
        <w:tc>
          <w:tcPr>
            <w:tcW w:w="4963"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Essential knowledge and associated skills are applied to analyse specific data and comp</w:t>
            </w:r>
            <w:r w:rsidRPr="006069F2">
              <w:t>are it with compliance specifications to ensure completion of the project within an agreed timeframe according to requirements.</w:t>
            </w:r>
          </w:p>
        </w:tc>
      </w:tr>
      <w:tr w:rsidTr="001F245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2.7</w:t>
            </w:r>
          </w:p>
        </w:tc>
        <w:tc>
          <w:tcPr>
            <w:tcW w:w="4963"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Solutions to non-routine problems are identified and actioned using acquired essential knowledge and associated skills ac</w:t>
            </w:r>
            <w:r w:rsidRPr="006069F2">
              <w:t>cording to requirements</w:t>
            </w:r>
          </w:p>
        </w:tc>
      </w:tr>
      <w:tr w:rsidTr="001F245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2.8</w:t>
            </w:r>
          </w:p>
        </w:tc>
        <w:tc>
          <w:tcPr>
            <w:tcW w:w="4963"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Quality of work is monitored against personal performance agreement and/or established organisational and professional standards.</w:t>
            </w:r>
          </w:p>
        </w:tc>
      </w:tr>
      <w:tr w:rsidTr="001F245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3</w:t>
            </w:r>
          </w:p>
        </w:tc>
        <w:tc>
          <w:tcPr>
            <w:tcW w:w="2345"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Complete and coordinate the management of the transmission, sub-transmission and zone substation design process</w:t>
            </w:r>
          </w:p>
        </w:tc>
        <w:tc>
          <w:tcPr>
            <w:tcW w:w="919"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3.1</w:t>
            </w:r>
          </w:p>
        </w:tc>
        <w:tc>
          <w:tcPr>
            <w:tcW w:w="4963"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Final checks of the design are undertaken to ensure they comply with all requirements and include all specifications and documentations need</w:t>
            </w:r>
            <w:r w:rsidRPr="006069F2">
              <w:t>ed to complete the design brief.</w:t>
            </w:r>
          </w:p>
        </w:tc>
      </w:tr>
      <w:tr w:rsidTr="001F245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3.2</w:t>
            </w:r>
          </w:p>
        </w:tc>
        <w:tc>
          <w:tcPr>
            <w:tcW w:w="4963"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Appropriate personnel are notified of completion and reports and/or completion documents are finalised.</w:t>
            </w:r>
          </w:p>
        </w:tc>
      </w:tr>
      <w:tr w:rsidTr="001F245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3.3</w:t>
            </w:r>
          </w:p>
        </w:tc>
        <w:tc>
          <w:tcPr>
            <w:tcW w:w="4963"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Reports and/or completion documents are submitted to relevant personnel/organisations for approval and, w</w:t>
            </w:r>
            <w:r w:rsidRPr="006069F2">
              <w:t>here applicable, statutory or regulatory approval</w:t>
            </w:r>
          </w:p>
        </w:tc>
      </w:tr>
      <w:tr w:rsidTr="001F245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3.4</w:t>
            </w:r>
          </w:p>
        </w:tc>
        <w:tc>
          <w:tcPr>
            <w:tcW w:w="4963" w:type="dxa"/>
            <w:tcBorders>
              <w:top w:val="nil"/>
              <w:left w:val="nil"/>
              <w:bottom w:val="nil"/>
              <w:right w:val="nil"/>
            </w:tcBorders>
            <w:tcMar>
              <w:top w:w="0" w:type="dxa"/>
              <w:left w:w="62" w:type="dxa"/>
              <w:bottom w:w="0" w:type="dxa"/>
              <w:right w:w="62" w:type="dxa"/>
            </w:tcMar>
          </w:tcPr>
          <w:p w:rsidR="00000000" w:rsidRPr="006069F2" w:rsidP="006069F2">
            <w:pPr>
              <w:pStyle w:val="BodyText"/>
            </w:pPr>
            <w:r w:rsidRPr="006069F2">
              <w:t>Approved copies of design documents are issued and records are updated in accordance with established procedures.</w:t>
            </w:r>
          </w:p>
        </w:tc>
      </w:tr>
    </w:tbl>
    <w:p w:rsidR="001F245C" w:rsidP="006069F2">
      <w:pPr>
        <w:pStyle w:val="BodyText"/>
      </w:pPr>
    </w:p>
    <w:p w:rsidR="001F245C" w:rsidP="006069F2">
      <w:pPr>
        <w:pStyle w:val="BodyText"/>
      </w:pPr>
    </w:p>
    <w:p w:rsidR="00000000" w:rsidRPr="006069F2" w:rsidP="006069F2">
      <w:pPr>
        <w:pStyle w:val="Heading1"/>
      </w:pPr>
      <w:bookmarkStart w:id="9" w:name="O_263955"/>
      <w:bookmarkEnd w:id="9"/>
      <w:r w:rsidRPr="006069F2">
        <w:t>Required Skills and Knowledge</w:t>
      </w:r>
    </w:p>
    <w:tbl>
      <w:tblPr>
        <w:tblW w:w="0" w:type="auto"/>
        <w:tblLayout w:type="fixed"/>
        <w:tblCellMar>
          <w:left w:w="62" w:type="dxa"/>
          <w:right w:w="62" w:type="dxa"/>
        </w:tblCellMar>
        <w:tblLook w:val="0000"/>
      </w:tblPr>
      <w:tblGrid>
        <w:gridCol w:w="2758"/>
        <w:gridCol w:w="1287"/>
        <w:gridCol w:w="4595"/>
      </w:tblGrid>
      <w:tr w:rsidTr="001F245C">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rPr>
                <w:rStyle w:val="SpecialBold"/>
              </w:rPr>
              <w:t>REQUIRED SKILLS AND KNOWLEDGE</w:t>
            </w:r>
          </w:p>
        </w:tc>
      </w:tr>
      <w:tr w:rsidTr="001F245C">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rPr>
                <w:rStyle w:val="SpecialBold"/>
              </w:rPr>
              <w:t>7</w:t>
            </w:r>
            <w:r w:rsidRPr="006069F2">
              <w:t xml:space="preserve">) </w:t>
            </w:r>
            <w:r w:rsidRPr="006069F2">
              <w:rPr>
                <w:rStyle w:val="SpecialBold"/>
              </w:rPr>
              <w:t>Essential Knowledge and Associated Skills</w:t>
            </w:r>
            <w:r w:rsidRPr="006069F2">
              <w:t xml:space="preserve"> (</w:t>
            </w:r>
            <w:r w:rsidRPr="006069F2">
              <w:rPr>
                <w:rStyle w:val="SpecialBold"/>
              </w:rPr>
              <w:t>EKAS</w:t>
            </w:r>
            <w:r w:rsidRPr="006069F2">
              <w:t>): This describes the essential skills and knowledge and their level, required for this unit.</w:t>
            </w:r>
          </w:p>
        </w:tc>
      </w:tr>
      <w:tr w:rsidTr="001F245C">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6069F2" w:rsidP="006069F2">
            <w:pPr>
              <w:pStyle w:val="BodyText"/>
            </w:pPr>
            <w:r w:rsidRPr="006069F2">
              <w:t>Evidence shall show that knowledge has been acquired of designing distribution substations.</w:t>
            </w:r>
          </w:p>
          <w:p w:rsidR="00000000" w:rsidRPr="006069F2" w:rsidP="006069F2">
            <w:pPr>
              <w:pStyle w:val="BodyText"/>
            </w:pPr>
            <w:r w:rsidRPr="006069F2">
              <w:t>All knowledge and skills detailed in this unit should be contextualised to current industry practices and technologies.</w:t>
            </w:r>
          </w:p>
          <w:p w:rsidR="00000000" w:rsidP="006069F2">
            <w:pPr>
              <w:pStyle w:val="BodyText"/>
              <w:rPr>
                <w:lang w:val="en-NZ"/>
              </w:rPr>
            </w:pPr>
            <w:r w:rsidRPr="006069F2">
              <w:t>The extent of the essential knowledge and associated skills (EKAS) required is given in Volume 2 - Part 2.2 EKAS. It forms an integral p</w:t>
            </w:r>
            <w:r w:rsidRPr="006069F2">
              <w:t>art of this unit.</w:t>
            </w:r>
          </w:p>
        </w:tc>
      </w:tr>
      <w:tr w:rsidTr="001F2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E2.18.1</w:t>
            </w:r>
          </w:p>
        </w:tc>
        <w:tc>
          <w:tcPr>
            <w:tcW w:w="4595"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Occupational Health and Safety principles</w:t>
            </w:r>
          </w:p>
        </w:tc>
      </w:tr>
      <w:tr w:rsidTr="001F2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E2.18.2</w:t>
            </w:r>
          </w:p>
        </w:tc>
        <w:tc>
          <w:tcPr>
            <w:tcW w:w="4595"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Electrical safe working practice</w:t>
            </w:r>
          </w:p>
        </w:tc>
      </w:tr>
      <w:tr w:rsidTr="001F2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E2.18.9</w:t>
            </w:r>
          </w:p>
        </w:tc>
        <w:tc>
          <w:tcPr>
            <w:tcW w:w="4595"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Electronic safe working practices</w:t>
            </w:r>
          </w:p>
        </w:tc>
      </w:tr>
      <w:tr w:rsidTr="001F2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T2.3.8</w:t>
            </w:r>
          </w:p>
        </w:tc>
        <w:tc>
          <w:tcPr>
            <w:tcW w:w="4595"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Safe design principles</w:t>
            </w:r>
          </w:p>
        </w:tc>
      </w:tr>
      <w:tr w:rsidTr="001F2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T2.8.1</w:t>
            </w:r>
          </w:p>
        </w:tc>
        <w:tc>
          <w:tcPr>
            <w:tcW w:w="4595"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Enterprise specific - Policies and procedures instructions</w:t>
            </w:r>
          </w:p>
        </w:tc>
      </w:tr>
      <w:tr w:rsidTr="001F2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T2.8.2</w:t>
            </w:r>
          </w:p>
        </w:tc>
        <w:tc>
          <w:tcPr>
            <w:tcW w:w="4595"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Enterprise specific - OHS instructions</w:t>
            </w:r>
          </w:p>
        </w:tc>
      </w:tr>
      <w:tr w:rsidTr="001F2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T2.8.7</w:t>
            </w:r>
          </w:p>
        </w:tc>
        <w:tc>
          <w:tcPr>
            <w:tcW w:w="4595"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Enterprise specific - equipment installation procedures</w:t>
            </w:r>
          </w:p>
        </w:tc>
      </w:tr>
      <w:tr w:rsidTr="001F2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T2.8.8</w:t>
            </w:r>
          </w:p>
        </w:tc>
        <w:tc>
          <w:tcPr>
            <w:tcW w:w="4595"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Enterprise specific - data management processes</w:t>
            </w:r>
          </w:p>
        </w:tc>
      </w:tr>
      <w:tr w:rsidTr="001F2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T2.8.14</w:t>
            </w:r>
          </w:p>
        </w:tc>
        <w:tc>
          <w:tcPr>
            <w:tcW w:w="4595"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Enterprise specific - procedures and work practices relating to critical events</w:t>
            </w:r>
          </w:p>
        </w:tc>
      </w:tr>
      <w:tr w:rsidTr="001F2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T2.8.17</w:t>
            </w:r>
          </w:p>
        </w:tc>
        <w:tc>
          <w:tcPr>
            <w:tcW w:w="4595"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Enterprise specific - effective management and communication</w:t>
            </w:r>
          </w:p>
        </w:tc>
      </w:tr>
      <w:tr w:rsidTr="001F2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T2.8.18</w:t>
            </w:r>
          </w:p>
        </w:tc>
        <w:tc>
          <w:tcPr>
            <w:tcW w:w="4595"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Enterprise specific - writing management reports</w:t>
            </w:r>
          </w:p>
        </w:tc>
      </w:tr>
      <w:tr w:rsidTr="001F2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T2.8.19</w:t>
            </w:r>
          </w:p>
        </w:tc>
        <w:tc>
          <w:tcPr>
            <w:tcW w:w="4595"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Enterprise specific - procedures and</w:t>
            </w:r>
            <w:r w:rsidRPr="006069F2">
              <w:t xml:space="preserve"> work practices relating to managing critical events</w:t>
            </w:r>
          </w:p>
        </w:tc>
      </w:tr>
      <w:tr w:rsidTr="001F2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T2.10.1</w:t>
            </w:r>
          </w:p>
        </w:tc>
        <w:tc>
          <w:tcPr>
            <w:tcW w:w="4595"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Visual inspection procedures - substations</w:t>
            </w:r>
          </w:p>
        </w:tc>
      </w:tr>
      <w:tr w:rsidTr="001F2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T2.10.7</w:t>
            </w:r>
          </w:p>
        </w:tc>
        <w:tc>
          <w:tcPr>
            <w:tcW w:w="4595"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Substation tools and equipment</w:t>
            </w:r>
          </w:p>
        </w:tc>
      </w:tr>
      <w:tr w:rsidTr="001F2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T2.11.37</w:t>
            </w:r>
          </w:p>
        </w:tc>
        <w:tc>
          <w:tcPr>
            <w:tcW w:w="4595"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Negotiation techniques</w:t>
            </w:r>
          </w:p>
        </w:tc>
      </w:tr>
      <w:tr w:rsidTr="001F2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T2.11.62</w:t>
            </w:r>
          </w:p>
        </w:tc>
        <w:tc>
          <w:tcPr>
            <w:tcW w:w="4595"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Preparing policies and procedures</w:t>
            </w:r>
          </w:p>
        </w:tc>
      </w:tr>
      <w:tr w:rsidTr="001F2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T2.11.68</w:t>
            </w:r>
          </w:p>
        </w:tc>
        <w:tc>
          <w:tcPr>
            <w:tcW w:w="4595" w:type="dxa"/>
            <w:tcBorders>
              <w:top w:val="nil"/>
              <w:left w:val="nil"/>
              <w:bottom w:val="nil"/>
              <w:right w:val="nil"/>
            </w:tcBorders>
            <w:tcMar>
              <w:top w:w="0" w:type="dxa"/>
              <w:left w:w="62" w:type="dxa"/>
              <w:bottom w:w="0" w:type="dxa"/>
              <w:right w:w="62" w:type="dxa"/>
            </w:tcMar>
          </w:tcPr>
          <w:p w:rsidR="00000000" w:rsidRPr="006069F2" w:rsidP="006069F2">
            <w:pPr>
              <w:pStyle w:val="BodyText"/>
            </w:pPr>
            <w:r w:rsidRPr="006069F2">
              <w:t>Management of Transmission, Sub-transmission and Zone Substation design process principles.</w:t>
            </w:r>
          </w:p>
        </w:tc>
      </w:tr>
    </w:tbl>
    <w:p w:rsidR="001F245C" w:rsidP="006069F2">
      <w:pPr>
        <w:pStyle w:val="BodyText"/>
      </w:pPr>
    </w:p>
    <w:p w:rsidR="001F245C" w:rsidP="006069F2">
      <w:pPr>
        <w:pStyle w:val="BodyText"/>
      </w:pPr>
    </w:p>
    <w:p w:rsidR="00000000" w:rsidRPr="006069F2" w:rsidP="006069F2">
      <w:pPr>
        <w:pStyle w:val="Heading1"/>
      </w:pPr>
      <w:bookmarkStart w:id="10" w:name="O_248147"/>
      <w:bookmarkEnd w:id="10"/>
      <w:r w:rsidRPr="006069F2">
        <w:t>Evidence Guide</w:t>
      </w:r>
    </w:p>
    <w:tbl>
      <w:tblPr>
        <w:tblW w:w="0" w:type="auto"/>
        <w:tblLayout w:type="fixed"/>
        <w:tblCellMar>
          <w:left w:w="62" w:type="dxa"/>
          <w:right w:w="62" w:type="dxa"/>
        </w:tblCellMar>
        <w:tblLook w:val="0000"/>
      </w:tblPr>
      <w:tblGrid>
        <w:gridCol w:w="2207"/>
        <w:gridCol w:w="735"/>
        <w:gridCol w:w="919"/>
        <w:gridCol w:w="1838"/>
        <w:gridCol w:w="2941"/>
      </w:tblGrid>
      <w:tr w:rsidTr="001F245C">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rPr>
                <w:rStyle w:val="SpecialBold"/>
              </w:rPr>
              <w:t>EVIDENCE GUIDE</w:t>
            </w:r>
          </w:p>
        </w:tc>
      </w:tr>
      <w:tr w:rsidTr="001F245C">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6069F2" w:rsidP="006069F2">
            <w:pPr>
              <w:pStyle w:val="BodyText"/>
            </w:pPr>
            <w:r w:rsidRPr="006069F2">
              <w:rPr>
                <w:rStyle w:val="SpecialBold"/>
              </w:rPr>
              <w:t>9</w:t>
            </w:r>
            <w:r w:rsidRPr="006069F2">
              <w:t xml:space="preserve">) This provides essential advice for assessment of the unit of competency and must be read in conjunction </w:t>
            </w:r>
            <w:r w:rsidRPr="006069F2">
              <w:t>with the Performance Criteria and the range statement of the unit of competency and the Training Package Assessment Guidelines.</w:t>
            </w:r>
          </w:p>
          <w:p w:rsidR="00000000" w:rsidP="006069F2">
            <w:pPr>
              <w:pStyle w:val="BodyText"/>
              <w:rPr>
                <w:lang w:val="en-NZ"/>
              </w:rPr>
            </w:pPr>
            <w:r w:rsidRPr="006069F2">
              <w:t>The Evidence Guide forms an integral part of this Competency Standard Unit and shall be used in conjunction with all component p</w:t>
            </w:r>
            <w:r w:rsidRPr="006069F2">
              <w:t>arts of this unit and, performed in accordance with the Assessment Guidelines of this Training Package.</w:t>
            </w:r>
          </w:p>
        </w:tc>
      </w:tr>
      <w:tr w:rsidTr="001F245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6069F2" w:rsidP="006069F2">
            <w:pPr>
              <w:pStyle w:val="BodyText"/>
            </w:pPr>
            <w:r w:rsidRPr="006069F2">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6069F2" w:rsidP="006069F2">
            <w:pPr>
              <w:pStyle w:val="BodyText"/>
            </w:pPr>
            <w:r w:rsidRPr="006069F2">
              <w:rPr>
                <w:rStyle w:val="SpecialBold"/>
              </w:rPr>
              <w:t>9</w:t>
            </w:r>
            <w:r w:rsidRPr="006069F2">
              <w:t>.</w:t>
            </w:r>
            <w:r w:rsidRPr="006069F2">
              <w:rPr>
                <w:rStyle w:val="SpecialBold"/>
              </w:rPr>
              <w:t>1</w:t>
            </w:r>
            <w:r w:rsidRPr="006069F2">
              <w:t xml:space="preserve">) </w:t>
            </w:r>
          </w:p>
          <w:p w:rsidR="00000000" w:rsidRPr="006069F2" w:rsidP="006069F2">
            <w:pPr>
              <w:pStyle w:val="BodyText"/>
            </w:pPr>
            <w:r w:rsidRPr="006069F2">
              <w:t>Longitudinal competency development approaches to assessment, such as Profiling, require data to be reliably gathered in a form that can be consistently interpreted over time. This approach is best utilised in Apprenticeship programs and reduces assessment</w:t>
            </w:r>
            <w:r w:rsidRPr="006069F2">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6069F2">
              <w:t>tency in a realistically simulated work environment. It is recognised that, in some circumstances, assessment in part or full can occur outside the workplace. However, it must be in accord with Industry and, Regulatory policy in this regard.</w:t>
            </w:r>
          </w:p>
          <w:p w:rsidR="00000000" w:rsidRPr="006069F2" w:rsidP="006069F2">
            <w:pPr>
              <w:pStyle w:val="BodyText"/>
            </w:pPr>
            <w:r w:rsidRPr="006069F2">
              <w:t>Methods chosen</w:t>
            </w:r>
            <w:r w:rsidRPr="006069F2">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6069F2">
              <w:t>equired and the critical nature of the competencies being assessed.</w:t>
            </w:r>
          </w:p>
          <w:p w:rsidR="00000000" w:rsidRPr="006069F2" w:rsidP="006069F2">
            <w:pPr>
              <w:pStyle w:val="BodyText"/>
            </w:pPr>
            <w:r w:rsidRPr="006069F2">
              <w:t>The critical safety nature of working with electricity, electrical equipment, gas or any other hazardous substance/material carries risk in deeming a person competent. Hence, sources of ev</w:t>
            </w:r>
            <w:r w:rsidRPr="006069F2">
              <w:t>idence need to be 'rich' in nature so as to minimise error in judgment.</w:t>
            </w:r>
          </w:p>
          <w:p w:rsidR="00000000" w:rsidP="006069F2">
            <w:pPr>
              <w:pStyle w:val="BodyText"/>
              <w:rPr>
                <w:lang w:val="en-NZ"/>
              </w:rPr>
            </w:pPr>
            <w:r w:rsidRPr="006069F2">
              <w:t>Activities associated with normal every day work have a bearing on the decision as to how much and how detailed the data gathered will cont</w:t>
            </w:r>
            <w:r w:rsidRPr="006069F2">
              <w:t>ribute to its 'richness'. Some skills are more critical to safety and operational requirements while the same skills may be more or less frequently practiced. These points are raised for the assessors to consider when choosing an assessment method and deve</w:t>
            </w:r>
            <w:r w:rsidRPr="006069F2">
              <w:t>loping assessment instruments. Sample assessment instruments are included for Assessors in the Assessment Guidelines of this Training Package.</w:t>
            </w:r>
          </w:p>
        </w:tc>
      </w:tr>
      <w:tr w:rsidTr="001F245C">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6069F2" w:rsidP="006069F2">
            <w:pPr>
              <w:pStyle w:val="BodyText"/>
            </w:pPr>
            <w:r w:rsidRPr="006069F2">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6069F2" w:rsidP="006069F2">
            <w:pPr>
              <w:pStyle w:val="BodyText"/>
            </w:pPr>
            <w:r w:rsidRPr="006069F2">
              <w:rPr>
                <w:rStyle w:val="SpecialBold"/>
              </w:rPr>
              <w:t>9</w:t>
            </w:r>
            <w:r w:rsidRPr="006069F2">
              <w:t>.</w:t>
            </w:r>
            <w:r w:rsidRPr="006069F2">
              <w:rPr>
                <w:rStyle w:val="SpecialBold"/>
              </w:rPr>
              <w:t>2</w:t>
            </w:r>
            <w:r w:rsidRPr="006069F2">
              <w:t xml:space="preserve">) </w:t>
            </w:r>
          </w:p>
          <w:p w:rsidR="00000000" w:rsidP="006069F2">
            <w:pPr>
              <w:pStyle w:val="BodyText"/>
              <w:rPr>
                <w:lang w:val="en-NZ"/>
              </w:rPr>
            </w:pPr>
            <w:r w:rsidRPr="006069F2">
              <w:t>Before the critical aspect</w:t>
            </w:r>
            <w:r w:rsidRPr="006069F2">
              <w:t>s of evidence are considered all prerequisites shall be met.</w:t>
            </w:r>
          </w:p>
        </w:tc>
      </w:tr>
      <w:tr w:rsidTr="001F245C">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6069F2" w:rsidP="006069F2">
            <w:pPr>
              <w:pStyle w:val="BodyText"/>
            </w:pPr>
            <w:r w:rsidRPr="006069F2">
              <w:t>Evidence for competence in this unit is based, shall be considered holistically. Each element and associated Performance Criteria shall be demonstrated on at least two occasions in accordanc</w:t>
            </w:r>
            <w:r w:rsidRPr="006069F2">
              <w:t>e with the "Assessment Guidelines - UET09". Evidence shall also comprise:</w:t>
            </w:r>
          </w:p>
          <w:p w:rsidR="00000000" w:rsidP="006069F2">
            <w:pPr>
              <w:pStyle w:val="ListBullet"/>
              <w:rPr>
                <w:lang w:val="en-NZ"/>
              </w:rPr>
            </w:pPr>
            <w:r w:rsidRPr="006069F2">
              <w:t>A representative body of Performance Criteria demonstrated within the timeframes typically expected of the discipline, work function and industrial environment. In particular this s</w:t>
            </w:r>
            <w:r w:rsidRPr="006069F2">
              <w:t>hall incorporate evidence that shows a candidate is able to:</w:t>
            </w:r>
          </w:p>
        </w:tc>
      </w:tr>
      <w:tr w:rsidTr="001F245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6069F2" w:rsidP="006069F2">
            <w:pPr>
              <w:pStyle w:val="ListBullet2"/>
            </w:pPr>
            <w:r w:rsidRPr="006069F2">
              <w:t>Implement Occupational Health and Safety workplace procedures and practices including the use of risk control measures as specified in the Performance Criteria and range; and</w:t>
            </w:r>
          </w:p>
          <w:p w:rsidR="00000000" w:rsidRPr="006069F2" w:rsidP="006069F2">
            <w:pPr>
              <w:pStyle w:val="ListBullet2"/>
            </w:pPr>
            <w:r w:rsidRPr="006069F2">
              <w:t>Apply sustainable energy principles and practices as specified in the Performance Criteria and range; and</w:t>
            </w:r>
          </w:p>
          <w:p w:rsidR="00000000" w:rsidRPr="006069F2" w:rsidP="006069F2">
            <w:pPr>
              <w:pStyle w:val="ListBullet2"/>
            </w:pPr>
            <w:r w:rsidRPr="006069F2">
              <w:t>Demonstrate an understanding of the essential knowledge and associated skills as described in this unit to such an extent that the learner's performan</w:t>
            </w:r>
            <w:r w:rsidRPr="006069F2">
              <w:t>ce outcome is reported in accordance with the preferred approach; namely a percentile graded result, where required by the regulated environment; and</w:t>
            </w:r>
          </w:p>
          <w:p w:rsidR="00000000" w:rsidRPr="006069F2" w:rsidP="006069F2">
            <w:pPr>
              <w:pStyle w:val="ListBullet2"/>
            </w:pPr>
            <w:r w:rsidRPr="006069F2">
              <w:t>Demonstrate an appropriate level of employability skills; and</w:t>
            </w:r>
          </w:p>
          <w:p w:rsidR="00000000" w:rsidP="006069F2">
            <w:pPr>
              <w:pStyle w:val="ListBullet2"/>
              <w:rPr>
                <w:lang w:val="en-NZ"/>
              </w:rPr>
            </w:pPr>
            <w:r w:rsidRPr="006069F2">
              <w:t>Conduct work observing the relevant Anti Dis</w:t>
            </w:r>
            <w:r w:rsidRPr="006069F2">
              <w:t>crimination legislation, regulations, policies and workplace procedures; and</w:t>
            </w:r>
          </w:p>
        </w:tc>
      </w:tr>
      <w:tr w:rsidTr="001F245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6069F2">
            <w:pPr>
              <w:pStyle w:val="ListBullet"/>
              <w:rPr>
                <w:lang w:val="en-NZ"/>
              </w:rPr>
            </w:pPr>
            <w:r w:rsidRPr="006069F2">
              <w:t>Demonstrated performance across a representative range of contexts from the prescribed items below:</w:t>
            </w:r>
          </w:p>
        </w:tc>
      </w:tr>
      <w:tr w:rsidTr="001F245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6069F2">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9F2">
            <w:pPr>
              <w:pStyle w:val="BodyText"/>
              <w:rPr>
                <w:lang w:val="en-NZ"/>
              </w:rPr>
            </w:pPr>
            <w:r w:rsidRPr="006069F2">
              <w:rPr>
                <w:rStyle w:val="SpecialBold"/>
              </w:rPr>
              <w:t>Range of tools</w:t>
            </w:r>
            <w:r w:rsidRPr="006069F2">
              <w:t>/</w:t>
            </w:r>
            <w:r w:rsidRPr="006069F2">
              <w:rPr>
                <w:rStyle w:val="SpecialBold"/>
              </w:rPr>
              <w:t>equipment</w:t>
            </w:r>
            <w:r w:rsidRPr="006069F2">
              <w:t>/</w:t>
            </w:r>
            <w:r w:rsidRPr="006069F2">
              <w:rPr>
                <w:rStyle w:val="SpecialBold"/>
              </w:rPr>
              <w:t>materials</w:t>
            </w:r>
            <w:r w:rsidRPr="006069F2">
              <w:t>/</w:t>
            </w:r>
            <w:r w:rsidRPr="006069F2">
              <w:rPr>
                <w:rStyle w:val="SpecialBold"/>
              </w:rPr>
              <w:t>procedures</w:t>
            </w:r>
            <w:r w:rsidRPr="006069F2">
              <w:t>/</w:t>
            </w:r>
            <w:r w:rsidRPr="006069F2">
              <w:rPr>
                <w:rStyle w:val="SpecialBold"/>
              </w:rPr>
              <w:t>workplaces</w:t>
            </w:r>
            <w:r w:rsidRPr="006069F2">
              <w:t>/</w:t>
            </w:r>
            <w:r w:rsidRPr="006069F2">
              <w:rPr>
                <w:rStyle w:val="SpecialBold"/>
              </w:rPr>
              <w:t>other variables</w:t>
            </w:r>
          </w:p>
        </w:tc>
      </w:tr>
      <w:tr w:rsidTr="001F245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6069F2">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9F2" w:rsidP="006069F2">
            <w:pPr>
              <w:pStyle w:val="BodyText"/>
            </w:pPr>
            <w:r w:rsidRPr="006069F2">
              <w:rPr>
                <w:rStyle w:val="SpecialBold"/>
              </w:rPr>
              <w:t>Group No</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9F2" w:rsidP="006069F2">
            <w:pPr>
              <w:pStyle w:val="BodyText"/>
            </w:pPr>
            <w:r w:rsidRPr="006069F2">
              <w:rPr>
                <w:rStyle w:val="SpecialBold"/>
              </w:rPr>
              <w:t>The minimum number of items on which skill is to be demonstrated</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9F2">
            <w:pPr>
              <w:pStyle w:val="BodyText"/>
              <w:rPr>
                <w:lang w:val="en-NZ"/>
              </w:rPr>
            </w:pPr>
            <w:r w:rsidRPr="006069F2">
              <w:rPr>
                <w:rStyle w:val="SpecialBold"/>
              </w:rPr>
              <w:t>Item List</w:t>
            </w:r>
          </w:p>
        </w:tc>
      </w:tr>
      <w:tr w:rsidTr="001F245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9F2">
            <w:pPr>
              <w:pStyle w:val="BodyText"/>
              <w:rPr>
                <w:lang w:val="en-NZ"/>
              </w:rPr>
            </w:pPr>
            <w:r w:rsidRPr="006069F2">
              <w:t>A</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9F2">
            <w:pPr>
              <w:pStyle w:val="BodyText"/>
              <w:rPr>
                <w:lang w:val="en-NZ"/>
              </w:rPr>
            </w:pPr>
            <w:r w:rsidRPr="006069F2">
              <w:t>The design process commencement activities, and to include each of the following items:</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9F2" w:rsidP="006069F2">
            <w:pPr>
              <w:pStyle w:val="BodyText"/>
            </w:pPr>
            <w:r w:rsidRPr="006069F2">
              <w:t>Completion of site survey.</w:t>
            </w:r>
          </w:p>
          <w:p w:rsidR="00000000" w:rsidRPr="006069F2" w:rsidP="006069F2">
            <w:pPr>
              <w:pStyle w:val="BodyText"/>
            </w:pPr>
            <w:r w:rsidRPr="006069F2">
              <w:t>Geotechnical and resistivity details.</w:t>
            </w:r>
          </w:p>
          <w:p w:rsidR="00000000" w:rsidRPr="006069F2" w:rsidP="006069F2">
            <w:pPr>
              <w:pStyle w:val="BodyText"/>
            </w:pPr>
            <w:r w:rsidRPr="006069F2">
              <w:t>Completion of environmental considerations</w:t>
            </w:r>
          </w:p>
          <w:p w:rsidR="00000000" w:rsidRPr="006069F2" w:rsidP="006069F2">
            <w:pPr>
              <w:pStyle w:val="BodyText"/>
            </w:pPr>
            <w:r w:rsidRPr="006069F2">
              <w:t>Acquisition of design project scope document</w:t>
            </w:r>
          </w:p>
          <w:p w:rsidR="00000000" w:rsidRPr="006069F2" w:rsidP="006069F2">
            <w:pPr>
              <w:pStyle w:val="BodyText"/>
            </w:pPr>
            <w:r w:rsidRPr="006069F2">
              <w:t>Component manufacturer's details.</w:t>
            </w:r>
          </w:p>
          <w:p w:rsidR="00000000" w:rsidP="006069F2">
            <w:pPr>
              <w:pStyle w:val="BodyText"/>
              <w:rPr>
                <w:lang w:val="en-NZ"/>
              </w:rPr>
            </w:pPr>
            <w:r w:rsidRPr="006069F2">
              <w:t>Engagement of necessary consultants / contractors.</w:t>
            </w:r>
          </w:p>
        </w:tc>
      </w:tr>
      <w:tr w:rsidTr="001F245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9F2">
            <w:pPr>
              <w:pStyle w:val="BodyText"/>
              <w:rPr>
                <w:lang w:val="en-NZ"/>
              </w:rPr>
            </w:pPr>
            <w:r w:rsidRPr="006069F2">
              <w:t>B</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9F2">
            <w:pPr>
              <w:pStyle w:val="BodyText"/>
              <w:rPr>
                <w:lang w:val="en-NZ"/>
              </w:rPr>
            </w:pPr>
            <w:r w:rsidRPr="006069F2">
              <w:t>The design process commencement activiti</w:t>
            </w:r>
            <w:r w:rsidRPr="006069F2">
              <w:t>es, and to include each of the following items:</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9F2" w:rsidP="006069F2">
            <w:pPr>
              <w:pStyle w:val="BodyText"/>
            </w:pPr>
            <w:r w:rsidRPr="006069F2">
              <w:t>Issue of design documentation to allow construction.</w:t>
            </w:r>
          </w:p>
          <w:p w:rsidR="00000000" w:rsidRPr="006069F2" w:rsidP="006069F2">
            <w:pPr>
              <w:pStyle w:val="BodyText"/>
            </w:pPr>
            <w:r w:rsidRPr="006069F2">
              <w:t>Closure of the design process post delivery review and implementation of corrective actions.</w:t>
            </w:r>
          </w:p>
          <w:p w:rsidR="00000000" w:rsidP="006069F2">
            <w:pPr>
              <w:pStyle w:val="BodyText"/>
              <w:rPr>
                <w:lang w:val="en-NZ"/>
              </w:rPr>
            </w:pPr>
            <w:r w:rsidRPr="006069F2">
              <w:t>Issue of corrected design documents reflecting field mark ups.</w:t>
            </w:r>
          </w:p>
        </w:tc>
      </w:tr>
      <w:tr w:rsidTr="001F245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9F2">
            <w:pPr>
              <w:pStyle w:val="BodyText"/>
              <w:rPr>
                <w:lang w:val="en-NZ"/>
              </w:rPr>
            </w:pPr>
            <w:r w:rsidRPr="006069F2">
              <w:t>C</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9F2">
            <w:pPr>
              <w:pStyle w:val="BodyText"/>
              <w:rPr>
                <w:lang w:val="en-NZ"/>
              </w:rPr>
            </w:pPr>
            <w:r w:rsidRPr="006069F2">
              <w:t>The two technical projects to included all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9F2" w:rsidP="006069F2">
            <w:pPr>
              <w:pStyle w:val="BodyText"/>
            </w:pPr>
            <w:r w:rsidRPr="006069F2">
              <w:t xml:space="preserve">Activities that address the correction of errors in the process. </w:t>
            </w:r>
          </w:p>
          <w:p w:rsidR="00000000" w:rsidP="006069F2">
            <w:pPr>
              <w:pStyle w:val="BodyText"/>
              <w:rPr>
                <w:lang w:val="en-NZ"/>
              </w:rPr>
            </w:pPr>
            <w:r w:rsidRPr="006069F2">
              <w:t>Application of a design control checklist, which lists all of the required design activities to be carried out in this process.</w:t>
            </w:r>
          </w:p>
        </w:tc>
      </w:tr>
      <w:tr w:rsidTr="001F245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9F2">
            <w:pPr>
              <w:pStyle w:val="BodyText"/>
              <w:rPr>
                <w:lang w:val="en-NZ"/>
              </w:rPr>
            </w:pPr>
            <w:r w:rsidRPr="006069F2">
              <w:t>D</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9F2">
            <w:pPr>
              <w:pStyle w:val="BodyText"/>
              <w:rPr>
                <w:lang w:val="en-NZ"/>
              </w:rPr>
            </w:pPr>
            <w:r w:rsidRPr="006069F2">
              <w:t>At least one occasion</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9F2">
            <w:pPr>
              <w:pStyle w:val="BodyText"/>
              <w:rPr>
                <w:lang w:val="en-NZ"/>
              </w:rPr>
            </w:pPr>
            <w:r w:rsidRPr="006069F2">
              <w:t>Dealing with an unplanned event by drawing on essential knowledge and associated skills to provide ap</w:t>
            </w:r>
            <w:r w:rsidRPr="006069F2">
              <w:t>propriate solutions incorporated in the holistic assessment with the above listed items.</w:t>
            </w:r>
          </w:p>
        </w:tc>
      </w:tr>
      <w:tr w:rsidTr="001F245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6069F2" w:rsidP="006069F2">
            <w:pPr>
              <w:pStyle w:val="BodyText"/>
            </w:pPr>
            <w:r w:rsidRPr="006069F2">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6069F2" w:rsidP="006069F2">
            <w:pPr>
              <w:pStyle w:val="BodyText"/>
            </w:pPr>
            <w:r w:rsidRPr="006069F2">
              <w:rPr>
                <w:rStyle w:val="SpecialBold"/>
              </w:rPr>
              <w:t>9</w:t>
            </w:r>
            <w:r w:rsidRPr="006069F2">
              <w:t>.</w:t>
            </w:r>
            <w:r w:rsidRPr="006069F2">
              <w:rPr>
                <w:rStyle w:val="SpecialBold"/>
              </w:rPr>
              <w:t>3</w:t>
            </w:r>
            <w:r w:rsidRPr="006069F2">
              <w:t xml:space="preserve">) </w:t>
            </w:r>
          </w:p>
          <w:p w:rsidR="00000000" w:rsidRPr="006069F2" w:rsidP="006069F2">
            <w:pPr>
              <w:pStyle w:val="BodyText"/>
            </w:pPr>
            <w:r w:rsidRPr="006069F2">
              <w:t xml:space="preserve">This unit should be assessed as it relates to normal work practice using procedures, information and resources </w:t>
            </w:r>
            <w:r w:rsidRPr="006069F2">
              <w:t>typical of a workplace. This should include:</w:t>
            </w:r>
          </w:p>
          <w:p w:rsidR="00000000" w:rsidRPr="006069F2" w:rsidP="006069F2">
            <w:pPr>
              <w:pStyle w:val="ListBullet2"/>
            </w:pPr>
            <w:r w:rsidRPr="006069F2">
              <w:t>OHS policy and work procedures and instructions.</w:t>
            </w:r>
          </w:p>
          <w:p w:rsidR="00000000" w:rsidP="006069F2">
            <w:pPr>
              <w:pStyle w:val="ListBullet2"/>
              <w:rPr>
                <w:lang w:val="en-NZ"/>
              </w:rPr>
            </w:pPr>
            <w:r w:rsidRPr="006069F2">
              <w:t>Suitable work environment, facilities, equipment and materials to undertake actual management of the transmission, sub-transmission and zone substation design process</w:t>
            </w:r>
          </w:p>
        </w:tc>
      </w:tr>
      <w:tr w:rsidTr="001F245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 xml:space="preserve">In addition to the resources listed above, in Context of and specific resources for </w:t>
            </w:r>
            <w:r w:rsidRPr="006069F2">
              <w:t>assessment, evidence should show demonstrated competency working realistic environment and a variety of conditions.</w:t>
            </w:r>
          </w:p>
        </w:tc>
      </w:tr>
      <w:tr w:rsidTr="001F245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6069F2" w:rsidP="006069F2">
            <w:pPr>
              <w:pStyle w:val="BodyText"/>
            </w:pPr>
            <w:r w:rsidRPr="006069F2">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6069F2" w:rsidP="006069F2">
            <w:pPr>
              <w:pStyle w:val="BodyText"/>
            </w:pPr>
            <w:r w:rsidRPr="006069F2">
              <w:rPr>
                <w:rStyle w:val="SpecialBold"/>
              </w:rPr>
              <w:t>9</w:t>
            </w:r>
            <w:r w:rsidRPr="006069F2">
              <w:t>.</w:t>
            </w:r>
            <w:r w:rsidRPr="006069F2">
              <w:rPr>
                <w:rStyle w:val="SpecialBold"/>
              </w:rPr>
              <w:t>4</w:t>
            </w:r>
            <w:r w:rsidRPr="006069F2">
              <w:t xml:space="preserve">) </w:t>
            </w:r>
          </w:p>
          <w:p w:rsidR="00000000" w:rsidRPr="006069F2" w:rsidP="006069F2">
            <w:pPr>
              <w:pStyle w:val="BodyText"/>
            </w:pPr>
            <w:r w:rsidRPr="006069F2">
              <w:t>This Competency Standard Unit shall be assessed by methods given in Volume 1, Part 3 "Assessment Guidelines".</w:t>
            </w:r>
          </w:p>
          <w:p w:rsidR="00000000" w:rsidP="006069F2">
            <w:pPr>
              <w:pStyle w:val="BodyText"/>
              <w:rPr>
                <w:lang w:val="en-NZ"/>
              </w:rPr>
            </w:pPr>
            <w:r w:rsidRPr="006069F2">
              <w:t>Note:</w:t>
            </w:r>
            <w:r w:rsidRPr="006069F2">
              <w:br/>
              <w:t>Competent performance with inherent safe working practices is expected in the Industry to which this Competency Standard Unit applies. This requires that the specified essential knowledge and associated skills are assessed in a structured environmen</w:t>
            </w:r>
            <w:r w:rsidRPr="006069F2">
              <w:t>t which is primarily intended for learning/assessment and incorporates all necessary equipment and facilities for learners to develop and demonstrate the essential knowledge and associated skills described in this unit.</w:t>
            </w:r>
          </w:p>
        </w:tc>
      </w:tr>
      <w:tr w:rsidTr="001F245C">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6069F2" w:rsidP="006069F2">
            <w:pPr>
              <w:pStyle w:val="BodyText"/>
            </w:pPr>
            <w:r w:rsidRPr="006069F2">
              <w:rPr>
                <w:rStyle w:val="SpecialBold"/>
              </w:rPr>
              <w:t>Concurrent assessment and relati</w:t>
            </w:r>
            <w:r w:rsidRPr="006069F2">
              <w:rPr>
                <w:rStyle w:val="SpecialBold"/>
              </w:rPr>
              <w:t>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rPr>
                <w:rStyle w:val="SpecialBold"/>
              </w:rPr>
              <w:t>9</w:t>
            </w:r>
            <w:r w:rsidRPr="006069F2">
              <w:t>.</w:t>
            </w:r>
            <w:r w:rsidRPr="006069F2">
              <w:rPr>
                <w:rStyle w:val="SpecialBold"/>
              </w:rPr>
              <w:t>5</w:t>
            </w:r>
            <w:r w:rsidRPr="006069F2">
              <w:t>)</w:t>
            </w:r>
          </w:p>
        </w:tc>
      </w:tr>
      <w:tr w:rsidTr="001F245C">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6069F2" w:rsidP="006069F2">
            <w:pPr>
              <w:pStyle w:val="BodyText"/>
            </w:pPr>
            <w:r w:rsidRPr="006069F2">
              <w:t>There are no recommended concurrent assessments with this unit, however in some cases efficiencies may be gained in terms of learning and assessment effort being concurrently managed.</w:t>
            </w:r>
          </w:p>
        </w:tc>
      </w:tr>
    </w:tbl>
    <w:p w:rsidR="001F245C" w:rsidP="006069F2">
      <w:pPr>
        <w:pStyle w:val="BodyText"/>
      </w:pPr>
    </w:p>
    <w:p w:rsidR="001F245C" w:rsidP="006069F2">
      <w:pPr>
        <w:pStyle w:val="BodyText"/>
      </w:pPr>
    </w:p>
    <w:p w:rsidR="00000000" w:rsidRPr="006069F2" w:rsidP="006069F2">
      <w:pPr>
        <w:pStyle w:val="Heading1"/>
      </w:pPr>
      <w:bookmarkStart w:id="11" w:name="O_256131"/>
      <w:bookmarkEnd w:id="11"/>
      <w:r w:rsidRPr="006069F2">
        <w:t>Range Statement</w:t>
      </w:r>
    </w:p>
    <w:tbl>
      <w:tblPr>
        <w:tblW w:w="0" w:type="auto"/>
        <w:tblLayout w:type="fixed"/>
        <w:tblCellMar>
          <w:left w:w="62" w:type="dxa"/>
          <w:right w:w="62" w:type="dxa"/>
        </w:tblCellMar>
        <w:tblLook w:val="0000"/>
      </w:tblPr>
      <w:tblGrid>
        <w:gridCol w:w="2206"/>
        <w:gridCol w:w="6434"/>
      </w:tblGrid>
      <w:tr w:rsidTr="001F245C">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rPr>
                <w:rStyle w:val="SpecialBold"/>
              </w:rPr>
              <w:t>RANGE STATEMENT</w:t>
            </w:r>
          </w:p>
        </w:tc>
      </w:tr>
      <w:tr w:rsidTr="001F245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rPr>
                <w:rStyle w:val="SpecialBold"/>
              </w:rPr>
              <w:t>8</w:t>
            </w:r>
            <w:r w:rsidRPr="006069F2">
              <w:t>) This relates to the unit of competency as a whole providing the range of contexts and conditions to which the Performance Criteria apply. It allows for different work environments and situations that will affect perform</w:t>
            </w:r>
            <w:r w:rsidRPr="006069F2">
              <w:t>ance.</w:t>
            </w:r>
          </w:p>
        </w:tc>
      </w:tr>
      <w:tr w:rsidTr="001F245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6069F2" w:rsidP="006069F2">
            <w:pPr>
              <w:pStyle w:val="BodyText"/>
            </w:pPr>
            <w:r w:rsidRPr="006069F2">
              <w:t>This Competency Standard Unit shall/may be demonstrated in relation to the design housekeeping/management components of transmission, sub-transmission and zone substation.</w:t>
            </w:r>
          </w:p>
          <w:p w:rsidR="00000000" w:rsidP="006069F2">
            <w:pPr>
              <w:pStyle w:val="BodyText"/>
              <w:rPr>
                <w:lang w:val="en-NZ"/>
              </w:rPr>
            </w:pPr>
            <w:r w:rsidRPr="006069F2">
              <w:t>The following constants and variables included in the element/Performance Criteria in this unit are fully described in the Definitions Section 1 of this volume and form an integral part of the Range Statement of this unit:</w:t>
            </w:r>
          </w:p>
        </w:tc>
      </w:tr>
      <w:tr w:rsidTr="001F245C">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6069F2" w:rsidP="006069F2">
            <w:pPr>
              <w:pStyle w:val="ListBullet2"/>
            </w:pPr>
            <w:r w:rsidRPr="006069F2">
              <w:t>Appropriate and relevant pers</w:t>
            </w:r>
            <w:r w:rsidRPr="006069F2">
              <w:t>ons (see Personnel)</w:t>
            </w:r>
          </w:p>
          <w:p w:rsidR="00000000" w:rsidRPr="006069F2" w:rsidP="006069F2">
            <w:pPr>
              <w:pStyle w:val="ListBullet2"/>
            </w:pPr>
            <w:r w:rsidRPr="006069F2">
              <w:t>Appropriate authorities</w:t>
            </w:r>
          </w:p>
          <w:p w:rsidR="00000000" w:rsidRPr="006069F2" w:rsidP="006069F2">
            <w:pPr>
              <w:pStyle w:val="ListBullet2"/>
            </w:pPr>
            <w:r w:rsidRPr="006069F2">
              <w:t>Appropriate work platform.</w:t>
            </w:r>
          </w:p>
          <w:p w:rsidR="00000000" w:rsidRPr="006069F2" w:rsidP="006069F2">
            <w:pPr>
              <w:pStyle w:val="ListBullet2"/>
            </w:pPr>
            <w:r w:rsidRPr="006069F2">
              <w:t>Assessing risk</w:t>
            </w:r>
          </w:p>
          <w:p w:rsidR="00000000" w:rsidRPr="006069F2" w:rsidP="006069F2">
            <w:pPr>
              <w:pStyle w:val="ListBullet2"/>
            </w:pPr>
            <w:r w:rsidRPr="006069F2">
              <w:t>Assessment</w:t>
            </w:r>
          </w:p>
          <w:p w:rsidR="00000000" w:rsidRPr="006069F2" w:rsidP="006069F2">
            <w:pPr>
              <w:pStyle w:val="ListBullet2"/>
            </w:pPr>
            <w:r w:rsidRPr="006069F2">
              <w:t xml:space="preserve">Authorisation </w:t>
            </w:r>
          </w:p>
          <w:p w:rsidR="00000000" w:rsidRPr="006069F2" w:rsidP="006069F2">
            <w:pPr>
              <w:pStyle w:val="ListBullet2"/>
            </w:pPr>
            <w:r w:rsidRPr="006069F2">
              <w:t>Confined space</w:t>
            </w:r>
          </w:p>
          <w:p w:rsidR="00000000" w:rsidRPr="006069F2" w:rsidP="006069F2">
            <w:pPr>
              <w:pStyle w:val="ListBullet2"/>
            </w:pPr>
            <w:r w:rsidRPr="006069F2">
              <w:t>Diagnostic, testing and restoration.</w:t>
            </w:r>
          </w:p>
          <w:p w:rsidR="00000000" w:rsidRPr="006069F2" w:rsidP="006069F2">
            <w:pPr>
              <w:pStyle w:val="ListBullet2"/>
            </w:pPr>
            <w:r w:rsidRPr="006069F2">
              <w:t>Documenting detail work events, record keeping and or storage of information.</w:t>
            </w:r>
          </w:p>
          <w:p w:rsidR="00000000" w:rsidRPr="006069F2" w:rsidP="006069F2">
            <w:pPr>
              <w:pStyle w:val="ListBullet2"/>
            </w:pPr>
            <w:r w:rsidRPr="006069F2">
              <w:t xml:space="preserve">Drawings and specifications </w:t>
            </w:r>
          </w:p>
          <w:p w:rsidR="00000000" w:rsidRPr="006069F2" w:rsidP="006069F2">
            <w:pPr>
              <w:pStyle w:val="ListBullet2"/>
            </w:pPr>
            <w:r w:rsidRPr="006069F2">
              <w:t>Emergency</w:t>
            </w:r>
          </w:p>
          <w:p w:rsidR="00000000" w:rsidRPr="006069F2" w:rsidP="006069F2">
            <w:pPr>
              <w:pStyle w:val="ListBullet2"/>
            </w:pPr>
            <w:r w:rsidRPr="006069F2">
              <w:t>Environmental and sustainable energy procedures</w:t>
            </w:r>
          </w:p>
          <w:p w:rsidR="00000000" w:rsidRPr="006069F2" w:rsidP="006069F2">
            <w:pPr>
              <w:pStyle w:val="ListBullet2"/>
            </w:pPr>
            <w:r w:rsidRPr="006069F2">
              <w:t>Environmental legislation.</w:t>
            </w:r>
          </w:p>
          <w:p w:rsidR="00000000" w:rsidRPr="006069F2" w:rsidP="006069F2">
            <w:pPr>
              <w:pStyle w:val="ListBullet2"/>
            </w:pPr>
            <w:r w:rsidRPr="006069F2">
              <w:t>Environmental management documentation.</w:t>
            </w:r>
          </w:p>
          <w:p w:rsidR="00000000" w:rsidRPr="006069F2" w:rsidP="006069F2">
            <w:pPr>
              <w:pStyle w:val="ListBullet2"/>
            </w:pPr>
            <w:r w:rsidRPr="006069F2">
              <w:t>Established procedures.</w:t>
            </w:r>
          </w:p>
          <w:p w:rsidR="00000000" w:rsidRPr="006069F2" w:rsidP="006069F2">
            <w:pPr>
              <w:pStyle w:val="ListBullet2"/>
            </w:pPr>
            <w:r w:rsidRPr="006069F2">
              <w:t>Fall prevention</w:t>
            </w:r>
          </w:p>
          <w:p w:rsidR="00000000" w:rsidRPr="006069F2" w:rsidP="006069F2">
            <w:pPr>
              <w:pStyle w:val="ListBullet2"/>
            </w:pPr>
            <w:r w:rsidRPr="006069F2">
              <w:t>Hazards</w:t>
            </w:r>
          </w:p>
          <w:p w:rsidR="00000000" w:rsidRPr="006069F2" w:rsidP="006069F2">
            <w:pPr>
              <w:pStyle w:val="ListBullet2"/>
            </w:pPr>
            <w:r w:rsidRPr="006069F2">
              <w:t>Identifying hazards</w:t>
            </w:r>
          </w:p>
          <w:p w:rsidR="00000000" w:rsidRPr="006069F2" w:rsidP="006069F2">
            <w:pPr>
              <w:pStyle w:val="ListBullet2"/>
            </w:pPr>
            <w:r w:rsidRPr="006069F2">
              <w:t>Inspect</w:t>
            </w:r>
          </w:p>
          <w:p w:rsidR="00000000" w:rsidRPr="006069F2" w:rsidP="006069F2">
            <w:pPr>
              <w:pStyle w:val="ListBullet2"/>
            </w:pPr>
            <w:r w:rsidRPr="006069F2">
              <w:t>Legislation</w:t>
            </w:r>
          </w:p>
          <w:p w:rsidR="00000000" w:rsidRPr="006069F2" w:rsidP="006069F2">
            <w:pPr>
              <w:pStyle w:val="ListBullet2"/>
            </w:pPr>
            <w:r w:rsidRPr="006069F2">
              <w:t>MSDS</w:t>
            </w:r>
          </w:p>
          <w:p w:rsidR="00000000" w:rsidRPr="006069F2" w:rsidP="006069F2">
            <w:pPr>
              <w:pStyle w:val="ListBullet2"/>
            </w:pPr>
            <w:r w:rsidRPr="006069F2">
              <w:t>Notificat</w:t>
            </w:r>
            <w:r w:rsidRPr="006069F2">
              <w:t>ion.</w:t>
            </w:r>
          </w:p>
          <w:p w:rsidR="00000000" w:rsidRPr="006069F2" w:rsidP="006069F2">
            <w:pPr>
              <w:pStyle w:val="ListBullet2"/>
            </w:pPr>
            <w:r w:rsidRPr="006069F2">
              <w:t>OHS practices</w:t>
            </w:r>
          </w:p>
          <w:p w:rsidR="00000000" w:rsidRPr="006069F2" w:rsidP="006069F2">
            <w:pPr>
              <w:pStyle w:val="ListBullet2"/>
            </w:pPr>
            <w:r w:rsidRPr="006069F2">
              <w:t>OHS issues</w:t>
            </w:r>
          </w:p>
          <w:p w:rsidR="00000000" w:rsidRPr="006069F2" w:rsidP="006069F2">
            <w:pPr>
              <w:pStyle w:val="ListBullet2"/>
            </w:pPr>
            <w:r w:rsidRPr="006069F2">
              <w:t>Permits and / or permits to work</w:t>
            </w:r>
          </w:p>
          <w:p w:rsidR="00000000" w:rsidRPr="006069F2" w:rsidP="006069F2">
            <w:pPr>
              <w:pStyle w:val="ListBullet2"/>
            </w:pPr>
            <w:r w:rsidRPr="006069F2">
              <w:t>Personnel.</w:t>
            </w:r>
          </w:p>
          <w:p w:rsidR="00000000" w:rsidRPr="006069F2" w:rsidP="006069F2">
            <w:pPr>
              <w:pStyle w:val="ListBullet2"/>
            </w:pPr>
            <w:r w:rsidRPr="006069F2">
              <w:t>Quality assurance systems.</w:t>
            </w:r>
          </w:p>
          <w:p w:rsidR="00000000" w:rsidRPr="006069F2" w:rsidP="006069F2">
            <w:pPr>
              <w:pStyle w:val="ListBullet2"/>
            </w:pPr>
            <w:r w:rsidRPr="006069F2">
              <w:t>Requirements.</w:t>
            </w:r>
          </w:p>
          <w:p w:rsidR="00000000" w:rsidRPr="006069F2" w:rsidP="006069F2">
            <w:pPr>
              <w:pStyle w:val="ListBullet2"/>
            </w:pPr>
            <w:r w:rsidRPr="006069F2">
              <w:t>Safe design principles</w:t>
            </w:r>
          </w:p>
          <w:p w:rsidR="00000000" w:rsidRPr="006069F2" w:rsidP="006069F2">
            <w:pPr>
              <w:pStyle w:val="ListBullet2"/>
            </w:pPr>
            <w:r w:rsidRPr="006069F2">
              <w:t>Testing procedures</w:t>
            </w:r>
          </w:p>
          <w:p w:rsidR="00000000" w:rsidRPr="006069F2" w:rsidP="006069F2">
            <w:pPr>
              <w:pStyle w:val="ListBullet2"/>
            </w:pPr>
            <w:r w:rsidRPr="006069F2">
              <w:t>Work clearance systems</w:t>
            </w:r>
          </w:p>
        </w:tc>
      </w:tr>
    </w:tbl>
    <w:p w:rsidR="001F245C" w:rsidP="006069F2">
      <w:pPr>
        <w:pStyle w:val="BodyText"/>
      </w:pPr>
    </w:p>
    <w:p w:rsidR="001F245C" w:rsidP="006069F2">
      <w:pPr>
        <w:pStyle w:val="BodyText"/>
      </w:pPr>
    </w:p>
    <w:p w:rsidR="00000000" w:rsidRPr="006069F2" w:rsidP="006069F2">
      <w:pPr>
        <w:pStyle w:val="Heading1"/>
      </w:pPr>
      <w:bookmarkStart w:id="12" w:name="O_297144"/>
      <w:bookmarkEnd w:id="12"/>
      <w:r w:rsidRPr="006069F2">
        <w:t>Unit Sector(s)</w:t>
      </w:r>
    </w:p>
    <w:p w:rsidR="00000000" w:rsidRPr="006069F2" w:rsidP="006069F2">
      <w:pPr>
        <w:pStyle w:val="BodyText"/>
      </w:pPr>
      <w:r w:rsidRPr="006069F2">
        <w:t>Not Applicable</w:t>
      </w:r>
    </w:p>
    <w:p w:rsidR="00000000" w:rsidRPr="006069F2" w:rsidP="006069F2">
      <w:pPr>
        <w:pStyle w:val="AllowPageBreak"/>
      </w:pPr>
    </w:p>
    <w:p w:rsidR="00000000" w:rsidRPr="006069F2" w:rsidP="006069F2">
      <w:pPr>
        <w:pStyle w:val="Heading1"/>
      </w:pPr>
      <w:bookmarkStart w:id="13" w:name="O_231301"/>
      <w:bookmarkEnd w:id="13"/>
      <w:r w:rsidRPr="006069F2">
        <w:t>2.2) Literacy and numeracy skills</w:t>
      </w:r>
    </w:p>
    <w:tbl>
      <w:tblPr>
        <w:tblW w:w="0" w:type="auto"/>
        <w:tblLayout w:type="fixed"/>
        <w:tblCellMar>
          <w:left w:w="62" w:type="dxa"/>
          <w:right w:w="62" w:type="dxa"/>
        </w:tblCellMar>
        <w:tblLook w:val="0000"/>
      </w:tblPr>
      <w:tblGrid>
        <w:gridCol w:w="1620"/>
        <w:gridCol w:w="1071"/>
        <w:gridCol w:w="1776"/>
        <w:gridCol w:w="1207"/>
        <w:gridCol w:w="1886"/>
        <w:gridCol w:w="1080"/>
      </w:tblGrid>
      <w:tr w:rsidTr="001F245C">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6069F2" w:rsidP="006069F2">
            <w:pPr>
              <w:pStyle w:val="BodyText"/>
            </w:pPr>
            <w:r w:rsidRPr="006069F2">
              <w:rPr>
                <w:rStyle w:val="SpecialBold"/>
              </w:rPr>
              <w:t>2</w:t>
            </w:r>
            <w:r w:rsidRPr="006069F2">
              <w:t>.</w:t>
            </w:r>
            <w:r w:rsidRPr="006069F2">
              <w:rPr>
                <w:rStyle w:val="SpecialBold"/>
              </w:rPr>
              <w:t>2</w:t>
            </w:r>
            <w:r w:rsidRPr="006069F2">
              <w:t xml:space="preserve">) </w:t>
            </w:r>
            <w:r w:rsidRPr="006069F2">
              <w:rPr>
                <w:rStyle w:val="SpecialBold"/>
              </w:rPr>
              <w:t>Literacy and numeracy skills</w:t>
            </w:r>
          </w:p>
          <w:p w:rsidR="00000000" w:rsidP="006069F2">
            <w:pPr>
              <w:pStyle w:val="BodyText"/>
              <w:rPr>
                <w:lang w:val="en-NZ"/>
              </w:rPr>
            </w:pPr>
            <w:r w:rsidRPr="006069F2">
              <w:t>Participants are best equipped to achieve this unit if they have reading, writing and numeracy skills indicated by the following scales. Description of each scale is given in Volume 2, Par</w:t>
            </w:r>
            <w:r w:rsidRPr="006069F2">
              <w:t>t 3 "Literacy and Numeracy"</w:t>
            </w:r>
          </w:p>
        </w:tc>
      </w:tr>
      <w:tr w:rsidTr="001F245C">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Reading</w:t>
            </w:r>
          </w:p>
        </w:tc>
        <w:tc>
          <w:tcPr>
            <w:tcW w:w="1071"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5</w:t>
            </w:r>
          </w:p>
        </w:tc>
        <w:tc>
          <w:tcPr>
            <w:tcW w:w="1776"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Writing</w:t>
            </w:r>
          </w:p>
        </w:tc>
        <w:tc>
          <w:tcPr>
            <w:tcW w:w="1207"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5</w:t>
            </w:r>
          </w:p>
        </w:tc>
        <w:tc>
          <w:tcPr>
            <w:tcW w:w="1886"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t>Numeracy</w:t>
            </w:r>
          </w:p>
        </w:tc>
        <w:tc>
          <w:tcPr>
            <w:tcW w:w="1080" w:type="dxa"/>
            <w:tcBorders>
              <w:top w:val="nil"/>
              <w:left w:val="nil"/>
              <w:bottom w:val="nil"/>
              <w:right w:val="nil"/>
            </w:tcBorders>
            <w:tcMar>
              <w:top w:w="0" w:type="dxa"/>
              <w:left w:w="62" w:type="dxa"/>
              <w:bottom w:w="0" w:type="dxa"/>
              <w:right w:w="62" w:type="dxa"/>
            </w:tcMar>
          </w:tcPr>
          <w:p w:rsidR="00000000" w:rsidRPr="006069F2" w:rsidP="006069F2">
            <w:pPr>
              <w:pStyle w:val="BodyText"/>
            </w:pPr>
            <w:r w:rsidRPr="006069F2">
              <w:t>5</w:t>
            </w:r>
          </w:p>
        </w:tc>
      </w:tr>
    </w:tbl>
    <w:p w:rsidR="001F245C" w:rsidP="006069F2">
      <w:pPr>
        <w:pStyle w:val="BodyText"/>
      </w:pPr>
    </w:p>
    <w:p w:rsidR="001F245C" w:rsidP="006069F2">
      <w:pPr>
        <w:pStyle w:val="BodyText"/>
      </w:pPr>
    </w:p>
    <w:p w:rsidR="00000000" w:rsidRPr="006069F2" w:rsidP="006069F2">
      <w:pPr>
        <w:pStyle w:val="Heading1"/>
      </w:pPr>
      <w:bookmarkStart w:id="14" w:name="O_231304"/>
      <w:bookmarkEnd w:id="14"/>
      <w:r w:rsidRPr="006069F2">
        <w:t>Competency Field</w:t>
      </w:r>
    </w:p>
    <w:tbl>
      <w:tblPr>
        <w:tblW w:w="0" w:type="auto"/>
        <w:tblLayout w:type="fixed"/>
        <w:tblCellMar>
          <w:left w:w="62" w:type="dxa"/>
          <w:right w:w="62" w:type="dxa"/>
        </w:tblCellMar>
        <w:tblLook w:val="0000"/>
      </w:tblPr>
      <w:tblGrid>
        <w:gridCol w:w="2758"/>
        <w:gridCol w:w="5882"/>
      </w:tblGrid>
      <w:tr w:rsidTr="001F245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6069F2" w:rsidP="006069F2">
            <w:pPr>
              <w:pStyle w:val="BodyText"/>
            </w:pPr>
            <w:r w:rsidRPr="006069F2">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6069F2">
            <w:pPr>
              <w:pStyle w:val="BodyText"/>
              <w:rPr>
                <w:lang w:val="en-NZ"/>
              </w:rPr>
            </w:pPr>
            <w:r w:rsidRPr="006069F2">
              <w:rPr>
                <w:rStyle w:val="SpecialBold"/>
              </w:rPr>
              <w:t>5</w:t>
            </w:r>
            <w:r w:rsidRPr="006069F2">
              <w:t>)</w:t>
            </w:r>
          </w:p>
        </w:tc>
      </w:tr>
      <w:tr w:rsidTr="001F245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6069F2" w:rsidP="006069F2">
            <w:pPr>
              <w:pStyle w:val="BodyText"/>
            </w:pPr>
            <w:r w:rsidRPr="006069F2">
              <w:t>Design.</w:t>
            </w:r>
          </w:p>
        </w:tc>
      </w:tr>
    </w:tbl>
    <w:p w:rsidR="001F245C" w:rsidP="006069F2">
      <w:pPr>
        <w:pStyle w:val="BodyText"/>
      </w:pPr>
    </w:p>
    <w:p w:rsidR="001F245C" w:rsidP="006069F2">
      <w:pPr>
        <w:pStyle w:val="BodyText"/>
      </w:pPr>
    </w:p>
    <w:p w:rsidR="00000000" w:rsidRPr="006069F2" w:rsidP="006069F2"/>
    <w:sectPr w:rsidSect="006069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9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245C" w:rsidP="001F24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9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45C" w:rsidP="006069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F245C" w:rsidP="006069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F245C" w:rsidP="006069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9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245C" w:rsidP="001F24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9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45C" w:rsidP="006069F2">
    <w:pPr>
      <w:pStyle w:val="Header"/>
      <w:framePr w:wrap="around"/>
    </w:pPr>
    <w:r>
      <w:fldChar w:fldCharType="begin"/>
    </w:r>
    <w:r>
      <w:instrText xml:space="preserve"> TITLE   \* MERGEFORMAT </w:instrText>
    </w:r>
    <w:r>
      <w:fldChar w:fldCharType="separate"/>
    </w:r>
    <w:r>
      <w:t>UETTDRDS21B Manage transmission and sub-transmission design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F245C" w:rsidP="006069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2CCB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52D9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E661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9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69F2"/>
    <w:pPr>
      <w:spacing w:before="360" w:after="60"/>
      <w:outlineLvl w:val="0"/>
    </w:pPr>
    <w:rPr>
      <w:sz w:val="32"/>
    </w:rPr>
  </w:style>
  <w:style w:type="paragraph" w:styleId="Heading2">
    <w:name w:val="heading 2"/>
    <w:basedOn w:val="HeadingBase"/>
    <w:next w:val="BodyText"/>
    <w:link w:val="Heading2Char"/>
    <w:qFormat/>
    <w:rsid w:val="006069F2"/>
    <w:pPr>
      <w:keepLines/>
      <w:spacing w:before="240" w:after="120"/>
      <w:outlineLvl w:val="1"/>
    </w:pPr>
    <w:rPr>
      <w:sz w:val="28"/>
      <w:szCs w:val="40"/>
    </w:rPr>
  </w:style>
  <w:style w:type="paragraph" w:styleId="Heading3">
    <w:name w:val="heading 3"/>
    <w:basedOn w:val="HeadingBase"/>
    <w:next w:val="BodyText"/>
    <w:link w:val="Heading3Char"/>
    <w:qFormat/>
    <w:rsid w:val="006069F2"/>
    <w:pPr>
      <w:spacing w:before="180" w:after="120"/>
      <w:outlineLvl w:val="2"/>
    </w:pPr>
    <w:rPr>
      <w:spacing w:val="-10"/>
      <w:kern w:val="32"/>
    </w:rPr>
  </w:style>
  <w:style w:type="paragraph" w:styleId="Heading4">
    <w:name w:val="heading 4"/>
    <w:basedOn w:val="HeadingBase"/>
    <w:next w:val="BodyText"/>
    <w:link w:val="Heading4Char"/>
    <w:qFormat/>
    <w:rsid w:val="006069F2"/>
    <w:pPr>
      <w:spacing w:before="160" w:after="120"/>
      <w:outlineLvl w:val="3"/>
    </w:pPr>
    <w:rPr>
      <w:sz w:val="22"/>
    </w:rPr>
  </w:style>
  <w:style w:type="paragraph" w:styleId="Heading5">
    <w:name w:val="heading 5"/>
    <w:basedOn w:val="HeadingBase"/>
    <w:next w:val="Normal"/>
    <w:link w:val="Heading5Char"/>
    <w:qFormat/>
    <w:rsid w:val="006069F2"/>
    <w:pPr>
      <w:spacing w:before="80"/>
      <w:outlineLvl w:val="4"/>
    </w:pPr>
    <w:rPr>
      <w:color w:val="918585"/>
      <w:sz w:val="20"/>
    </w:rPr>
  </w:style>
  <w:style w:type="paragraph" w:styleId="Heading6">
    <w:name w:val="heading 6"/>
    <w:basedOn w:val="HeadingBase"/>
    <w:next w:val="Normal"/>
    <w:link w:val="Heading6Char"/>
    <w:qFormat/>
    <w:rsid w:val="006069F2"/>
    <w:pPr>
      <w:spacing w:before="60"/>
      <w:outlineLvl w:val="5"/>
    </w:pPr>
    <w:rPr>
      <w:color w:val="918585"/>
      <w:sz w:val="20"/>
    </w:rPr>
  </w:style>
  <w:style w:type="paragraph" w:styleId="Heading7">
    <w:name w:val="heading 7"/>
    <w:basedOn w:val="Normal"/>
    <w:next w:val="Normal"/>
    <w:link w:val="Heading7Char"/>
    <w:qFormat/>
    <w:rsid w:val="006069F2"/>
    <w:pPr>
      <w:ind w:left="720"/>
      <w:outlineLvl w:val="6"/>
    </w:pPr>
    <w:rPr>
      <w:i/>
    </w:rPr>
  </w:style>
  <w:style w:type="paragraph" w:styleId="Heading8">
    <w:name w:val="heading 8"/>
    <w:basedOn w:val="Normal"/>
    <w:next w:val="Normal"/>
    <w:link w:val="Heading8Char"/>
    <w:qFormat/>
    <w:rsid w:val="006069F2"/>
    <w:pPr>
      <w:ind w:left="720"/>
      <w:outlineLvl w:val="7"/>
    </w:pPr>
    <w:rPr>
      <w:i/>
    </w:rPr>
  </w:style>
  <w:style w:type="paragraph" w:styleId="Heading9">
    <w:name w:val="heading 9"/>
    <w:basedOn w:val="Normal"/>
    <w:next w:val="Normal"/>
    <w:link w:val="Heading9Char"/>
    <w:qFormat/>
    <w:rsid w:val="006069F2"/>
    <w:pPr>
      <w:ind w:left="720"/>
      <w:outlineLvl w:val="8"/>
    </w:pPr>
    <w:rPr>
      <w:i/>
    </w:rPr>
  </w:style>
  <w:style w:type="character" w:default="1" w:styleId="DefaultParagraphFont">
    <w:name w:val="Default Paragraph Font"/>
    <w:uiPriority w:val="1"/>
    <w:unhideWhenUsed/>
    <w:rsid w:val="006069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69F2"/>
  </w:style>
  <w:style w:type="character" w:customStyle="1" w:styleId="Heading1Char">
    <w:name w:val="Heading 1 Char"/>
    <w:basedOn w:val="DefaultParagraphFont"/>
    <w:link w:val="Heading1"/>
    <w:rsid w:val="006069F2"/>
    <w:rPr>
      <w:rFonts w:ascii="Times New Roman" w:eastAsia="Times New Roman" w:hAnsi="Times New Roman" w:cs="Times New Roman"/>
      <w:b/>
      <w:sz w:val="32"/>
      <w:szCs w:val="20"/>
      <w:lang w:eastAsia="en-US"/>
    </w:rPr>
  </w:style>
  <w:style w:type="paragraph" w:styleId="BodyText">
    <w:name w:val="Body Text"/>
    <w:basedOn w:val="Normal"/>
    <w:link w:val="BodyTextChar"/>
    <w:rsid w:val="006069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69F2"/>
    <w:rPr>
      <w:rFonts w:ascii="Times New Roman" w:eastAsia="Times New Roman" w:hAnsi="Times New Roman" w:cs="Times New Roman"/>
      <w:sz w:val="24"/>
      <w:lang w:val="en-US" w:eastAsia="en-US"/>
    </w:rPr>
  </w:style>
  <w:style w:type="paragraph" w:styleId="Footer">
    <w:name w:val="footer"/>
    <w:basedOn w:val="Normal"/>
    <w:link w:val="FooterChar"/>
    <w:rsid w:val="006069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69F2"/>
    <w:rPr>
      <w:rFonts w:ascii="Times New Roman" w:eastAsia="Times New Roman" w:hAnsi="Times New Roman" w:cs="Times New Roman"/>
      <w:sz w:val="16"/>
      <w:lang w:val="en-US" w:eastAsia="en-US"/>
    </w:rPr>
  </w:style>
  <w:style w:type="paragraph" w:styleId="ListBullet">
    <w:name w:val="List Bullet"/>
    <w:basedOn w:val="List"/>
    <w:rsid w:val="006069F2"/>
    <w:pPr>
      <w:numPr>
        <w:numId w:val="13"/>
      </w:numPr>
      <w:tabs>
        <w:tab w:val="clear" w:pos="340"/>
      </w:tabs>
      <w:spacing w:before="40" w:after="40"/>
    </w:pPr>
  </w:style>
  <w:style w:type="character" w:customStyle="1" w:styleId="SpecialBold">
    <w:name w:val="Special Bold"/>
    <w:basedOn w:val="DefaultParagraphFont"/>
    <w:rsid w:val="006069F2"/>
    <w:rPr>
      <w:b/>
      <w:spacing w:val="0"/>
    </w:rPr>
  </w:style>
  <w:style w:type="paragraph" w:styleId="ListBullet2">
    <w:name w:val="List Bullet 2"/>
    <w:basedOn w:val="List2"/>
    <w:rsid w:val="006069F2"/>
    <w:pPr>
      <w:numPr>
        <w:numId w:val="14"/>
      </w:numPr>
      <w:tabs>
        <w:tab w:val="clear" w:pos="680"/>
      </w:tabs>
    </w:pPr>
  </w:style>
  <w:style w:type="paragraph" w:styleId="Header">
    <w:name w:val="header"/>
    <w:basedOn w:val="Normal"/>
    <w:link w:val="HeaderChar"/>
    <w:rsid w:val="006069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69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69F2"/>
    <w:pPr>
      <w:spacing w:before="240" w:after="120"/>
      <w:outlineLvl w:val="0"/>
    </w:pPr>
    <w:rPr>
      <w:rFonts w:ascii="Times New Roman" w:hAnsi="Times New Roman"/>
      <w:b/>
      <w:sz w:val="28"/>
    </w:rPr>
  </w:style>
  <w:style w:type="paragraph" w:customStyle="1" w:styleId="AllowPageBreak">
    <w:name w:val="AllowPageBreak"/>
    <w:rsid w:val="006069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69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69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69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69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69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69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69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69F2"/>
    <w:rPr>
      <w:rFonts w:ascii="Courier New" w:eastAsia="Times New Roman" w:hAnsi="Courier New" w:cs="Times New Roman"/>
      <w:i/>
      <w:szCs w:val="20"/>
      <w:lang w:val="en-US" w:eastAsia="en-US"/>
    </w:rPr>
  </w:style>
  <w:style w:type="paragraph" w:customStyle="1" w:styleId="HeadingBase">
    <w:name w:val="Heading Base"/>
    <w:rsid w:val="006069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69F2"/>
    <w:pPr>
      <w:tabs>
        <w:tab w:val="right" w:leader="dot" w:pos="9072"/>
      </w:tabs>
      <w:ind w:left="567"/>
    </w:pPr>
    <w:rPr>
      <w:szCs w:val="22"/>
    </w:rPr>
  </w:style>
  <w:style w:type="paragraph" w:customStyle="1" w:styleId="TOCBase">
    <w:name w:val="TOC Base"/>
    <w:rsid w:val="006069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69F2"/>
    <w:pPr>
      <w:tabs>
        <w:tab w:val="right" w:leader="dot" w:pos="9072"/>
      </w:tabs>
      <w:spacing w:before="40" w:after="40"/>
      <w:ind w:left="284"/>
    </w:pPr>
    <w:rPr>
      <w:rFonts w:ascii="Times New Roman" w:hAnsi="Times New Roman"/>
    </w:rPr>
  </w:style>
  <w:style w:type="paragraph" w:styleId="TOC1">
    <w:name w:val="toc 1"/>
    <w:basedOn w:val="TOCBase"/>
    <w:next w:val="Normal"/>
    <w:rsid w:val="006069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69F2"/>
    <w:pPr>
      <w:spacing w:before="5040"/>
      <w:jc w:val="center"/>
    </w:pPr>
    <w:rPr>
      <w:sz w:val="48"/>
      <w:szCs w:val="72"/>
      <w:lang w:val="en-US"/>
    </w:rPr>
  </w:style>
  <w:style w:type="character" w:customStyle="1" w:styleId="TitleChar">
    <w:name w:val="Title Char"/>
    <w:basedOn w:val="DefaultParagraphFont"/>
    <w:link w:val="Title"/>
    <w:rsid w:val="006069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69F2"/>
    <w:pPr>
      <w:tabs>
        <w:tab w:val="left" w:pos="3600"/>
        <w:tab w:val="left" w:pos="3958"/>
      </w:tabs>
    </w:pPr>
  </w:style>
  <w:style w:type="paragraph" w:styleId="List">
    <w:name w:val="List"/>
    <w:basedOn w:val="BodyText"/>
    <w:next w:val="BodyText"/>
    <w:rsid w:val="006069F2"/>
    <w:pPr>
      <w:tabs>
        <w:tab w:val="left" w:pos="340"/>
      </w:tabs>
      <w:spacing w:before="60" w:after="60"/>
      <w:ind w:left="340" w:hanging="340"/>
    </w:pPr>
  </w:style>
  <w:style w:type="paragraph" w:customStyle="1" w:styleId="Note">
    <w:name w:val="Note"/>
    <w:basedOn w:val="BodyText"/>
    <w:rsid w:val="006069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69F2"/>
    <w:pPr>
      <w:framePr w:wrap="auto" w:hAnchor="text" w:y="6049"/>
    </w:pPr>
    <w:rPr>
      <w:color w:val="000000"/>
      <w:sz w:val="40"/>
    </w:rPr>
  </w:style>
  <w:style w:type="paragraph" w:customStyle="1" w:styleId="TOCTitle">
    <w:name w:val="TOCTitle"/>
    <w:basedOn w:val="Heading1"/>
    <w:rsid w:val="006069F2"/>
    <w:pPr>
      <w:spacing w:after="240"/>
      <w:jc w:val="center"/>
      <w:outlineLvl w:val="9"/>
    </w:pPr>
    <w:rPr>
      <w:caps/>
    </w:rPr>
  </w:style>
  <w:style w:type="paragraph" w:customStyle="1" w:styleId="Version">
    <w:name w:val="Version"/>
    <w:rsid w:val="006069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69F2"/>
    <w:pPr>
      <w:keepNext w:val="0"/>
      <w:tabs>
        <w:tab w:val="right" w:pos="4176"/>
      </w:tabs>
      <w:ind w:left="198" w:hanging="198"/>
    </w:pPr>
    <w:rPr>
      <w:rFonts w:ascii="Garamond" w:hAnsi="Garamond"/>
    </w:rPr>
  </w:style>
  <w:style w:type="paragraph" w:styleId="IndexHeading">
    <w:name w:val="index heading"/>
    <w:basedOn w:val="Normal"/>
    <w:next w:val="Index1"/>
    <w:semiHidden/>
    <w:rsid w:val="006069F2"/>
    <w:pPr>
      <w:spacing w:before="120" w:after="120"/>
    </w:pPr>
    <w:rPr>
      <w:rFonts w:ascii="Arial" w:hAnsi="Arial"/>
      <w:b/>
      <w:color w:val="918585"/>
      <w:sz w:val="24"/>
    </w:rPr>
  </w:style>
  <w:style w:type="paragraph" w:customStyle="1" w:styleId="Chapter">
    <w:name w:val="Chapter"/>
    <w:basedOn w:val="Normal"/>
    <w:rsid w:val="006069F2"/>
    <w:pPr>
      <w:spacing w:before="240"/>
    </w:pPr>
    <w:rPr>
      <w:rFonts w:ascii="Times New Roman" w:hAnsi="Times New Roman"/>
      <w:smallCaps/>
      <w:spacing w:val="80"/>
      <w:sz w:val="28"/>
    </w:rPr>
  </w:style>
  <w:style w:type="paragraph" w:customStyle="1" w:styleId="InChapter">
    <w:name w:val="InChapter"/>
    <w:basedOn w:val="Heading3"/>
    <w:rsid w:val="006069F2"/>
    <w:pPr>
      <w:spacing w:after="240"/>
      <w:outlineLvl w:val="9"/>
    </w:pPr>
    <w:rPr>
      <w:noProof/>
    </w:rPr>
  </w:style>
  <w:style w:type="paragraph" w:styleId="Index2">
    <w:name w:val="index 2"/>
    <w:basedOn w:val="Normal"/>
    <w:next w:val="Normal"/>
    <w:semiHidden/>
    <w:rsid w:val="006069F2"/>
    <w:pPr>
      <w:tabs>
        <w:tab w:val="right" w:pos="4176"/>
      </w:tabs>
      <w:ind w:left="568" w:hanging="284"/>
    </w:pPr>
    <w:rPr>
      <w:rFonts w:ascii="Garamond" w:hAnsi="Garamond"/>
    </w:rPr>
  </w:style>
  <w:style w:type="paragraph" w:customStyle="1" w:styleId="Byline">
    <w:name w:val="Byline"/>
    <w:rsid w:val="006069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69F2"/>
    <w:pPr>
      <w:tabs>
        <w:tab w:val="clear" w:pos="3600"/>
        <w:tab w:val="clear" w:pos="3958"/>
      </w:tabs>
      <w:jc w:val="right"/>
    </w:pPr>
  </w:style>
  <w:style w:type="character" w:styleId="Emphasis">
    <w:name w:val="Emphasis"/>
    <w:basedOn w:val="DefaultParagraphFont"/>
    <w:qFormat/>
    <w:rsid w:val="006069F2"/>
    <w:rPr>
      <w:i/>
    </w:rPr>
  </w:style>
  <w:style w:type="paragraph" w:styleId="Caption">
    <w:name w:val="caption"/>
    <w:basedOn w:val="BodyText"/>
    <w:next w:val="Normal"/>
    <w:qFormat/>
    <w:rsid w:val="006069F2"/>
    <w:pPr>
      <w:framePr w:w="2268" w:hSpace="181" w:vSpace="181" w:wrap="around" w:vAnchor="text" w:hAnchor="page" w:x="1135" w:y="285" w:anchorLock="1"/>
    </w:pPr>
    <w:rPr>
      <w:i/>
    </w:rPr>
  </w:style>
  <w:style w:type="paragraph" w:customStyle="1" w:styleId="MiniTOCTitle">
    <w:name w:val="MiniTOCTitle"/>
    <w:basedOn w:val="Heading4"/>
    <w:rsid w:val="006069F2"/>
    <w:pPr>
      <w:spacing w:before="240"/>
      <w:outlineLvl w:val="9"/>
    </w:pPr>
    <w:rPr>
      <w:noProof/>
      <w:sz w:val="24"/>
    </w:rPr>
  </w:style>
  <w:style w:type="paragraph" w:customStyle="1" w:styleId="MiniTOCItem">
    <w:name w:val="MiniTOCItem"/>
    <w:basedOn w:val="ListBullet"/>
    <w:rsid w:val="006069F2"/>
    <w:pPr>
      <w:numPr>
        <w:numId w:val="0"/>
      </w:numPr>
      <w:tabs>
        <w:tab w:val="right" w:leader="dot" w:pos="6521"/>
      </w:tabs>
      <w:spacing w:before="0" w:after="0"/>
    </w:pPr>
  </w:style>
  <w:style w:type="paragraph" w:customStyle="1" w:styleId="TOFTitle">
    <w:name w:val="TOFTitle"/>
    <w:basedOn w:val="TOCTitle"/>
    <w:rsid w:val="006069F2"/>
  </w:style>
  <w:style w:type="paragraph" w:styleId="TableofFigures">
    <w:name w:val="table of figures"/>
    <w:basedOn w:val="Normal"/>
    <w:next w:val="Normal"/>
    <w:semiHidden/>
    <w:rsid w:val="006069F2"/>
    <w:pPr>
      <w:tabs>
        <w:tab w:val="right" w:leader="dot" w:pos="9072"/>
      </w:tabs>
      <w:ind w:left="970" w:hanging="403"/>
    </w:pPr>
    <w:rPr>
      <w:rFonts w:ascii="Times New Roman" w:hAnsi="Times New Roman"/>
      <w:b/>
    </w:rPr>
  </w:style>
  <w:style w:type="paragraph" w:styleId="ListNumber">
    <w:name w:val="List Number"/>
    <w:basedOn w:val="List"/>
    <w:rsid w:val="006069F2"/>
    <w:pPr>
      <w:numPr>
        <w:numId w:val="11"/>
      </w:numPr>
    </w:pPr>
  </w:style>
  <w:style w:type="character" w:customStyle="1" w:styleId="WingdingSymbols">
    <w:name w:val="Wingding Symbols"/>
    <w:rsid w:val="006069F2"/>
    <w:rPr>
      <w:rFonts w:ascii="Wingdings" w:hAnsi="Wingdings"/>
    </w:rPr>
  </w:style>
  <w:style w:type="paragraph" w:customStyle="1" w:styleId="TableHeading">
    <w:name w:val="Table Heading"/>
    <w:basedOn w:val="HeadingBase"/>
    <w:rsid w:val="006069F2"/>
    <w:pPr>
      <w:keepLines/>
      <w:pBdr>
        <w:bottom w:val="single" w:sz="6" w:space="1" w:color="918585"/>
      </w:pBdr>
      <w:spacing w:before="240"/>
    </w:pPr>
  </w:style>
  <w:style w:type="character" w:customStyle="1" w:styleId="HotSpot">
    <w:name w:val="HotSpot"/>
    <w:rsid w:val="006069F2"/>
    <w:rPr>
      <w:color w:val="0033CC"/>
      <w:u w:val="none"/>
    </w:rPr>
  </w:style>
  <w:style w:type="paragraph" w:customStyle="1" w:styleId="BodyTextRight">
    <w:name w:val="Body Text Right"/>
    <w:basedOn w:val="BodyText"/>
    <w:rsid w:val="006069F2"/>
    <w:pPr>
      <w:spacing w:before="0" w:after="0"/>
      <w:jc w:val="right"/>
    </w:pPr>
  </w:style>
  <w:style w:type="paragraph" w:styleId="Index3">
    <w:name w:val="index 3"/>
    <w:basedOn w:val="ListNumber2"/>
    <w:next w:val="Normal"/>
    <w:semiHidden/>
    <w:rsid w:val="006069F2"/>
    <w:pPr>
      <w:numPr>
        <w:numId w:val="0"/>
      </w:numPr>
      <w:tabs>
        <w:tab w:val="right" w:leader="dot" w:pos="4176"/>
      </w:tabs>
    </w:pPr>
  </w:style>
  <w:style w:type="paragraph" w:styleId="ListNumber2">
    <w:name w:val="List Number 2"/>
    <w:basedOn w:val="List2"/>
    <w:rsid w:val="006069F2"/>
    <w:pPr>
      <w:numPr>
        <w:numId w:val="10"/>
      </w:numPr>
      <w:tabs>
        <w:tab w:val="clear" w:pos="1060"/>
      </w:tabs>
    </w:pPr>
  </w:style>
  <w:style w:type="paragraph" w:customStyle="1" w:styleId="MarginNote">
    <w:name w:val="Margin Note"/>
    <w:basedOn w:val="BodyText"/>
    <w:rsid w:val="006069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69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69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69F2"/>
    <w:rPr>
      <w:sz w:val="32"/>
    </w:rPr>
  </w:style>
  <w:style w:type="paragraph" w:customStyle="1" w:styleId="HeadingProcedure">
    <w:name w:val="Heading Procedure"/>
    <w:basedOn w:val="HeadingBase"/>
    <w:next w:val="Normal"/>
    <w:rsid w:val="006069F2"/>
    <w:pPr>
      <w:tabs>
        <w:tab w:val="left" w:pos="0"/>
      </w:tabs>
      <w:spacing w:before="120" w:after="60"/>
    </w:pPr>
    <w:rPr>
      <w:i/>
      <w:color w:val="918585"/>
      <w:sz w:val="22"/>
    </w:rPr>
  </w:style>
  <w:style w:type="paragraph" w:customStyle="1" w:styleId="TableBodyText">
    <w:name w:val="Table Body Text"/>
    <w:basedOn w:val="BodyText"/>
    <w:rsid w:val="006069F2"/>
    <w:pPr>
      <w:spacing w:before="60" w:after="60"/>
    </w:pPr>
  </w:style>
  <w:style w:type="paragraph" w:styleId="ListContinue">
    <w:name w:val="List Continue"/>
    <w:basedOn w:val="List"/>
    <w:rsid w:val="006069F2"/>
    <w:pPr>
      <w:ind w:firstLine="0"/>
    </w:pPr>
  </w:style>
  <w:style w:type="paragraph" w:customStyle="1" w:styleId="ListNote">
    <w:name w:val="List Note"/>
    <w:basedOn w:val="List"/>
    <w:rsid w:val="006069F2"/>
    <w:pPr>
      <w:pBdr>
        <w:top w:val="single" w:sz="6" w:space="2" w:color="918585"/>
        <w:bottom w:val="single" w:sz="6" w:space="2" w:color="918585"/>
      </w:pBdr>
      <w:tabs>
        <w:tab w:val="left" w:pos="1021"/>
      </w:tabs>
      <w:ind w:firstLine="0"/>
    </w:pPr>
  </w:style>
  <w:style w:type="paragraph" w:customStyle="1" w:styleId="Warning">
    <w:name w:val="Warning"/>
    <w:basedOn w:val="BodyText"/>
    <w:rsid w:val="006069F2"/>
    <w:pPr>
      <w:shd w:val="clear" w:color="auto" w:fill="D9D9D9"/>
      <w:tabs>
        <w:tab w:val="left" w:pos="992"/>
      </w:tabs>
      <w:ind w:left="119" w:right="119"/>
    </w:pPr>
    <w:rPr>
      <w:sz w:val="20"/>
    </w:rPr>
  </w:style>
  <w:style w:type="paragraph" w:customStyle="1" w:styleId="MarginIcons">
    <w:name w:val="Margin Icons"/>
    <w:basedOn w:val="BodyText"/>
    <w:rsid w:val="006069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69F2"/>
    <w:rPr>
      <w:rFonts w:ascii="Courier New" w:hAnsi="Courier New"/>
    </w:rPr>
  </w:style>
  <w:style w:type="paragraph" w:customStyle="1" w:styleId="NoteBullet">
    <w:name w:val="Note Bullet"/>
    <w:basedOn w:val="Note"/>
    <w:rsid w:val="006069F2"/>
    <w:pPr>
      <w:tabs>
        <w:tab w:val="clear" w:pos="680"/>
      </w:tabs>
      <w:spacing w:before="60" w:after="60"/>
    </w:pPr>
  </w:style>
  <w:style w:type="paragraph" w:customStyle="1" w:styleId="SubHeading2">
    <w:name w:val="SubHeading2"/>
    <w:basedOn w:val="HeadingBase"/>
    <w:rsid w:val="006069F2"/>
    <w:pPr>
      <w:spacing w:before="240" w:after="60"/>
    </w:pPr>
    <w:rPr>
      <w:sz w:val="20"/>
    </w:rPr>
  </w:style>
  <w:style w:type="paragraph" w:customStyle="1" w:styleId="SubHeading1">
    <w:name w:val="SubHeading1"/>
    <w:basedOn w:val="HeadingBase"/>
    <w:rsid w:val="006069F2"/>
    <w:pPr>
      <w:spacing w:before="240" w:after="60"/>
    </w:pPr>
    <w:rPr>
      <w:color w:val="918585"/>
      <w:sz w:val="22"/>
    </w:rPr>
  </w:style>
  <w:style w:type="paragraph" w:customStyle="1" w:styleId="SideHeading">
    <w:name w:val="Side Heading"/>
    <w:basedOn w:val="HeadingBase"/>
    <w:rsid w:val="006069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69F2"/>
    <w:pPr>
      <w:numPr>
        <w:numId w:val="12"/>
      </w:numPr>
    </w:pPr>
  </w:style>
  <w:style w:type="paragraph" w:styleId="PlainText">
    <w:name w:val="Plain Text"/>
    <w:basedOn w:val="Normal"/>
    <w:link w:val="PlainTextChar"/>
    <w:rsid w:val="006069F2"/>
    <w:rPr>
      <w:sz w:val="20"/>
    </w:rPr>
  </w:style>
  <w:style w:type="character" w:customStyle="1" w:styleId="PlainTextChar">
    <w:name w:val="Plain Text Char"/>
    <w:basedOn w:val="DefaultParagraphFont"/>
    <w:link w:val="PlainText"/>
    <w:rsid w:val="006069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69F2"/>
    <w:rPr>
      <w:b/>
      <w:smallCaps/>
    </w:rPr>
  </w:style>
  <w:style w:type="paragraph" w:customStyle="1" w:styleId="TableListNumber">
    <w:name w:val="Table List Number"/>
    <w:basedOn w:val="ListNumber"/>
    <w:rsid w:val="006069F2"/>
    <w:pPr>
      <w:numPr>
        <w:numId w:val="0"/>
      </w:numPr>
    </w:pPr>
  </w:style>
  <w:style w:type="paragraph" w:styleId="TOC4">
    <w:name w:val="toc 4"/>
    <w:basedOn w:val="TOCBase"/>
    <w:next w:val="Normal"/>
    <w:semiHidden/>
    <w:rsid w:val="006069F2"/>
    <w:pPr>
      <w:tabs>
        <w:tab w:val="right" w:leader="dot" w:pos="9071"/>
      </w:tabs>
      <w:ind w:left="1701"/>
    </w:pPr>
  </w:style>
  <w:style w:type="paragraph" w:customStyle="1" w:styleId="ListAlpha">
    <w:name w:val="List Alpha"/>
    <w:basedOn w:val="List"/>
    <w:rsid w:val="006069F2"/>
    <w:pPr>
      <w:numPr>
        <w:numId w:val="9"/>
      </w:numPr>
    </w:pPr>
  </w:style>
  <w:style w:type="paragraph" w:customStyle="1" w:styleId="ListAlpha2">
    <w:name w:val="List Alpha 2"/>
    <w:basedOn w:val="List2"/>
    <w:rsid w:val="006069F2"/>
    <w:pPr>
      <w:numPr>
        <w:numId w:val="8"/>
      </w:numPr>
    </w:pPr>
  </w:style>
  <w:style w:type="paragraph" w:styleId="List2">
    <w:name w:val="List 2"/>
    <w:basedOn w:val="BodyText"/>
    <w:rsid w:val="006069F2"/>
    <w:pPr>
      <w:tabs>
        <w:tab w:val="left" w:pos="680"/>
      </w:tabs>
      <w:spacing w:before="60" w:after="60"/>
      <w:ind w:left="680" w:hanging="340"/>
    </w:pPr>
  </w:style>
  <w:style w:type="paragraph" w:styleId="List3">
    <w:name w:val="List 3"/>
    <w:basedOn w:val="BodyText"/>
    <w:rsid w:val="006069F2"/>
    <w:pPr>
      <w:tabs>
        <w:tab w:val="left" w:pos="1021"/>
      </w:tabs>
      <w:spacing w:before="60" w:after="60"/>
      <w:ind w:left="1020" w:hanging="340"/>
    </w:pPr>
  </w:style>
  <w:style w:type="paragraph" w:styleId="List4">
    <w:name w:val="List 4"/>
    <w:basedOn w:val="BodyText"/>
    <w:rsid w:val="006069F2"/>
    <w:pPr>
      <w:tabs>
        <w:tab w:val="left" w:pos="1361"/>
      </w:tabs>
      <w:spacing w:before="60" w:after="60"/>
      <w:ind w:left="1361" w:hanging="340"/>
    </w:pPr>
  </w:style>
  <w:style w:type="paragraph" w:styleId="List5">
    <w:name w:val="List 5"/>
    <w:basedOn w:val="BodyText"/>
    <w:rsid w:val="006069F2"/>
    <w:pPr>
      <w:tabs>
        <w:tab w:val="left" w:pos="1701"/>
      </w:tabs>
      <w:spacing w:before="60" w:after="60"/>
      <w:ind w:left="1701" w:hanging="340"/>
    </w:pPr>
  </w:style>
  <w:style w:type="paragraph" w:styleId="ListBullet3">
    <w:name w:val="List Bullet 3"/>
    <w:basedOn w:val="List3"/>
    <w:rsid w:val="006069F2"/>
    <w:pPr>
      <w:numPr>
        <w:numId w:val="15"/>
      </w:numPr>
      <w:tabs>
        <w:tab w:val="clear" w:pos="1021"/>
      </w:tabs>
      <w:ind w:left="1037" w:hanging="357"/>
    </w:pPr>
  </w:style>
  <w:style w:type="paragraph" w:styleId="ListBullet4">
    <w:name w:val="List Bullet 4"/>
    <w:basedOn w:val="List4"/>
    <w:rsid w:val="006069F2"/>
    <w:pPr>
      <w:numPr>
        <w:numId w:val="3"/>
      </w:numPr>
    </w:pPr>
  </w:style>
  <w:style w:type="paragraph" w:styleId="ListBullet5">
    <w:name w:val="List Bullet 5"/>
    <w:basedOn w:val="List5"/>
    <w:rsid w:val="006069F2"/>
    <w:pPr>
      <w:numPr>
        <w:numId w:val="4"/>
      </w:numPr>
    </w:pPr>
  </w:style>
  <w:style w:type="paragraph" w:styleId="ListContinue2">
    <w:name w:val="List Continue 2"/>
    <w:basedOn w:val="List2"/>
    <w:rsid w:val="006069F2"/>
    <w:pPr>
      <w:ind w:firstLine="0"/>
    </w:pPr>
  </w:style>
  <w:style w:type="paragraph" w:styleId="ListContinue3">
    <w:name w:val="List Continue 3"/>
    <w:basedOn w:val="List3"/>
    <w:rsid w:val="006069F2"/>
    <w:pPr>
      <w:ind w:left="1021" w:firstLine="0"/>
    </w:pPr>
  </w:style>
  <w:style w:type="paragraph" w:styleId="ListContinue4">
    <w:name w:val="List Continue 4"/>
    <w:basedOn w:val="List4"/>
    <w:rsid w:val="006069F2"/>
    <w:pPr>
      <w:ind w:firstLine="0"/>
    </w:pPr>
  </w:style>
  <w:style w:type="paragraph" w:styleId="ListContinue5">
    <w:name w:val="List Continue 5"/>
    <w:basedOn w:val="List5"/>
    <w:rsid w:val="006069F2"/>
    <w:pPr>
      <w:ind w:firstLine="0"/>
    </w:pPr>
  </w:style>
  <w:style w:type="paragraph" w:styleId="ListNumber3">
    <w:name w:val="List Number 3"/>
    <w:basedOn w:val="List3"/>
    <w:rsid w:val="006069F2"/>
    <w:pPr>
      <w:numPr>
        <w:numId w:val="5"/>
      </w:numPr>
    </w:pPr>
  </w:style>
  <w:style w:type="paragraph" w:styleId="ListNumber4">
    <w:name w:val="List Number 4"/>
    <w:basedOn w:val="List4"/>
    <w:rsid w:val="006069F2"/>
    <w:pPr>
      <w:numPr>
        <w:numId w:val="6"/>
      </w:numPr>
    </w:pPr>
  </w:style>
  <w:style w:type="paragraph" w:styleId="ListNumber5">
    <w:name w:val="List Number 5"/>
    <w:basedOn w:val="List5"/>
    <w:rsid w:val="006069F2"/>
    <w:pPr>
      <w:numPr>
        <w:numId w:val="7"/>
      </w:numPr>
    </w:pPr>
  </w:style>
  <w:style w:type="paragraph" w:styleId="BlockText">
    <w:name w:val="Block Text"/>
    <w:basedOn w:val="Normal"/>
    <w:rsid w:val="006069F2"/>
    <w:pPr>
      <w:spacing w:after="120"/>
      <w:ind w:left="1440" w:right="1440"/>
    </w:pPr>
  </w:style>
  <w:style w:type="character" w:customStyle="1" w:styleId="Subscript">
    <w:name w:val="Subscript"/>
    <w:basedOn w:val="DefaultParagraphFont"/>
    <w:rsid w:val="006069F2"/>
    <w:rPr>
      <w:sz w:val="16"/>
      <w:vertAlign w:val="subscript"/>
    </w:rPr>
  </w:style>
  <w:style w:type="character" w:customStyle="1" w:styleId="Superscript">
    <w:name w:val="Superscript"/>
    <w:basedOn w:val="DefaultParagraphFont"/>
    <w:rsid w:val="006069F2"/>
    <w:rPr>
      <w:sz w:val="16"/>
      <w:vertAlign w:val="superscript"/>
    </w:rPr>
  </w:style>
  <w:style w:type="character" w:customStyle="1" w:styleId="Symbols">
    <w:name w:val="Symbols"/>
    <w:basedOn w:val="DefaultParagraphFont"/>
    <w:rsid w:val="006069F2"/>
    <w:rPr>
      <w:rFonts w:ascii="Symbol" w:hAnsi="Symbol"/>
    </w:rPr>
  </w:style>
  <w:style w:type="character" w:customStyle="1" w:styleId="MenuOptions">
    <w:name w:val="Menu Options"/>
    <w:basedOn w:val="DefaultParagraphFont"/>
    <w:rsid w:val="006069F2"/>
    <w:rPr>
      <w:rFonts w:ascii="Arial Narrow" w:hAnsi="Arial Narrow"/>
      <w:smallCaps/>
    </w:rPr>
  </w:style>
  <w:style w:type="character" w:customStyle="1" w:styleId="Buttons">
    <w:name w:val="Buttons"/>
    <w:basedOn w:val="DefaultParagraphFont"/>
    <w:rsid w:val="006069F2"/>
    <w:rPr>
      <w:b/>
    </w:rPr>
  </w:style>
  <w:style w:type="character" w:customStyle="1" w:styleId="Underlined">
    <w:name w:val="Underlined"/>
    <w:basedOn w:val="DefaultParagraphFont"/>
    <w:rsid w:val="006069F2"/>
    <w:rPr>
      <w:u w:val="single"/>
    </w:rPr>
  </w:style>
  <w:style w:type="paragraph" w:customStyle="1" w:styleId="TableBodyTextRight">
    <w:name w:val="Table Body Text Right"/>
    <w:basedOn w:val="TableBodyText"/>
    <w:rsid w:val="006069F2"/>
    <w:pPr>
      <w:widowControl w:val="0"/>
      <w:autoSpaceDE w:val="0"/>
      <w:autoSpaceDN w:val="0"/>
      <w:adjustRightInd w:val="0"/>
      <w:jc w:val="right"/>
    </w:pPr>
    <w:rPr>
      <w:rFonts w:cs="Arial"/>
      <w:szCs w:val="18"/>
    </w:rPr>
  </w:style>
  <w:style w:type="paragraph" w:customStyle="1" w:styleId="CopyrightText">
    <w:name w:val="Copyright Text"/>
    <w:basedOn w:val="BodyText"/>
    <w:rsid w:val="006069F2"/>
    <w:rPr>
      <w:sz w:val="18"/>
    </w:rPr>
  </w:style>
  <w:style w:type="paragraph" w:customStyle="1" w:styleId="BodySmallRight">
    <w:name w:val="Body Small Right"/>
    <w:basedOn w:val="BodyTextRight"/>
    <w:rsid w:val="006069F2"/>
    <w:rPr>
      <w:sz w:val="18"/>
      <w:szCs w:val="18"/>
    </w:rPr>
  </w:style>
  <w:style w:type="paragraph" w:customStyle="1" w:styleId="MarginEdition">
    <w:name w:val="Margin Edition"/>
    <w:basedOn w:val="MarginNote"/>
    <w:rsid w:val="006069F2"/>
    <w:pPr>
      <w:spacing w:before="0" w:after="0"/>
    </w:pPr>
    <w:rPr>
      <w:rFonts w:ascii="Times New Roman" w:hAnsi="Times New Roman"/>
      <w:color w:val="999999"/>
    </w:rPr>
  </w:style>
  <w:style w:type="paragraph" w:customStyle="1" w:styleId="Spacer">
    <w:name w:val="Spacer"/>
    <w:basedOn w:val="Normal"/>
    <w:rsid w:val="006069F2"/>
    <w:rPr>
      <w:sz w:val="2"/>
      <w:szCs w:val="2"/>
    </w:rPr>
  </w:style>
  <w:style w:type="character" w:customStyle="1" w:styleId="Small">
    <w:name w:val="Small"/>
    <w:basedOn w:val="DefaultParagraphFont"/>
    <w:rsid w:val="006069F2"/>
    <w:rPr>
      <w:sz w:val="16"/>
    </w:rPr>
  </w:style>
  <w:style w:type="paragraph" w:customStyle="1" w:styleId="WideTable">
    <w:name w:val="Wide Table"/>
    <w:basedOn w:val="Normal"/>
    <w:rsid w:val="006069F2"/>
    <w:pPr>
      <w:ind w:left="-1418"/>
    </w:pPr>
    <w:rPr>
      <w:sz w:val="2"/>
      <w:szCs w:val="2"/>
    </w:rPr>
  </w:style>
  <w:style w:type="character" w:styleId="PageNumber">
    <w:name w:val="page number"/>
    <w:basedOn w:val="DefaultParagraphFont"/>
    <w:rsid w:val="006069F2"/>
  </w:style>
  <w:style w:type="paragraph" w:styleId="Quote">
    <w:name w:val="Quote"/>
    <w:basedOn w:val="Heading1"/>
    <w:link w:val="QuoteChar"/>
    <w:qFormat/>
    <w:rsid w:val="006069F2"/>
    <w:rPr>
      <w:b w:val="0"/>
      <w:sz w:val="72"/>
      <w:szCs w:val="72"/>
      <w:lang w:val="en-NZ"/>
    </w:rPr>
  </w:style>
  <w:style w:type="character" w:customStyle="1" w:styleId="QuoteChar">
    <w:name w:val="Quote Char"/>
    <w:basedOn w:val="DefaultParagraphFont"/>
    <w:link w:val="Quote"/>
    <w:rsid w:val="006069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69F2"/>
    <w:pPr>
      <w:pageBreakBefore/>
    </w:pPr>
  </w:style>
  <w:style w:type="paragraph" w:customStyle="1" w:styleId="Border">
    <w:name w:val="Border"/>
    <w:basedOn w:val="Normal"/>
    <w:qFormat/>
    <w:rsid w:val="006069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69F2"/>
    <w:rPr>
      <w:b/>
      <w:bCs/>
      <w:i/>
      <w:iCs/>
      <w:color w:val="auto"/>
    </w:rPr>
  </w:style>
  <w:style w:type="paragraph" w:styleId="IntenseQuote">
    <w:name w:val="Intense Quote"/>
    <w:basedOn w:val="Normal"/>
    <w:next w:val="Normal"/>
    <w:link w:val="IntenseQuoteChar"/>
    <w:uiPriority w:val="30"/>
    <w:qFormat/>
    <w:rsid w:val="006069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69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69F2"/>
    <w:rPr>
      <w:smallCaps/>
      <w:color w:val="auto"/>
      <w:u w:val="single"/>
    </w:rPr>
  </w:style>
  <w:style w:type="character" w:styleId="IntenseReference">
    <w:name w:val="Intense Reference"/>
    <w:basedOn w:val="DefaultParagraphFont"/>
    <w:uiPriority w:val="32"/>
    <w:qFormat/>
    <w:rsid w:val="006069F2"/>
    <w:rPr>
      <w:b/>
      <w:bCs/>
      <w:smallCaps/>
      <w:color w:val="auto"/>
      <w:spacing w:val="5"/>
      <w:u w:val="single"/>
    </w:rPr>
  </w:style>
  <w:style w:type="paragraph" w:customStyle="1" w:styleId="2ColumnHeading">
    <w:name w:val="2Column Heading"/>
    <w:basedOn w:val="BodyText"/>
    <w:qFormat/>
    <w:rsid w:val="006069F2"/>
    <w:pPr>
      <w:spacing w:after="60"/>
      <w:ind w:left="-2268"/>
    </w:pPr>
    <w:rPr>
      <w:b/>
    </w:rPr>
  </w:style>
  <w:style w:type="paragraph" w:customStyle="1" w:styleId="Heading1TOC">
    <w:name w:val="Heading1 TOC"/>
    <w:basedOn w:val="Normal"/>
    <w:qFormat/>
    <w:rsid w:val="006069F2"/>
    <w:pPr>
      <w:spacing w:before="240" w:after="120"/>
    </w:pPr>
    <w:rPr>
      <w:rFonts w:ascii="Times New Roman" w:hAnsi="Times New Roman"/>
      <w:b/>
      <w:sz w:val="32"/>
    </w:rPr>
  </w:style>
  <w:style w:type="paragraph" w:customStyle="1" w:styleId="Heading2TOC">
    <w:name w:val="Heading2 TOC"/>
    <w:basedOn w:val="Normal"/>
    <w:qFormat/>
    <w:rsid w:val="006069F2"/>
    <w:pPr>
      <w:spacing w:before="240" w:after="60"/>
    </w:pPr>
    <w:rPr>
      <w:rFonts w:ascii="Times New Roman" w:hAnsi="Times New Roman"/>
      <w:b/>
      <w:sz w:val="28"/>
    </w:rPr>
  </w:style>
  <w:style w:type="character" w:customStyle="1" w:styleId="Underline">
    <w:name w:val="Underline"/>
    <w:basedOn w:val="DefaultParagraphFont"/>
    <w:qFormat/>
    <w:rsid w:val="006069F2"/>
    <w:rPr>
      <w:u w:val="single"/>
    </w:rPr>
  </w:style>
  <w:style w:type="character" w:customStyle="1" w:styleId="BoldandItalics">
    <w:name w:val="Bold and Italics"/>
    <w:qFormat/>
    <w:rsid w:val="006069F2"/>
    <w:rPr>
      <w:b/>
      <w:i/>
      <w:u w:val="none"/>
    </w:rPr>
  </w:style>
  <w:style w:type="paragraph" w:styleId="BalloonText">
    <w:name w:val="Balloon Text"/>
    <w:basedOn w:val="Normal"/>
    <w:link w:val="BalloonTextChar"/>
    <w:rsid w:val="006069F2"/>
    <w:rPr>
      <w:rFonts w:ascii="Tahoma" w:hAnsi="Tahoma" w:cs="Tahoma"/>
      <w:sz w:val="16"/>
      <w:szCs w:val="16"/>
    </w:rPr>
  </w:style>
  <w:style w:type="character" w:customStyle="1" w:styleId="BalloonTextChar">
    <w:name w:val="Balloon Text Char"/>
    <w:basedOn w:val="DefaultParagraphFont"/>
    <w:link w:val="BalloonText"/>
    <w:rsid w:val="006069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69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69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2298</Words>
  <Characters>14346</Characters>
  <Application>Microsoft Office Word</Application>
  <DocSecurity>0</DocSecurity>
  <Lines>612</Lines>
  <Paragraphs>236</Paragraphs>
  <ScaleCrop>false</ScaleCrop>
  <Company>Author-it Software Corporation Ltd.</Company>
  <LinksUpToDate>false</LinksUpToDate>
  <CharactersWithSpaces>16456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UETTDRDS21B Manage transmission and sub-transmission design process</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2012-05-26T12:06:00Z</dcterms:created>
  <dcterms:modified xsi:type="dcterms:W3CDTF">2012-05-26T12:06:00Z</dcterms:modified>
</cp:coreProperties>
</file>