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CE9" w:rsidP="003A1CE9">
      <w:pPr>
        <w:pStyle w:val="Title"/>
      </w:pPr>
      <w:bookmarkStart w:id="0" w:name="_GoBack"/>
      <w:bookmarkEnd w:id="0"/>
      <w:r>
        <w:fldChar w:fldCharType="begin"/>
      </w:r>
      <w:r>
        <w:instrText xml:space="preserve"> TITLE   \* MERGEFORMAT </w:instrText>
      </w:r>
      <w:r>
        <w:fldChar w:fldCharType="separate"/>
      </w:r>
      <w:r>
        <w:t>UETTDRDS09B Prepare and manage detailed construction plans for electrical system infrastructure</w:t>
      </w:r>
      <w:r>
        <w:fldChar w:fldCharType="end"/>
      </w:r>
    </w:p>
    <w:p w:rsidR="003A1CE9" w:rsidP="003A1CE9">
      <w:pPr>
        <w:pStyle w:val="Version"/>
        <w:sectPr w:rsidSect="007F63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3AE" w:rsidP="007F63AE">
      <w:pPr>
        <w:pStyle w:val="SuperHeading"/>
      </w:pPr>
      <w:r w:rsidRPr="007F63AE">
        <w:t>UETTDRDS09B Prepare and manage detailed construction plans for electrical system infrastructure</w:t>
      </w:r>
    </w:p>
    <w:p w:rsidR="00000000" w:rsidRPr="007F63AE" w:rsidP="007F63AE">
      <w:pPr>
        <w:pStyle w:val="Heading1"/>
      </w:pPr>
      <w:bookmarkStart w:id="1" w:name="O_275438"/>
      <w:bookmarkEnd w:id="1"/>
      <w:r w:rsidRPr="007F63AE">
        <w:t>Modification History</w:t>
      </w:r>
    </w:p>
    <w:p w:rsidR="00000000" w:rsidRPr="007F63AE" w:rsidP="007F63AE">
      <w:pPr>
        <w:pStyle w:val="BodyText"/>
      </w:pPr>
      <w:r w:rsidRPr="007F63AE">
        <w:t>Not Applicable</w:t>
      </w:r>
    </w:p>
    <w:p w:rsidR="00000000" w:rsidRPr="007F63AE" w:rsidP="007F63AE">
      <w:pPr>
        <w:pStyle w:val="AllowPageBreak"/>
      </w:pPr>
    </w:p>
    <w:p w:rsidR="00000000" w:rsidRPr="007F63AE" w:rsidP="007F63AE">
      <w:pPr>
        <w:pStyle w:val="Heading1"/>
      </w:pPr>
      <w:bookmarkStart w:id="2" w:name="O_231214"/>
      <w:bookmarkEnd w:id="2"/>
      <w:r w:rsidRPr="007F63AE">
        <w:t>Unit Descriptor</w:t>
      </w:r>
    </w:p>
    <w:tbl>
      <w:tblPr>
        <w:tblW w:w="0" w:type="auto"/>
        <w:tblLayout w:type="fixed"/>
        <w:tblCellMar>
          <w:left w:w="62" w:type="dxa"/>
          <w:right w:w="62" w:type="dxa"/>
        </w:tblCellMar>
        <w:tblLook w:val="0000"/>
      </w:tblPr>
      <w:tblGrid>
        <w:gridCol w:w="2758"/>
        <w:gridCol w:w="5882"/>
      </w:tblGrid>
      <w:tr w:rsidTr="003A1CE9">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rPr>
                <w:rStyle w:val="SpecialBold"/>
              </w:rPr>
              <w:t>1</w:t>
            </w:r>
            <w:r w:rsidRPr="007F63AE">
              <w:t xml:space="preserve">) </w:t>
            </w:r>
          </w:p>
          <w:p w:rsidR="00000000" w:rsidP="007F63AE">
            <w:pPr>
              <w:pStyle w:val="BodyText"/>
              <w:rPr>
                <w:lang w:val="en-NZ"/>
              </w:rPr>
            </w:pPr>
            <w:r w:rsidRPr="007F63AE">
              <w:rPr>
                <w:rStyle w:val="SpecialBold"/>
              </w:rPr>
              <w:t>1</w:t>
            </w:r>
            <w:r w:rsidRPr="007F63AE">
              <w:t>.</w:t>
            </w:r>
            <w:r w:rsidRPr="007F63AE">
              <w:rPr>
                <w:rStyle w:val="SpecialBold"/>
              </w:rPr>
              <w:t>1</w:t>
            </w:r>
            <w:r w:rsidRPr="007F63AE">
              <w:t xml:space="preserve">) </w:t>
            </w:r>
            <w:r w:rsidRPr="007F63AE">
              <w:rPr>
                <w:rStyle w:val="SpecialBold"/>
              </w:rPr>
              <w:t>Descriptor</w:t>
            </w:r>
          </w:p>
        </w:tc>
      </w:tr>
      <w:tr w:rsidTr="003A1CE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t xml:space="preserve">This Competency Standard Unit covers the preparation of detailed plans to be used during the design phase and preparation of as-built drawings during the construction phase, and utilised by network owners as technical reference materials, to detail system </w:t>
            </w:r>
            <w:r w:rsidRPr="007F63AE">
              <w:t>infrastructure. It includes the use of CAD or other relevant drafting methods.</w:t>
            </w:r>
          </w:p>
        </w:tc>
      </w:tr>
    </w:tbl>
    <w:p w:rsidR="003A1CE9" w:rsidP="007F63AE">
      <w:pPr>
        <w:pStyle w:val="BodyText"/>
      </w:pPr>
    </w:p>
    <w:p w:rsidR="003A1CE9" w:rsidP="007F63AE">
      <w:pPr>
        <w:pStyle w:val="BodyText"/>
      </w:pPr>
    </w:p>
    <w:p w:rsidR="00000000" w:rsidRPr="007F63AE" w:rsidP="007F63AE">
      <w:pPr>
        <w:pStyle w:val="Heading1"/>
      </w:pPr>
      <w:bookmarkStart w:id="3" w:name="O_231219"/>
      <w:bookmarkEnd w:id="3"/>
      <w:r w:rsidRPr="007F63AE">
        <w:t>Application of the Unit</w:t>
      </w:r>
    </w:p>
    <w:tbl>
      <w:tblPr>
        <w:tblW w:w="0" w:type="auto"/>
        <w:tblLayout w:type="fixed"/>
        <w:tblCellMar>
          <w:left w:w="62" w:type="dxa"/>
          <w:right w:w="62" w:type="dxa"/>
        </w:tblCellMar>
        <w:tblLook w:val="0000"/>
      </w:tblPr>
      <w:tblGrid>
        <w:gridCol w:w="2758"/>
        <w:gridCol w:w="5882"/>
      </w:tblGrid>
      <w:tr w:rsidTr="003A1CE9">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rPr>
                <w:rStyle w:val="SpecialBold"/>
              </w:rPr>
              <w:t>4</w:t>
            </w:r>
            <w:r w:rsidRPr="007F63AE">
              <w:t>)</w:t>
            </w:r>
          </w:p>
        </w:tc>
      </w:tr>
      <w:tr w:rsidTr="003A1CE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t xml:space="preserve">This Competency Standard Unit is intended to augment formally acquired competencies. It is suitable for </w:t>
            </w:r>
            <w:r w:rsidRPr="007F63AE">
              <w:t>employment-based programs under an approved contract of training.</w:t>
            </w:r>
          </w:p>
        </w:tc>
      </w:tr>
    </w:tbl>
    <w:p w:rsidR="003A1CE9" w:rsidP="007F63AE">
      <w:pPr>
        <w:pStyle w:val="BodyText"/>
      </w:pPr>
    </w:p>
    <w:p w:rsidR="003A1CE9" w:rsidP="007F63AE">
      <w:pPr>
        <w:pStyle w:val="BodyText"/>
      </w:pPr>
    </w:p>
    <w:p w:rsidR="00000000" w:rsidRPr="007F63AE" w:rsidP="007F63AE">
      <w:pPr>
        <w:pStyle w:val="Heading1"/>
      </w:pPr>
      <w:bookmarkStart w:id="4" w:name="O_231215"/>
      <w:bookmarkEnd w:id="4"/>
      <w:r w:rsidRPr="007F63AE">
        <w:t>Licensing/Regulatory Information</w:t>
      </w:r>
    </w:p>
    <w:tbl>
      <w:tblPr>
        <w:tblW w:w="0" w:type="auto"/>
        <w:tblLayout w:type="fixed"/>
        <w:tblCellMar>
          <w:left w:w="62" w:type="dxa"/>
          <w:right w:w="62" w:type="dxa"/>
        </w:tblCellMar>
        <w:tblLook w:val="0000"/>
      </w:tblPr>
      <w:tblGrid>
        <w:gridCol w:w="8640"/>
      </w:tblGrid>
      <w:tr w:rsidTr="003A1CE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rPr>
                <w:rStyle w:val="SpecialBold"/>
              </w:rPr>
              <w:t>1</w:t>
            </w:r>
            <w:r w:rsidRPr="007F63AE">
              <w:t>.</w:t>
            </w:r>
            <w:r w:rsidRPr="007F63AE">
              <w:rPr>
                <w:rStyle w:val="SpecialBold"/>
              </w:rPr>
              <w:t>2</w:t>
            </w:r>
            <w:r w:rsidRPr="007F63AE">
              <w:t xml:space="preserve">) </w:t>
            </w:r>
            <w:r w:rsidRPr="007F63AE">
              <w:rPr>
                <w:rStyle w:val="SpecialBold"/>
              </w:rPr>
              <w:t>License to practice</w:t>
            </w:r>
          </w:p>
        </w:tc>
      </w:tr>
      <w:tr w:rsidTr="003A1CE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t>The skills and knowledge described in this unit may require a</w:t>
            </w:r>
            <w:r w:rsidRPr="007F63AE">
              <w:t xml:space="preserve"> licence/registration to practice in the work place subject to regulations for undertaking of electrical work. Practice in workplace and during training is also subject to regulations directly related to Occupational Health and Safety, electricity/telecomm</w:t>
            </w:r>
            <w:r w:rsidRPr="007F63AE">
              <w:t xml:space="preserve">unications/gas/water industry safety and compliance, industrial relations, environmental protection, anti discrimination and training. Commonwealth, State/Territory or Local Government legislation and regulations may exist that limits the age of operating </w:t>
            </w:r>
            <w:r w:rsidRPr="007F63AE">
              <w:t>certain equipment.</w:t>
            </w:r>
          </w:p>
        </w:tc>
      </w:tr>
    </w:tbl>
    <w:p w:rsidR="003A1CE9" w:rsidP="007F63AE">
      <w:pPr>
        <w:pStyle w:val="BodyText"/>
      </w:pPr>
    </w:p>
    <w:p w:rsidR="003A1CE9" w:rsidP="007F63AE">
      <w:pPr>
        <w:pStyle w:val="BodyText"/>
      </w:pPr>
    </w:p>
    <w:p w:rsidR="00000000" w:rsidRPr="007F63AE" w:rsidP="007F63AE">
      <w:pPr>
        <w:pStyle w:val="Heading1"/>
      </w:pPr>
      <w:bookmarkStart w:id="5" w:name="O_231216"/>
      <w:bookmarkEnd w:id="5"/>
      <w:r w:rsidRPr="007F63AE">
        <w:t>Pre-Requisites</w:t>
      </w:r>
    </w:p>
    <w:tbl>
      <w:tblPr>
        <w:tblW w:w="0" w:type="auto"/>
        <w:tblLayout w:type="fixed"/>
        <w:tblCellMar>
          <w:left w:w="62" w:type="dxa"/>
          <w:right w:w="62" w:type="dxa"/>
        </w:tblCellMar>
        <w:tblLook w:val="0000"/>
      </w:tblPr>
      <w:tblGrid>
        <w:gridCol w:w="2758"/>
        <w:gridCol w:w="735"/>
        <w:gridCol w:w="2022"/>
        <w:gridCol w:w="3125"/>
      </w:tblGrid>
      <w:tr w:rsidTr="003A1CE9">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rPr>
                <w:rStyle w:val="SpecialBold"/>
              </w:rPr>
              <w:t>Prerequisite Unit</w:t>
            </w:r>
            <w:r w:rsidRPr="007F63AE">
              <w:t>(</w:t>
            </w:r>
            <w:r w:rsidRPr="007F63AE">
              <w:rPr>
                <w:rStyle w:val="SpecialBold"/>
              </w:rPr>
              <w:t>s</w:t>
            </w:r>
            <w:r w:rsidRPr="007F63AE">
              <w:t>)</w:t>
            </w:r>
          </w:p>
        </w:tc>
        <w:tc>
          <w:tcPr>
            <w:tcW w:w="5882" w:type="dxa"/>
            <w:gridSpan w:val="3"/>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rPr>
                <w:rStyle w:val="SpecialBold"/>
              </w:rPr>
              <w:t>2</w:t>
            </w:r>
            <w:r w:rsidRPr="007F63AE">
              <w:t xml:space="preserve">) </w:t>
            </w:r>
          </w:p>
        </w:tc>
      </w:tr>
      <w:tr w:rsidTr="003A1CE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7F63AE">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rPr>
                <w:rStyle w:val="SpecialBold"/>
              </w:rPr>
              <w:t>2</w:t>
            </w:r>
            <w:r w:rsidRPr="007F63AE">
              <w:t>.</w:t>
            </w:r>
            <w:r w:rsidRPr="007F63AE">
              <w:rPr>
                <w:rStyle w:val="SpecialBold"/>
              </w:rPr>
              <w:t>1</w:t>
            </w:r>
            <w:r w:rsidRPr="007F63AE">
              <w:t xml:space="preserve">) </w:t>
            </w:r>
            <w:r w:rsidRPr="007F63AE">
              <w:rPr>
                <w:rStyle w:val="SpecialBold"/>
              </w:rPr>
              <w:t>Competencies</w:t>
            </w:r>
          </w:p>
        </w:tc>
      </w:tr>
      <w:tr w:rsidTr="003A1CE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Granting of competency in this unit shall be made only after competency in the following unit(s) has/have been confirmed:.</w:t>
            </w:r>
          </w:p>
        </w:tc>
      </w:tr>
      <w:tr w:rsidTr="003A1CE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UEENEEG002B</w:t>
            </w:r>
          </w:p>
        </w:tc>
        <w:tc>
          <w:tcPr>
            <w:tcW w:w="3125"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Solve problems in single and three phase low voltage circuits.</w:t>
            </w:r>
          </w:p>
        </w:tc>
      </w:tr>
      <w:tr w:rsidTr="003A1CE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UETTDRIS23B</w:t>
            </w:r>
          </w:p>
        </w:tc>
        <w:tc>
          <w:tcPr>
            <w:tcW w:w="3125"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Implement and monitor environmental and sustainable energy management policies and procedures</w:t>
            </w:r>
          </w:p>
        </w:tc>
      </w:tr>
      <w:tr w:rsidTr="003A1CE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t>For the full prerequisite chain details for this unit please refer to Table 3 in Volume 1, Part 2</w:t>
            </w:r>
          </w:p>
        </w:tc>
      </w:tr>
    </w:tbl>
    <w:p w:rsidR="003A1CE9" w:rsidP="007F63AE">
      <w:pPr>
        <w:pStyle w:val="BodyText"/>
      </w:pPr>
    </w:p>
    <w:p w:rsidR="003A1CE9" w:rsidP="007F63AE">
      <w:pPr>
        <w:pStyle w:val="BodyText"/>
      </w:pPr>
    </w:p>
    <w:p w:rsidR="00000000" w:rsidRPr="007F63AE" w:rsidP="007F63AE">
      <w:pPr>
        <w:pStyle w:val="Heading1"/>
      </w:pPr>
      <w:bookmarkStart w:id="6" w:name="O_231218"/>
      <w:bookmarkEnd w:id="6"/>
      <w:r w:rsidRPr="007F63AE">
        <w:t>Employability Skills Information</w:t>
      </w:r>
    </w:p>
    <w:tbl>
      <w:tblPr>
        <w:tblW w:w="0" w:type="auto"/>
        <w:tblLayout w:type="fixed"/>
        <w:tblCellMar>
          <w:left w:w="62" w:type="dxa"/>
          <w:right w:w="62" w:type="dxa"/>
        </w:tblCellMar>
        <w:tblLook w:val="0000"/>
      </w:tblPr>
      <w:tblGrid>
        <w:gridCol w:w="2758"/>
        <w:gridCol w:w="5882"/>
      </w:tblGrid>
      <w:tr w:rsidTr="003A1CE9">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rPr>
                <w:rStyle w:val="SpecialBold"/>
              </w:rPr>
              <w:t>3</w:t>
            </w:r>
            <w:r w:rsidRPr="007F63AE">
              <w:t>)</w:t>
            </w:r>
          </w:p>
          <w:p w:rsidR="00000000" w:rsidRPr="007F63AE" w:rsidP="007F63AE">
            <w:pPr>
              <w:pStyle w:val="BodyText"/>
            </w:pPr>
            <w:r w:rsidRPr="007F63A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F63AE">
              <w:t>requirements.</w:t>
            </w:r>
          </w:p>
        </w:tc>
      </w:tr>
    </w:tbl>
    <w:p w:rsidR="003A1CE9" w:rsidP="007F63AE">
      <w:pPr>
        <w:pStyle w:val="BodyText"/>
      </w:pPr>
    </w:p>
    <w:p w:rsidR="003A1CE9" w:rsidP="007F63AE">
      <w:pPr>
        <w:pStyle w:val="BodyText"/>
      </w:pPr>
    </w:p>
    <w:p w:rsidR="00000000" w:rsidRPr="007F63AE" w:rsidP="007F63AE">
      <w:pPr>
        <w:pStyle w:val="Heading1"/>
      </w:pPr>
      <w:bookmarkStart w:id="7" w:name="O_293484"/>
      <w:bookmarkEnd w:id="7"/>
      <w:r w:rsidRPr="007F63AE">
        <w:t>Elements and Performance Criteria Pre-Content</w:t>
      </w:r>
    </w:p>
    <w:tbl>
      <w:tblPr>
        <w:tblW w:w="0" w:type="auto"/>
        <w:tblLayout w:type="fixed"/>
        <w:tblCellMar>
          <w:left w:w="62" w:type="dxa"/>
          <w:right w:w="62" w:type="dxa"/>
        </w:tblCellMar>
        <w:tblLook w:val="0000"/>
      </w:tblPr>
      <w:tblGrid>
        <w:gridCol w:w="2758"/>
        <w:gridCol w:w="5882"/>
      </w:tblGrid>
      <w:tr w:rsidTr="003A1CE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rPr>
                <w:rStyle w:val="SpecialBold"/>
              </w:rPr>
              <w:t>6</w:t>
            </w:r>
            <w:r w:rsidRPr="007F63AE">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t>Performance Criteria describe the required performance needed to demonstrate achievement of the element. Ass</w:t>
            </w:r>
            <w:r w:rsidRPr="007F63AE">
              <w:t>essment of performance is to be consistent with the evidence guide.</w:t>
            </w:r>
          </w:p>
        </w:tc>
      </w:tr>
    </w:tbl>
    <w:p w:rsidR="00000000" w:rsidRPr="007F63AE" w:rsidP="007F63AE">
      <w:pPr>
        <w:pStyle w:val="BodyText"/>
      </w:pPr>
    </w:p>
    <w:p w:rsidR="00000000" w:rsidRPr="007F63AE" w:rsidP="007F63AE">
      <w:pPr>
        <w:pStyle w:val="AllowPageBreak"/>
      </w:pPr>
    </w:p>
    <w:p w:rsidR="00000000" w:rsidRPr="007F63AE" w:rsidP="007F63AE">
      <w:pPr>
        <w:pStyle w:val="Heading1"/>
      </w:pPr>
      <w:bookmarkStart w:id="8" w:name="O_240152"/>
      <w:bookmarkEnd w:id="8"/>
      <w:r w:rsidRPr="007F63AE">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3A1CE9">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rPr>
                <w:rStyle w:val="SpecialBold"/>
              </w:rPr>
              <w:t>PERFORMANCE CRITERIA</w:t>
            </w:r>
          </w:p>
        </w:tc>
      </w:tr>
      <w:tr w:rsidTr="003A1CE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1</w:t>
            </w:r>
          </w:p>
        </w:tc>
        <w:tc>
          <w:tcPr>
            <w:tcW w:w="2345" w:type="dxa"/>
            <w:vMerge w:val="restart"/>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Plan and coordinate the preparation and management of detailed construction plans for electrical system infrastructure</w:t>
            </w:r>
          </w:p>
        </w:tc>
        <w:tc>
          <w:tcPr>
            <w:tcW w:w="919"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1.1</w:t>
            </w:r>
          </w:p>
        </w:tc>
        <w:tc>
          <w:tcPr>
            <w:tcW w:w="496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OHS practices/procedures, which may influence the preparation and management of detailed construction, plans for electrical system in</w:t>
            </w:r>
            <w:r w:rsidRPr="007F63AE">
              <w:t>frastructure are reviewed and determined.</w:t>
            </w:r>
          </w:p>
        </w:tc>
      </w:tr>
      <w:tr w:rsidTr="003A1CE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1.2</w:t>
            </w:r>
          </w:p>
        </w:tc>
        <w:tc>
          <w:tcPr>
            <w:tcW w:w="496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Purpose of the construction plans is established and expected outcomes of the work are confirmed with the appropriate personnel.</w:t>
            </w:r>
          </w:p>
        </w:tc>
      </w:tr>
      <w:tr w:rsidTr="003A1CE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1.3</w:t>
            </w:r>
          </w:p>
        </w:tc>
        <w:tc>
          <w:tcPr>
            <w:tcW w:w="496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Established organisational procedures, policies and specifications for the construction plans are obtained or established with the appropriate personnel.</w:t>
            </w:r>
          </w:p>
        </w:tc>
      </w:tr>
      <w:tr w:rsidTr="003A1CE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1.4</w:t>
            </w:r>
          </w:p>
        </w:tc>
        <w:tc>
          <w:tcPr>
            <w:tcW w:w="496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Work is prioritised and sequenced for the most efficient and effective outcome following consul</w:t>
            </w:r>
            <w:r w:rsidRPr="007F63AE">
              <w:t>tation with others for completion within acceptable timeframes, to a quality standard and in accordance with established procedures.</w:t>
            </w:r>
          </w:p>
        </w:tc>
      </w:tr>
      <w:tr w:rsidTr="003A1CE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1.5</w:t>
            </w:r>
          </w:p>
        </w:tc>
        <w:tc>
          <w:tcPr>
            <w:tcW w:w="496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Risk control measures are identified, prioritised and evaluated against the work schedule.</w:t>
            </w:r>
          </w:p>
        </w:tc>
      </w:tr>
      <w:tr w:rsidTr="003A1CE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1.6</w:t>
            </w:r>
          </w:p>
        </w:tc>
        <w:tc>
          <w:tcPr>
            <w:tcW w:w="496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Relevant work permits are secured to coordinate the performance of work according to requirements and/or established procedures.</w:t>
            </w:r>
          </w:p>
        </w:tc>
      </w:tr>
      <w:tr w:rsidTr="003A1CE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1.7</w:t>
            </w:r>
          </w:p>
        </w:tc>
        <w:tc>
          <w:tcPr>
            <w:tcW w:w="496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Resources including personnel, equipment, tools and personal protective equipment required for the job are identified, s</w:t>
            </w:r>
            <w:r w:rsidRPr="007F63AE">
              <w:t>cheduled and coordinated and confirmed in a safe and technical working order.</w:t>
            </w:r>
          </w:p>
        </w:tc>
      </w:tr>
      <w:tr w:rsidTr="003A1CE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1.8</w:t>
            </w:r>
          </w:p>
        </w:tc>
        <w:tc>
          <w:tcPr>
            <w:tcW w:w="496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Liaison and communication issues with other/authorised personnel, authorities, clients and land owners are resolved and activities coordinated to carry out work.</w:t>
            </w:r>
          </w:p>
        </w:tc>
      </w:tr>
      <w:tr w:rsidTr="003A1CE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1.9</w:t>
            </w:r>
          </w:p>
        </w:tc>
        <w:tc>
          <w:tcPr>
            <w:tcW w:w="496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Si</w:t>
            </w:r>
            <w:r w:rsidRPr="007F63AE">
              <w:t>te is prepared according to the work schedule and to minimise risk and damage to property, commerce, and individuals in accordance with established procedures.</w:t>
            </w:r>
          </w:p>
        </w:tc>
      </w:tr>
      <w:tr w:rsidTr="003A1CE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2</w:t>
            </w:r>
          </w:p>
        </w:tc>
        <w:tc>
          <w:tcPr>
            <w:tcW w:w="2345" w:type="dxa"/>
            <w:vMerge w:val="restart"/>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Carry out and coordinate the preparation and management of detailed construction plans for electrical system infrastructure</w:t>
            </w:r>
          </w:p>
        </w:tc>
        <w:tc>
          <w:tcPr>
            <w:tcW w:w="919"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2.1</w:t>
            </w:r>
          </w:p>
        </w:tc>
        <w:tc>
          <w:tcPr>
            <w:tcW w:w="496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OHS and sustainable energy principles, functionality and practices to reduce the incidents of accidents and minimise waste are i</w:t>
            </w:r>
            <w:r w:rsidRPr="007F63AE">
              <w:t>ncorporated into the project in accordance with requirements and/or established procedures</w:t>
            </w:r>
          </w:p>
        </w:tc>
      </w:tr>
      <w:tr w:rsidTr="003A1CE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2.2</w:t>
            </w:r>
          </w:p>
        </w:tc>
        <w:tc>
          <w:tcPr>
            <w:tcW w:w="496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System design decisions are made on the basis of safety and effective outcomes according to requirements and/or established procedures.</w:t>
            </w:r>
          </w:p>
        </w:tc>
      </w:tr>
      <w:tr w:rsidTr="003A1CE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2.3</w:t>
            </w:r>
          </w:p>
        </w:tc>
        <w:tc>
          <w:tcPr>
            <w:tcW w:w="496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Mathematical mo</w:t>
            </w:r>
            <w:r w:rsidRPr="007F63AE">
              <w:t>dels of the distribution system are used to analyse the effectiveness of the finished project as per requirements and established procedures.</w:t>
            </w:r>
          </w:p>
        </w:tc>
      </w:tr>
      <w:tr w:rsidTr="003A1CE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2.4</w:t>
            </w:r>
          </w:p>
        </w:tc>
        <w:tc>
          <w:tcPr>
            <w:tcW w:w="496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Technical advice is given to potential hazards, safety risks and control measures so that monitoring and preventative action can be undertaken and/or appropriate authorities consulted, where necessary, in accordance with requirements and established proced</w:t>
            </w:r>
            <w:r w:rsidRPr="007F63AE">
              <w:t>ures.</w:t>
            </w:r>
          </w:p>
        </w:tc>
      </w:tr>
      <w:tr w:rsidTr="003A1CE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2.5</w:t>
            </w:r>
          </w:p>
        </w:tc>
        <w:tc>
          <w:tcPr>
            <w:tcW w:w="496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Essential knowledge and associated skills are applied to analyse specific data and compare it </w:t>
            </w:r>
            <w:r w:rsidRPr="007F63AE">
              <w:t>with compliance specifications to ensure completion of the project within an agreed timeframe according to requirements.</w:t>
            </w:r>
          </w:p>
        </w:tc>
      </w:tr>
      <w:tr w:rsidTr="003A1CE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2.6</w:t>
            </w:r>
          </w:p>
        </w:tc>
        <w:tc>
          <w:tcPr>
            <w:tcW w:w="496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Solutions to non-rout</w:t>
            </w:r>
            <w:r w:rsidRPr="007F63AE">
              <w:t>ine problems are identified and actioned using acquired essential knowledge and associated skills according to requirements.</w:t>
            </w:r>
          </w:p>
        </w:tc>
      </w:tr>
      <w:tr w:rsidTr="003A1CE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2.7</w:t>
            </w:r>
          </w:p>
        </w:tc>
        <w:tc>
          <w:tcPr>
            <w:tcW w:w="496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Quality of work is monitored against personal performance agreement and/or established organisational and professional stand</w:t>
            </w:r>
            <w:r w:rsidRPr="007F63AE">
              <w:t>ards.</w:t>
            </w:r>
          </w:p>
        </w:tc>
      </w:tr>
      <w:tr w:rsidTr="003A1CE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3</w:t>
            </w:r>
          </w:p>
        </w:tc>
        <w:tc>
          <w:tcPr>
            <w:tcW w:w="2345" w:type="dxa"/>
            <w:vMerge w:val="restart"/>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Complete and coordinate the preparation and management of detailed construction plans for electrical system infrastructure</w:t>
            </w:r>
          </w:p>
        </w:tc>
        <w:tc>
          <w:tcPr>
            <w:tcW w:w="919"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3.1</w:t>
            </w:r>
          </w:p>
        </w:tc>
        <w:tc>
          <w:tcPr>
            <w:tcW w:w="496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Final inspections of the construction plans are undertaken to ensure they comply with all requirements and include all specifications and documentations needed to complete the design brief.</w:t>
            </w:r>
          </w:p>
        </w:tc>
      </w:tr>
      <w:tr w:rsidTr="003A1CE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3.2</w:t>
            </w:r>
          </w:p>
        </w:tc>
        <w:tc>
          <w:tcPr>
            <w:tcW w:w="496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Appropriate personnel are notified of completion and report</w:t>
            </w:r>
            <w:r w:rsidRPr="007F63AE">
              <w:t>s and/or completion documents are finalised.</w:t>
            </w:r>
          </w:p>
        </w:tc>
      </w:tr>
      <w:tr w:rsidTr="003A1CE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3.3</w:t>
            </w:r>
          </w:p>
        </w:tc>
        <w:tc>
          <w:tcPr>
            <w:tcW w:w="496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Reports and/or completion documents are submitted to relevant personnel/organisations for approval and, where applicable, statutory or regulatory approval.</w:t>
            </w:r>
          </w:p>
        </w:tc>
      </w:tr>
      <w:tr w:rsidTr="003A1CE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3.4</w:t>
            </w:r>
          </w:p>
        </w:tc>
        <w:tc>
          <w:tcPr>
            <w:tcW w:w="4963" w:type="dxa"/>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t>Approved copies of construction plan documents are issued and records are updated in accordance with established procedures.</w:t>
            </w:r>
          </w:p>
        </w:tc>
      </w:tr>
    </w:tbl>
    <w:p w:rsidR="003A1CE9" w:rsidP="007F63AE">
      <w:pPr>
        <w:pStyle w:val="BodyText"/>
      </w:pPr>
    </w:p>
    <w:p w:rsidR="003A1CE9" w:rsidP="007F63AE">
      <w:pPr>
        <w:pStyle w:val="BodyText"/>
      </w:pPr>
    </w:p>
    <w:p w:rsidR="00000000" w:rsidRPr="007F63AE" w:rsidP="007F63AE">
      <w:pPr>
        <w:pStyle w:val="Heading1"/>
      </w:pPr>
      <w:bookmarkStart w:id="9" w:name="O_263943"/>
      <w:bookmarkEnd w:id="9"/>
      <w:r w:rsidRPr="007F63AE">
        <w:t>Required Skills and Knowledge</w:t>
      </w:r>
    </w:p>
    <w:tbl>
      <w:tblPr>
        <w:tblW w:w="0" w:type="auto"/>
        <w:tblLayout w:type="fixed"/>
        <w:tblCellMar>
          <w:left w:w="62" w:type="dxa"/>
          <w:right w:w="62" w:type="dxa"/>
        </w:tblCellMar>
        <w:tblLook w:val="0000"/>
      </w:tblPr>
      <w:tblGrid>
        <w:gridCol w:w="2757"/>
        <w:gridCol w:w="1103"/>
        <w:gridCol w:w="4780"/>
      </w:tblGrid>
      <w:tr w:rsidTr="003A1CE9">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rPr>
                <w:rStyle w:val="SpecialBold"/>
              </w:rPr>
              <w:t>REQUIRED SKILLS AND KNOWLEDGE</w:t>
            </w:r>
          </w:p>
        </w:tc>
      </w:tr>
      <w:tr w:rsidTr="003A1CE9">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rPr>
                <w:rStyle w:val="SpecialBold"/>
              </w:rPr>
              <w:t>7</w:t>
            </w:r>
            <w:r w:rsidRPr="007F63AE">
              <w:t xml:space="preserve">) </w:t>
            </w:r>
            <w:r w:rsidRPr="007F63AE">
              <w:rPr>
                <w:rStyle w:val="SpecialBold"/>
              </w:rPr>
              <w:t>Essential Knowledge and Associated Skills</w:t>
            </w:r>
            <w:r w:rsidRPr="007F63AE">
              <w:t xml:space="preserve"> (</w:t>
            </w:r>
            <w:r w:rsidRPr="007F63AE">
              <w:rPr>
                <w:rStyle w:val="SpecialBold"/>
              </w:rPr>
              <w:t>EK</w:t>
            </w:r>
            <w:r w:rsidRPr="007F63AE">
              <w:rPr>
                <w:rStyle w:val="SpecialBold"/>
              </w:rPr>
              <w:t>AS</w:t>
            </w:r>
            <w:r w:rsidRPr="007F63AE">
              <w:t>): This describes the essential skills and knowledge and their level, required for this unit.</w:t>
            </w:r>
          </w:p>
        </w:tc>
      </w:tr>
      <w:tr w:rsidTr="003A1CE9">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t>Evidence shall show that knowledge has been acquired of preparing and managing detailed construction plans for electrical system infrastructure</w:t>
            </w:r>
          </w:p>
          <w:p w:rsidR="00000000" w:rsidRPr="007F63AE" w:rsidP="007F63AE">
            <w:pPr>
              <w:pStyle w:val="BodyText"/>
            </w:pPr>
            <w:r w:rsidRPr="007F63AE">
              <w:t>All knowledge and skills detailed in this unit should be contextualised to current industry practices and technologies.</w:t>
            </w:r>
          </w:p>
          <w:p w:rsidR="00000000" w:rsidP="007F63AE">
            <w:pPr>
              <w:pStyle w:val="BodyText"/>
              <w:rPr>
                <w:lang w:val="en-NZ"/>
              </w:rPr>
            </w:pPr>
            <w:r w:rsidRPr="007F63AE">
              <w:t>The extent of the essential knowledge and associated skills (EKAS) required is given in Volume 2 - Part 2.2 EKAS. It forms an integral p</w:t>
            </w:r>
            <w:r w:rsidRPr="007F63AE">
              <w:t>art of this unit.</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E2.18.1 </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Occupational Health and Safety principles</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E2.18.2</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Electrical safe working practice</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E2.18.8.2 </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Occupational Health and Safety , enterprise responsibilities</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T2.2.2 </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Transmission, distribution and rail power systems</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T2.2.4 </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Powerline distribution installation</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T2.2.6 </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Pole and hardware installation</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T2.2.23</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Underground cable construction</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T2.3.1 </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Powerline safety practices</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T2.3.2 </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Powerline safety - implementation and monitoring</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T2.3.8</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Safe design principles</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T2.4.6 </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High voltage SWER system</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T2.7.1</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Environmental fundamentals</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T2.8.1 </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Enterprises specific - policy and procedure instructions</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T2.8.2</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Enterprises specific - OHS instructions</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T2.8.3 </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Enterprises specific - technical drawing and documents</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T2.8.4</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Enterprise specific - switching diagrams</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T2.9.1</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Interpretation of power distribution network drawings and documentation</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T2.11.1</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Power system layouts</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T2.11.2 </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Circuit breaker auxiliary systems</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T2.11.3 </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DC transmission system principles</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T2.11.4 </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AC transmission system components</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T2.11.5 </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AC transmission line electrical parameters</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T2.11.6 </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AC transmission line equivalent circuit calculations</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T2.11.8 </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Voltage control devices on interconnected transmission systems</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T2.11.9 </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Calculation of rating of voltage control devices</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T2.11.11 </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Control of transient over voltages</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T2.11.12 </w:t>
            </w:r>
          </w:p>
        </w:tc>
        <w:tc>
          <w:tcPr>
            <w:tcW w:w="4780"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Corona and discharge losses</w:t>
            </w:r>
          </w:p>
        </w:tc>
      </w:tr>
      <w:tr w:rsidTr="003A1CE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T2.11.17 </w:t>
            </w:r>
          </w:p>
        </w:tc>
        <w:tc>
          <w:tcPr>
            <w:tcW w:w="4780" w:type="dxa"/>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t>Protection scheme requirements</w:t>
            </w:r>
          </w:p>
        </w:tc>
      </w:tr>
    </w:tbl>
    <w:p w:rsidR="003A1CE9" w:rsidP="007F63AE">
      <w:pPr>
        <w:pStyle w:val="BodyText"/>
      </w:pPr>
    </w:p>
    <w:p w:rsidR="003A1CE9" w:rsidP="007F63AE">
      <w:pPr>
        <w:pStyle w:val="BodyText"/>
      </w:pPr>
    </w:p>
    <w:p w:rsidR="00000000" w:rsidRPr="007F63AE" w:rsidP="007F63AE">
      <w:pPr>
        <w:pStyle w:val="Heading1"/>
      </w:pPr>
      <w:bookmarkStart w:id="10" w:name="O_248135"/>
      <w:bookmarkEnd w:id="10"/>
      <w:r w:rsidRPr="007F63AE">
        <w:t>Evidence Guide</w:t>
      </w:r>
    </w:p>
    <w:tbl>
      <w:tblPr>
        <w:tblW w:w="0" w:type="auto"/>
        <w:tblLayout w:type="fixed"/>
        <w:tblCellMar>
          <w:left w:w="62" w:type="dxa"/>
          <w:right w:w="62" w:type="dxa"/>
        </w:tblCellMar>
        <w:tblLook w:val="0000"/>
      </w:tblPr>
      <w:tblGrid>
        <w:gridCol w:w="2207"/>
        <w:gridCol w:w="735"/>
        <w:gridCol w:w="919"/>
        <w:gridCol w:w="1654"/>
        <w:gridCol w:w="3125"/>
      </w:tblGrid>
      <w:tr w:rsidTr="003A1CE9">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rPr>
                <w:rStyle w:val="SpecialBold"/>
              </w:rPr>
              <w:t>EVIDENCE GUIDE</w:t>
            </w:r>
          </w:p>
        </w:tc>
      </w:tr>
      <w:tr w:rsidTr="003A1CE9">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rPr>
                <w:rStyle w:val="SpecialBold"/>
              </w:rPr>
              <w:t>9</w:t>
            </w:r>
            <w:r w:rsidRPr="007F63AE">
              <w:t>) This provides essential advice for assessment of the unit of competency and must be read in conjunction with the Performance Criteria and the range statement of the unit of competency and the Training Package Assessment Guidelines.</w:t>
            </w:r>
          </w:p>
          <w:p w:rsidR="00000000" w:rsidP="007F63AE">
            <w:pPr>
              <w:pStyle w:val="BodyText"/>
              <w:rPr>
                <w:lang w:val="en-NZ"/>
              </w:rPr>
            </w:pPr>
            <w:r w:rsidRPr="007F63AE">
              <w:t>The Evidence Guide for</w:t>
            </w:r>
            <w:r w:rsidRPr="007F63AE">
              <w:t>ms an integral part of this Competency Standard Unit and shall be used in conjunction with all component parts of this unit and, performed in accordance with the Assessment Guidelines of this Training Package.</w:t>
            </w:r>
          </w:p>
        </w:tc>
      </w:tr>
      <w:tr w:rsidTr="003A1CE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rPr>
                <w:rStyle w:val="SpecialBold"/>
              </w:rPr>
              <w:t>9</w:t>
            </w:r>
            <w:r w:rsidRPr="007F63AE">
              <w:t>.</w:t>
            </w:r>
            <w:r w:rsidRPr="007F63AE">
              <w:rPr>
                <w:rStyle w:val="SpecialBold"/>
              </w:rPr>
              <w:t>1</w:t>
            </w:r>
            <w:r w:rsidRPr="007F63AE">
              <w:t xml:space="preserve">) </w:t>
            </w:r>
          </w:p>
          <w:p w:rsidR="00000000" w:rsidRPr="007F63AE" w:rsidP="007F63AE">
            <w:pPr>
              <w:pStyle w:val="BodyText"/>
            </w:pPr>
            <w:r w:rsidRPr="007F63AE">
              <w:t>Longitudinal</w:t>
            </w:r>
            <w:r w:rsidRPr="007F63AE">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7F63AE">
              <w:t>n. It is the Industry's preferred model for apprenticeships. However, where summative (or final) assessment is used it is to include the application of the competency in the normal work environment or, at a minimum, the application of the competency in a r</w:t>
            </w:r>
            <w:r w:rsidRPr="007F63AE">
              <w:t>ealistically simulated work environment. It is recognised that, in some circumstances, assessment in part or full can occur outside the workplace. However, it must be in accord with Industry and, Regulatory policy in this regard.</w:t>
            </w:r>
          </w:p>
          <w:p w:rsidR="00000000" w:rsidRPr="007F63AE" w:rsidP="007F63AE">
            <w:pPr>
              <w:pStyle w:val="BodyText"/>
            </w:pPr>
            <w:r w:rsidRPr="007F63AE">
              <w:t>Methods chosen for a particular assessment will be influenced by various factors. These include the extent of the assessment, the most effective locations for the assessment activities to take place, access to physical resources, additional safety measures</w:t>
            </w:r>
            <w:r w:rsidRPr="007F63AE">
              <w:t xml:space="preserve"> that may be required and the critical nature of the competencies being assessed.</w:t>
            </w:r>
          </w:p>
          <w:p w:rsidR="00000000" w:rsidRPr="007F63AE" w:rsidP="007F63AE">
            <w:pPr>
              <w:pStyle w:val="BodyText"/>
            </w:pPr>
            <w:r w:rsidRPr="007F63AE">
              <w:t>The critical safety nature of working with electricity, electrical equipment, gas or any other hazardous substance/material carries risk in deeming a person competent. Hence,</w:t>
            </w:r>
            <w:r w:rsidRPr="007F63AE">
              <w:t xml:space="preserve"> sources of evidence need to be 'rich' in nature so as to minimise error in judgment.</w:t>
            </w:r>
          </w:p>
          <w:p w:rsidR="00000000" w:rsidP="007F63AE">
            <w:pPr>
              <w:pStyle w:val="BodyText"/>
              <w:rPr>
                <w:lang w:val="en-NZ"/>
              </w:rPr>
            </w:pPr>
            <w:r w:rsidRPr="007F63AE">
              <w:t xml:space="preserve">Activities associated with normal every day work have a bearing on the decision as to how much and how detailed the data gathered will contribute to its 'richness'. Some </w:t>
            </w:r>
            <w:r w:rsidRPr="007F63AE">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7F63AE">
              <w:t>Sample assessment instruments are included for Assessors in the Assessment Guidelines of this Training Package.</w:t>
            </w:r>
          </w:p>
        </w:tc>
      </w:tr>
      <w:tr w:rsidTr="003A1CE9">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rPr>
                <w:rStyle w:val="SpecialBold"/>
              </w:rPr>
              <w:t>9</w:t>
            </w:r>
            <w:r w:rsidRPr="007F63AE">
              <w:t>.</w:t>
            </w:r>
            <w:r w:rsidRPr="007F63AE">
              <w:rPr>
                <w:rStyle w:val="SpecialBold"/>
              </w:rPr>
              <w:t>2</w:t>
            </w:r>
            <w:r w:rsidRPr="007F63AE">
              <w:t xml:space="preserve">) </w:t>
            </w:r>
          </w:p>
          <w:p w:rsidR="00000000" w:rsidP="007F63AE">
            <w:pPr>
              <w:pStyle w:val="BodyText"/>
              <w:rPr>
                <w:lang w:val="en-NZ"/>
              </w:rPr>
            </w:pPr>
            <w:r w:rsidRPr="007F63AE">
              <w:t>Before the critical aspects of evidence are considered al</w:t>
            </w:r>
            <w:r w:rsidRPr="007F63AE">
              <w:t>l prerequisites shall be met.</w:t>
            </w:r>
          </w:p>
        </w:tc>
      </w:tr>
      <w:tr w:rsidTr="003A1CE9">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t xml:space="preserve">Evidence for competence in this unit shall be considered holistically. Each element and associated Performance Criteria shall be demonstrated </w:t>
            </w:r>
            <w:r w:rsidRPr="007F63AE">
              <w:t>on at least two occasions in accordance with the "Assessment Guidelines - UET09". Evidence shall also comprise:</w:t>
            </w:r>
          </w:p>
          <w:p w:rsidR="00000000" w:rsidP="007F63AE">
            <w:pPr>
              <w:pStyle w:val="ListBullet"/>
              <w:rPr>
                <w:lang w:val="en-NZ"/>
              </w:rPr>
            </w:pPr>
            <w:r w:rsidRPr="007F63AE">
              <w:t>A representative body of Performance Criteria demonstrated within the timeframes typically expected of the discipline, work function and industr</w:t>
            </w:r>
            <w:r w:rsidRPr="007F63AE">
              <w:t>ial environment. In particular this shall incorporate evidence that shows a candidate is able to:</w:t>
            </w:r>
          </w:p>
        </w:tc>
      </w:tr>
      <w:tr w:rsidTr="003A1CE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7F63AE" w:rsidP="007F63AE">
            <w:pPr>
              <w:pStyle w:val="ListBullet2"/>
            </w:pPr>
            <w:r w:rsidRPr="007F63AE">
              <w:t>Implement Occupational Health and Safety workplace procedures and practices including the use of risk control measures as specified in the Performance C</w:t>
            </w:r>
            <w:r w:rsidRPr="007F63AE">
              <w:t>riteria and range; and</w:t>
            </w:r>
          </w:p>
          <w:p w:rsidR="00000000" w:rsidRPr="007F63AE" w:rsidP="007F63AE">
            <w:pPr>
              <w:pStyle w:val="ListBullet2"/>
            </w:pPr>
            <w:r w:rsidRPr="007F63AE">
              <w:t>Apply sustainable energy principles and practices as specified in the Performance Criteria and range; and</w:t>
            </w:r>
          </w:p>
          <w:p w:rsidR="00000000" w:rsidRPr="007F63AE" w:rsidP="007F63AE">
            <w:pPr>
              <w:pStyle w:val="ListBullet2"/>
            </w:pPr>
            <w:r w:rsidRPr="007F63AE">
              <w:t xml:space="preserve">Demonstrate an understanding of the essential knowledge and associated skills as described in this unit to such an extent that </w:t>
            </w:r>
            <w:r w:rsidRPr="007F63AE">
              <w:t>the learner's performance outcome is reported in accordance with the preferred approach; namely a percentile graded result, where required by the regulated environment; and</w:t>
            </w:r>
          </w:p>
          <w:p w:rsidR="00000000" w:rsidRPr="007F63AE" w:rsidP="007F63AE">
            <w:pPr>
              <w:pStyle w:val="ListBullet2"/>
            </w:pPr>
            <w:r w:rsidRPr="007F63AE">
              <w:t>Demonstrate an appropriate level of employability skills; and</w:t>
            </w:r>
          </w:p>
          <w:p w:rsidR="00000000" w:rsidP="007F63AE">
            <w:pPr>
              <w:pStyle w:val="ListBullet2"/>
              <w:rPr>
                <w:lang w:val="en-NZ"/>
              </w:rPr>
            </w:pPr>
            <w:r w:rsidRPr="007F63AE">
              <w:t>Conduct work observing the relevant Anti Discrimination legislation, regulations, policies and workplace procedures; and</w:t>
            </w:r>
          </w:p>
        </w:tc>
      </w:tr>
      <w:tr w:rsidTr="003A1CE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7F63AE">
            <w:pPr>
              <w:pStyle w:val="ListBullet"/>
              <w:rPr>
                <w:lang w:val="en-NZ"/>
              </w:rPr>
            </w:pPr>
            <w:r w:rsidRPr="007F63AE">
              <w:t>Demonstrated performance across a representative range of contexts from the prescribed items below:</w:t>
            </w:r>
          </w:p>
        </w:tc>
      </w:tr>
      <w:tr w:rsidTr="003A1CE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7F63AE">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AE">
            <w:pPr>
              <w:pStyle w:val="BodyText"/>
              <w:rPr>
                <w:lang w:val="en-NZ"/>
              </w:rPr>
            </w:pPr>
            <w:r w:rsidRPr="007F63AE">
              <w:rPr>
                <w:rStyle w:val="SpecialBold"/>
              </w:rPr>
              <w:t>Range of tools</w:t>
            </w:r>
            <w:r w:rsidRPr="007F63AE">
              <w:t>/</w:t>
            </w:r>
            <w:r w:rsidRPr="007F63AE">
              <w:rPr>
                <w:rStyle w:val="SpecialBold"/>
              </w:rPr>
              <w:t>equipment</w:t>
            </w:r>
            <w:r w:rsidRPr="007F63AE">
              <w:t>/</w:t>
            </w:r>
            <w:r w:rsidRPr="007F63AE">
              <w:rPr>
                <w:rStyle w:val="SpecialBold"/>
              </w:rPr>
              <w:t>materials</w:t>
            </w:r>
            <w:r w:rsidRPr="007F63AE">
              <w:t>/</w:t>
            </w:r>
            <w:r w:rsidRPr="007F63AE">
              <w:rPr>
                <w:rStyle w:val="SpecialBold"/>
              </w:rPr>
              <w:t>procedures</w:t>
            </w:r>
            <w:r w:rsidRPr="007F63AE">
              <w:t>/</w:t>
            </w:r>
            <w:r w:rsidRPr="007F63AE">
              <w:rPr>
                <w:rStyle w:val="SpecialBold"/>
              </w:rPr>
              <w:t>workplaces</w:t>
            </w:r>
            <w:r w:rsidRPr="007F63AE">
              <w:t>/</w:t>
            </w:r>
            <w:r w:rsidRPr="007F63AE">
              <w:rPr>
                <w:rStyle w:val="SpecialBold"/>
              </w:rPr>
              <w:t>other variables</w:t>
            </w:r>
          </w:p>
        </w:tc>
      </w:tr>
      <w:tr w:rsidTr="003A1CE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7F63AE">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AE" w:rsidP="007F63AE">
            <w:pPr>
              <w:pStyle w:val="BodyText"/>
            </w:pPr>
            <w:r w:rsidRPr="007F63AE">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AE" w:rsidP="007F63AE">
            <w:pPr>
              <w:pStyle w:val="BodyText"/>
            </w:pPr>
            <w:r w:rsidRPr="007F63AE">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AE">
            <w:pPr>
              <w:pStyle w:val="BodyText"/>
              <w:rPr>
                <w:lang w:val="en-NZ"/>
              </w:rPr>
            </w:pPr>
            <w:r w:rsidRPr="007F63AE">
              <w:rPr>
                <w:rStyle w:val="SpecialBold"/>
              </w:rPr>
              <w:t>Item List</w:t>
            </w:r>
          </w:p>
        </w:tc>
      </w:tr>
      <w:tr w:rsidTr="003A1CE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AE">
            <w:pPr>
              <w:pStyle w:val="BodyText"/>
              <w:rPr>
                <w:lang w:val="en-NZ"/>
              </w:rPr>
            </w:pPr>
            <w:r w:rsidRPr="007F63AE">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AE">
            <w:pPr>
              <w:pStyle w:val="BodyText"/>
              <w:rPr>
                <w:lang w:val="en-NZ"/>
              </w:rPr>
            </w:pPr>
            <w:r w:rsidRPr="007F63AE">
              <w:t>Preparation of six (6) compliant detailed plans that relate to the following project types:</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AE" w:rsidP="007F63AE">
            <w:pPr>
              <w:pStyle w:val="BodyText"/>
            </w:pPr>
            <w:r w:rsidRPr="007F63AE">
              <w:t>Distribution overhead designs</w:t>
            </w:r>
          </w:p>
          <w:p w:rsidR="00000000" w:rsidRPr="007F63AE" w:rsidP="007F63AE">
            <w:pPr>
              <w:pStyle w:val="BodyText"/>
            </w:pPr>
            <w:r w:rsidRPr="007F63AE">
              <w:t>Distribution underground designs</w:t>
            </w:r>
          </w:p>
          <w:p w:rsidR="00000000" w:rsidRPr="007F63AE" w:rsidP="007F63AE">
            <w:pPr>
              <w:pStyle w:val="BodyText"/>
            </w:pPr>
            <w:r w:rsidRPr="007F63AE">
              <w:t>Distribution substations designs</w:t>
            </w:r>
          </w:p>
          <w:p w:rsidR="00000000" w:rsidRPr="007F63AE" w:rsidP="007F63AE">
            <w:pPr>
              <w:pStyle w:val="BodyText"/>
            </w:pPr>
            <w:r w:rsidRPr="007F63AE">
              <w:t>Transmission and subtransmission substations designs</w:t>
            </w:r>
          </w:p>
          <w:p w:rsidR="00000000" w:rsidRPr="007F63AE" w:rsidP="007F63AE">
            <w:pPr>
              <w:pStyle w:val="BodyText"/>
            </w:pPr>
            <w:r w:rsidRPr="007F63AE">
              <w:t>Public lighting designs</w:t>
            </w:r>
          </w:p>
          <w:p w:rsidR="00000000" w:rsidRPr="007F63AE" w:rsidP="007F63AE">
            <w:pPr>
              <w:pStyle w:val="BodyText"/>
            </w:pPr>
            <w:r w:rsidRPr="007F63AE">
              <w:t>Zone substation designs</w:t>
            </w:r>
          </w:p>
          <w:p w:rsidR="00000000" w:rsidP="007F63AE">
            <w:pPr>
              <w:pStyle w:val="BodyText"/>
              <w:rPr>
                <w:lang w:val="en-NZ"/>
              </w:rPr>
            </w:pPr>
            <w:r w:rsidRPr="007F63AE">
              <w:t>Customer Substation designs</w:t>
            </w:r>
          </w:p>
        </w:tc>
      </w:tr>
      <w:tr w:rsidTr="003A1CE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AE">
            <w:pPr>
              <w:pStyle w:val="BodyText"/>
              <w:rPr>
                <w:lang w:val="en-NZ"/>
              </w:rPr>
            </w:pPr>
            <w:r w:rsidRPr="007F63AE">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AE">
            <w:pPr>
              <w:pStyle w:val="BodyText"/>
              <w:rPr>
                <w:lang w:val="en-NZ"/>
              </w:rPr>
            </w:pPr>
            <w:r w:rsidRPr="007F63AE">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AE">
            <w:pPr>
              <w:pStyle w:val="BodyText"/>
              <w:rPr>
                <w:lang w:val="en-NZ"/>
              </w:rPr>
            </w:pPr>
            <w:r w:rsidRPr="007F63AE">
              <w:t>Dealing with an unplanned event by drawing on essential knowledge and associated skills to provide appropriate solutions incorporated in the holistic assessment with the above listed items.</w:t>
            </w:r>
          </w:p>
        </w:tc>
      </w:tr>
      <w:tr w:rsidTr="003A1CE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rPr>
                <w:rStyle w:val="SpecialBold"/>
              </w:rPr>
              <w:t>9</w:t>
            </w:r>
            <w:r w:rsidRPr="007F63AE">
              <w:t>.</w:t>
            </w:r>
            <w:r w:rsidRPr="007F63AE">
              <w:rPr>
                <w:rStyle w:val="SpecialBold"/>
              </w:rPr>
              <w:t>3</w:t>
            </w:r>
            <w:r w:rsidRPr="007F63AE">
              <w:t xml:space="preserve">) </w:t>
            </w:r>
          </w:p>
          <w:p w:rsidR="00000000" w:rsidRPr="007F63AE" w:rsidP="007F63AE">
            <w:pPr>
              <w:pStyle w:val="BodyText"/>
            </w:pPr>
            <w:r w:rsidRPr="007F63AE">
              <w:t xml:space="preserve">This unit </w:t>
            </w:r>
            <w:r w:rsidRPr="007F63AE">
              <w:t>should be assessed as it relates to normal work practice using procedures, information and resources typical of a workplace. This should include:</w:t>
            </w:r>
          </w:p>
          <w:p w:rsidR="00000000" w:rsidRPr="007F63AE" w:rsidP="007F63AE">
            <w:pPr>
              <w:pStyle w:val="ListBullet"/>
            </w:pPr>
            <w:r w:rsidRPr="007F63AE">
              <w:t>OHS policy and work procedures and instructions.</w:t>
            </w:r>
          </w:p>
          <w:p w:rsidR="00000000" w:rsidP="007F63AE">
            <w:pPr>
              <w:pStyle w:val="ListBullet"/>
              <w:rPr>
                <w:lang w:val="en-NZ"/>
              </w:rPr>
            </w:pPr>
            <w:r w:rsidRPr="007F63AE">
              <w:t>Suitable work environment, facilities, equipment and material</w:t>
            </w:r>
            <w:r w:rsidRPr="007F63AE">
              <w:t>s to undertake actual preparation and management of detailed construction plans for electrical system infrastructure</w:t>
            </w:r>
          </w:p>
        </w:tc>
      </w:tr>
      <w:tr w:rsidTr="003A1CE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In addition to the resources listed above, in Context of and specific resource</w:t>
            </w:r>
            <w:r w:rsidRPr="007F63AE">
              <w:t xml:space="preserve">s for assessment, evidence should show demonstrated competency working realistic environment and a variety of conditions. </w:t>
            </w:r>
          </w:p>
        </w:tc>
      </w:tr>
      <w:tr w:rsidTr="003A1CE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rPr>
                <w:rStyle w:val="SpecialBold"/>
              </w:rPr>
              <w:t>9</w:t>
            </w:r>
            <w:r w:rsidRPr="007F63AE">
              <w:t>.</w:t>
            </w:r>
            <w:r w:rsidRPr="007F63AE">
              <w:rPr>
                <w:rStyle w:val="SpecialBold"/>
              </w:rPr>
              <w:t>4</w:t>
            </w:r>
            <w:r w:rsidRPr="007F63AE">
              <w:t xml:space="preserve">) </w:t>
            </w:r>
          </w:p>
          <w:p w:rsidR="00000000" w:rsidRPr="007F63AE" w:rsidP="007F63AE">
            <w:pPr>
              <w:pStyle w:val="BodyText"/>
            </w:pPr>
            <w:r w:rsidRPr="007F63AE">
              <w:t>This Competency Standard Unit shall be assessed by methods given in Volume 1, Part 3 "Assessment Guide</w:t>
            </w:r>
            <w:r w:rsidRPr="007F63AE">
              <w:t>lines".</w:t>
            </w:r>
          </w:p>
          <w:p w:rsidR="00000000" w:rsidP="007F63AE">
            <w:pPr>
              <w:pStyle w:val="BodyText"/>
              <w:rPr>
                <w:lang w:val="en-NZ"/>
              </w:rPr>
            </w:pPr>
            <w:r w:rsidRPr="007F63AE">
              <w:t>Note:</w:t>
            </w:r>
            <w:r w:rsidRPr="007F63AE">
              <w:br/>
              <w:t>Competent performance with inherent safe working practices is expected in the Industry to which this Competency Standard Unit applies. This requires that the specified essential knowledge and associated skills are assessed in a structured env</w:t>
            </w:r>
            <w:r w:rsidRPr="007F63AE">
              <w:t>ironment which is primarily intended for learning/assessment and incorporates all necessary equipment and facilities for learners to develop and demonstrate the essential knowledge and associated skills described in this unit.</w:t>
            </w:r>
          </w:p>
        </w:tc>
      </w:tr>
      <w:tr w:rsidTr="003A1CE9">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rPr>
                <w:rStyle w:val="SpecialBold"/>
              </w:rPr>
              <w:t>Concurrent assessment and</w:t>
            </w:r>
            <w:r w:rsidRPr="007F63AE">
              <w:rPr>
                <w:rStyle w:val="SpecialBold"/>
              </w:rPr>
              <w:t xml:space="preserve">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rPr>
                <w:rStyle w:val="SpecialBold"/>
              </w:rPr>
              <w:t>9</w:t>
            </w:r>
            <w:r w:rsidRPr="007F63AE">
              <w:t>.</w:t>
            </w:r>
            <w:r w:rsidRPr="007F63AE">
              <w:rPr>
                <w:rStyle w:val="SpecialBold"/>
              </w:rPr>
              <w:t>5</w:t>
            </w:r>
            <w:r w:rsidRPr="007F63AE">
              <w:t>)</w:t>
            </w:r>
          </w:p>
        </w:tc>
      </w:tr>
      <w:tr w:rsidTr="003A1CE9">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 xml:space="preserve">For optimisation of training and assessment effort, competence in this unit may be assessed concurrently with the following units: </w:t>
            </w:r>
          </w:p>
        </w:tc>
      </w:tr>
      <w:tr w:rsidTr="003A1CE9">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t>There are no recommended concurrencies for this unit.</w:t>
            </w:r>
          </w:p>
        </w:tc>
      </w:tr>
    </w:tbl>
    <w:p w:rsidR="003A1CE9" w:rsidP="007F63AE">
      <w:pPr>
        <w:pStyle w:val="BodyText"/>
      </w:pPr>
    </w:p>
    <w:p w:rsidR="003A1CE9" w:rsidP="007F63AE">
      <w:pPr>
        <w:pStyle w:val="BodyText"/>
      </w:pPr>
    </w:p>
    <w:p w:rsidR="00000000" w:rsidRPr="007F63AE" w:rsidP="007F63AE">
      <w:pPr>
        <w:pStyle w:val="Heading1"/>
      </w:pPr>
      <w:bookmarkStart w:id="11" w:name="O_256119"/>
      <w:bookmarkEnd w:id="11"/>
      <w:r w:rsidRPr="007F63AE">
        <w:t>Range Statement</w:t>
      </w:r>
    </w:p>
    <w:tbl>
      <w:tblPr>
        <w:tblW w:w="0" w:type="auto"/>
        <w:tblLayout w:type="fixed"/>
        <w:tblCellMar>
          <w:left w:w="62" w:type="dxa"/>
          <w:right w:w="62" w:type="dxa"/>
        </w:tblCellMar>
        <w:tblLook w:val="0000"/>
      </w:tblPr>
      <w:tblGrid>
        <w:gridCol w:w="2206"/>
        <w:gridCol w:w="6434"/>
      </w:tblGrid>
      <w:tr w:rsidTr="003A1CE9">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rPr>
                <w:rStyle w:val="SpecialBold"/>
              </w:rPr>
              <w:t>RANGE STATEMENT</w:t>
            </w:r>
          </w:p>
        </w:tc>
      </w:tr>
      <w:tr w:rsidTr="003A1CE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rPr>
                <w:rStyle w:val="SpecialBold"/>
              </w:rPr>
              <w:t>8</w:t>
            </w:r>
            <w:r w:rsidRPr="007F63AE">
              <w:t>) This relates to the unit of competency as a whole providing the range of contexts and conditions to which the Performance Criteria apply. It allows for different work environments and situations that will affect</w:t>
            </w:r>
            <w:r w:rsidRPr="007F63AE">
              <w:t xml:space="preserve"> performance.</w:t>
            </w:r>
          </w:p>
        </w:tc>
      </w:tr>
      <w:tr w:rsidTr="003A1CE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t xml:space="preserve">This Competency Standard Unit shall/may be demonstrated in relation to the preparation and management of detailed construction plans for electrical infrastructure and may include the following equipment: </w:t>
            </w:r>
          </w:p>
          <w:p w:rsidR="00000000" w:rsidRPr="007F63AE" w:rsidP="007F63AE">
            <w:pPr>
              <w:pStyle w:val="BodyText"/>
            </w:pPr>
            <w:r w:rsidRPr="007F63AE">
              <w:t>Drafting software, Computer hardwar</w:t>
            </w:r>
            <w:r w:rsidRPr="007F63AE">
              <w:t>e, Reference manuals, Design sketches</w:t>
            </w:r>
          </w:p>
          <w:p w:rsidR="00000000" w:rsidP="007F63AE">
            <w:pPr>
              <w:pStyle w:val="BodyText"/>
              <w:rPr>
                <w:lang w:val="en-NZ"/>
              </w:rPr>
            </w:pPr>
            <w:r w:rsidRPr="007F63AE">
              <w:t>The following constants and variables included in the element/Performance Criteria in this unit are fully described in the Definitions Section 1 of this volume and form an integral part of the Range Statement of this u</w:t>
            </w:r>
            <w:r w:rsidRPr="007F63AE">
              <w:t>nit:</w:t>
            </w:r>
          </w:p>
        </w:tc>
      </w:tr>
      <w:tr w:rsidTr="003A1CE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7F63AE" w:rsidP="007F63AE">
            <w:pPr>
              <w:pStyle w:val="ListBullet"/>
            </w:pPr>
            <w:r w:rsidRPr="007F63AE">
              <w:t>Appropriate and relevant persons (see Personnel)</w:t>
            </w:r>
          </w:p>
          <w:p w:rsidR="00000000" w:rsidRPr="007F63AE" w:rsidP="007F63AE">
            <w:pPr>
              <w:pStyle w:val="ListBullet"/>
            </w:pPr>
            <w:r w:rsidRPr="007F63AE">
              <w:t>Appropriate authorities</w:t>
            </w:r>
          </w:p>
          <w:p w:rsidR="00000000" w:rsidRPr="007F63AE" w:rsidP="007F63AE">
            <w:pPr>
              <w:pStyle w:val="ListBullet"/>
            </w:pPr>
            <w:r w:rsidRPr="007F63AE">
              <w:t>Appropriate work platform</w:t>
            </w:r>
          </w:p>
          <w:p w:rsidR="00000000" w:rsidRPr="007F63AE" w:rsidP="007F63AE">
            <w:pPr>
              <w:pStyle w:val="ListBullet"/>
            </w:pPr>
            <w:r w:rsidRPr="007F63AE">
              <w:t>Assessing risk</w:t>
            </w:r>
          </w:p>
          <w:p w:rsidR="00000000" w:rsidRPr="007F63AE" w:rsidP="007F63AE">
            <w:pPr>
              <w:pStyle w:val="ListBullet"/>
            </w:pPr>
            <w:r w:rsidRPr="007F63AE">
              <w:t>Assessment</w:t>
            </w:r>
          </w:p>
          <w:p w:rsidR="00000000" w:rsidRPr="007F63AE" w:rsidP="007F63AE">
            <w:pPr>
              <w:pStyle w:val="ListBullet"/>
            </w:pPr>
            <w:r w:rsidRPr="007F63AE">
              <w:t>Authorisation</w:t>
            </w:r>
          </w:p>
          <w:p w:rsidR="00000000" w:rsidRPr="007F63AE" w:rsidP="007F63AE">
            <w:pPr>
              <w:pStyle w:val="ListBullet"/>
            </w:pPr>
            <w:r w:rsidRPr="007F63AE">
              <w:t>Confined space</w:t>
            </w:r>
          </w:p>
          <w:p w:rsidR="00000000" w:rsidRPr="007F63AE" w:rsidP="007F63AE">
            <w:pPr>
              <w:pStyle w:val="ListBullet"/>
            </w:pPr>
            <w:r w:rsidRPr="007F63AE">
              <w:t>Diagnostic, testing and restoration</w:t>
            </w:r>
          </w:p>
          <w:p w:rsidR="00000000" w:rsidRPr="007F63AE" w:rsidP="007F63AE">
            <w:pPr>
              <w:pStyle w:val="ListBullet"/>
            </w:pPr>
            <w:r w:rsidRPr="007F63AE">
              <w:t>Documenting detail work events, record keeping and or storage of information</w:t>
            </w:r>
          </w:p>
          <w:p w:rsidR="00000000" w:rsidRPr="007F63AE" w:rsidP="007F63AE">
            <w:pPr>
              <w:pStyle w:val="ListBullet"/>
            </w:pPr>
            <w:r w:rsidRPr="007F63AE">
              <w:t>Drawings and specifications</w:t>
            </w:r>
          </w:p>
          <w:p w:rsidR="00000000" w:rsidRPr="007F63AE" w:rsidP="007F63AE">
            <w:pPr>
              <w:pStyle w:val="ListBullet"/>
            </w:pPr>
            <w:r w:rsidRPr="007F63AE">
              <w:t>Emergency</w:t>
            </w:r>
          </w:p>
          <w:p w:rsidR="00000000" w:rsidRPr="007F63AE" w:rsidP="007F63AE">
            <w:pPr>
              <w:pStyle w:val="ListBullet"/>
            </w:pPr>
            <w:r w:rsidRPr="007F63AE">
              <w:t>Environmental and sustainable energy procedures</w:t>
            </w:r>
          </w:p>
          <w:p w:rsidR="00000000" w:rsidRPr="007F63AE" w:rsidP="007F63AE">
            <w:pPr>
              <w:pStyle w:val="ListBullet"/>
            </w:pPr>
            <w:r w:rsidRPr="007F63AE">
              <w:t>Environmental legislation</w:t>
            </w:r>
          </w:p>
          <w:p w:rsidR="00000000" w:rsidRPr="007F63AE" w:rsidP="007F63AE">
            <w:pPr>
              <w:pStyle w:val="ListBullet"/>
            </w:pPr>
            <w:r w:rsidRPr="007F63AE">
              <w:t>Environmental management documentation</w:t>
            </w:r>
          </w:p>
          <w:p w:rsidR="00000000" w:rsidRPr="007F63AE" w:rsidP="007F63AE">
            <w:pPr>
              <w:pStyle w:val="ListBullet"/>
            </w:pPr>
            <w:r w:rsidRPr="007F63AE">
              <w:t>Established procedures</w:t>
            </w:r>
          </w:p>
          <w:p w:rsidR="00000000" w:rsidRPr="007F63AE" w:rsidP="007F63AE">
            <w:pPr>
              <w:pStyle w:val="ListBullet"/>
            </w:pPr>
            <w:r w:rsidRPr="007F63AE">
              <w:t xml:space="preserve">Fall </w:t>
            </w:r>
            <w:r w:rsidRPr="007F63AE">
              <w:t>prevention</w:t>
            </w:r>
          </w:p>
          <w:p w:rsidR="00000000" w:rsidRPr="007F63AE" w:rsidP="007F63AE">
            <w:pPr>
              <w:pStyle w:val="ListBullet"/>
            </w:pPr>
            <w:r w:rsidRPr="007F63AE">
              <w:t>Hazards</w:t>
            </w:r>
          </w:p>
          <w:p w:rsidR="00000000" w:rsidRPr="007F63AE" w:rsidP="007F63AE">
            <w:pPr>
              <w:pStyle w:val="ListBullet"/>
            </w:pPr>
            <w:r w:rsidRPr="007F63AE">
              <w:t>Identifying hazards</w:t>
            </w:r>
          </w:p>
          <w:p w:rsidR="00000000" w:rsidRPr="007F63AE" w:rsidP="007F63AE">
            <w:pPr>
              <w:pStyle w:val="ListBullet"/>
            </w:pPr>
            <w:r w:rsidRPr="007F63AE">
              <w:t>Inspect</w:t>
            </w:r>
          </w:p>
          <w:p w:rsidR="00000000" w:rsidRPr="007F63AE" w:rsidP="007F63AE">
            <w:pPr>
              <w:pStyle w:val="ListBullet"/>
            </w:pPr>
            <w:r w:rsidRPr="007F63AE">
              <w:t>Legislation</w:t>
            </w:r>
          </w:p>
          <w:p w:rsidR="00000000" w:rsidRPr="007F63AE" w:rsidP="007F63AE">
            <w:pPr>
              <w:pStyle w:val="ListBullet"/>
            </w:pPr>
            <w:r w:rsidRPr="007F63AE">
              <w:t>MSDS</w:t>
            </w:r>
          </w:p>
          <w:p w:rsidR="00000000" w:rsidRPr="007F63AE" w:rsidP="007F63AE">
            <w:pPr>
              <w:pStyle w:val="ListBullet"/>
            </w:pPr>
            <w:r w:rsidRPr="007F63AE">
              <w:t>Notification</w:t>
            </w:r>
          </w:p>
          <w:p w:rsidR="00000000" w:rsidRPr="007F63AE" w:rsidP="007F63AE">
            <w:pPr>
              <w:pStyle w:val="ListBullet"/>
            </w:pPr>
            <w:r w:rsidRPr="007F63AE">
              <w:t>OHS practices</w:t>
            </w:r>
          </w:p>
          <w:p w:rsidR="00000000" w:rsidRPr="007F63AE" w:rsidP="007F63AE">
            <w:pPr>
              <w:pStyle w:val="ListBullet"/>
            </w:pPr>
            <w:r w:rsidRPr="007F63AE">
              <w:t>OHS issues</w:t>
            </w:r>
          </w:p>
          <w:p w:rsidR="00000000" w:rsidRPr="007F63AE" w:rsidP="007F63AE">
            <w:pPr>
              <w:pStyle w:val="ListBullet"/>
            </w:pPr>
            <w:r w:rsidRPr="007F63AE">
              <w:t>Permits and/or permits to work</w:t>
            </w:r>
          </w:p>
          <w:p w:rsidR="00000000" w:rsidRPr="007F63AE" w:rsidP="007F63AE">
            <w:pPr>
              <w:pStyle w:val="ListBullet"/>
            </w:pPr>
            <w:r w:rsidRPr="007F63AE">
              <w:t>Personnel</w:t>
            </w:r>
          </w:p>
          <w:p w:rsidR="00000000" w:rsidRPr="007F63AE" w:rsidP="007F63AE">
            <w:pPr>
              <w:pStyle w:val="ListBullet"/>
            </w:pPr>
            <w:r w:rsidRPr="007F63AE">
              <w:t>Quality assurance systems</w:t>
            </w:r>
          </w:p>
          <w:p w:rsidR="00000000" w:rsidRPr="007F63AE" w:rsidP="007F63AE">
            <w:pPr>
              <w:pStyle w:val="ListBullet"/>
            </w:pPr>
            <w:r w:rsidRPr="007F63AE">
              <w:t>Requirements</w:t>
            </w:r>
          </w:p>
          <w:p w:rsidR="00000000" w:rsidRPr="007F63AE" w:rsidP="007F63AE">
            <w:pPr>
              <w:pStyle w:val="ListBullet"/>
            </w:pPr>
            <w:r w:rsidRPr="007F63AE">
              <w:t>Safe design principles</w:t>
            </w:r>
          </w:p>
          <w:p w:rsidR="00000000" w:rsidRPr="007F63AE" w:rsidP="007F63AE">
            <w:pPr>
              <w:pStyle w:val="ListBullet"/>
            </w:pPr>
            <w:r w:rsidRPr="007F63AE">
              <w:t>Testing procedures</w:t>
            </w:r>
          </w:p>
          <w:p w:rsidR="00000000" w:rsidRPr="007F63AE" w:rsidP="007F63AE">
            <w:pPr>
              <w:pStyle w:val="ListBullet"/>
            </w:pPr>
            <w:r w:rsidRPr="007F63AE">
              <w:t>Work clearance systems</w:t>
            </w:r>
          </w:p>
        </w:tc>
      </w:tr>
    </w:tbl>
    <w:p w:rsidR="003A1CE9" w:rsidP="007F63AE">
      <w:pPr>
        <w:pStyle w:val="BodyText"/>
      </w:pPr>
    </w:p>
    <w:p w:rsidR="003A1CE9" w:rsidP="007F63AE">
      <w:pPr>
        <w:pStyle w:val="BodyText"/>
      </w:pPr>
    </w:p>
    <w:p w:rsidR="00000000" w:rsidRPr="007F63AE" w:rsidP="007F63AE">
      <w:pPr>
        <w:pStyle w:val="Heading1"/>
      </w:pPr>
      <w:bookmarkStart w:id="12" w:name="O_297132"/>
      <w:bookmarkEnd w:id="12"/>
      <w:r w:rsidRPr="007F63AE">
        <w:t>Unit Sector(s)</w:t>
      </w:r>
    </w:p>
    <w:p w:rsidR="00000000" w:rsidRPr="007F63AE" w:rsidP="007F63AE">
      <w:pPr>
        <w:pStyle w:val="BodyText"/>
      </w:pPr>
      <w:r w:rsidRPr="007F63AE">
        <w:t>Not Applicable</w:t>
      </w:r>
    </w:p>
    <w:p w:rsidR="00000000" w:rsidRPr="007F63AE" w:rsidP="007F63AE">
      <w:pPr>
        <w:pStyle w:val="AllowPageBreak"/>
      </w:pPr>
    </w:p>
    <w:p w:rsidR="00000000" w:rsidRPr="007F63AE" w:rsidP="007F63AE">
      <w:pPr>
        <w:pStyle w:val="Heading1"/>
      </w:pPr>
      <w:bookmarkStart w:id="13" w:name="O_231217"/>
      <w:bookmarkEnd w:id="13"/>
      <w:r w:rsidRPr="007F63AE">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3A1CE9">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rPr>
                <w:rStyle w:val="SpecialBold"/>
              </w:rPr>
              <w:t>2</w:t>
            </w:r>
            <w:r w:rsidRPr="007F63AE">
              <w:t>.</w:t>
            </w:r>
            <w:r w:rsidRPr="007F63AE">
              <w:rPr>
                <w:rStyle w:val="SpecialBold"/>
              </w:rPr>
              <w:t>2</w:t>
            </w:r>
            <w:r w:rsidRPr="007F63AE">
              <w:t xml:space="preserve">) </w:t>
            </w:r>
            <w:r w:rsidRPr="007F63AE">
              <w:rPr>
                <w:rStyle w:val="SpecialBold"/>
              </w:rPr>
              <w:t>Literacy and numeracy skills</w:t>
            </w:r>
          </w:p>
          <w:p w:rsidR="00000000" w:rsidP="007F63AE">
            <w:pPr>
              <w:pStyle w:val="BodyText"/>
              <w:rPr>
                <w:lang w:val="en-NZ"/>
              </w:rPr>
            </w:pPr>
            <w:r w:rsidRPr="007F63AE">
              <w:t>Participants are best equipped to achieve this unit if they have reading, writing and numeracy skills indicated by the following scales. Description of each scale is given in Volume 2, Part 3 "Literacy and Numeracy"</w:t>
            </w:r>
          </w:p>
        </w:tc>
      </w:tr>
      <w:tr w:rsidTr="003A1CE9">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Reading</w:t>
            </w:r>
          </w:p>
        </w:tc>
        <w:tc>
          <w:tcPr>
            <w:tcW w:w="1207"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5</w:t>
            </w:r>
          </w:p>
        </w:tc>
        <w:tc>
          <w:tcPr>
            <w:tcW w:w="1776"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Writing</w:t>
            </w:r>
          </w:p>
        </w:tc>
        <w:tc>
          <w:tcPr>
            <w:tcW w:w="1207"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5</w:t>
            </w:r>
          </w:p>
        </w:tc>
        <w:tc>
          <w:tcPr>
            <w:tcW w:w="1758"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t>Numeracy</w:t>
            </w:r>
          </w:p>
        </w:tc>
        <w:tc>
          <w:tcPr>
            <w:tcW w:w="1207" w:type="dxa"/>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t>5</w:t>
            </w:r>
          </w:p>
        </w:tc>
      </w:tr>
    </w:tbl>
    <w:p w:rsidR="003A1CE9" w:rsidP="007F63AE">
      <w:pPr>
        <w:pStyle w:val="BodyText"/>
      </w:pPr>
    </w:p>
    <w:p w:rsidR="003A1CE9" w:rsidP="007F63AE">
      <w:pPr>
        <w:pStyle w:val="BodyText"/>
      </w:pPr>
    </w:p>
    <w:p w:rsidR="00000000" w:rsidRPr="007F63AE" w:rsidP="007F63AE">
      <w:pPr>
        <w:pStyle w:val="Heading1"/>
      </w:pPr>
      <w:bookmarkStart w:id="14" w:name="O_231220"/>
      <w:bookmarkEnd w:id="14"/>
      <w:r w:rsidRPr="007F63AE">
        <w:t>Competency Field</w:t>
      </w:r>
    </w:p>
    <w:tbl>
      <w:tblPr>
        <w:tblW w:w="0" w:type="auto"/>
        <w:tblLayout w:type="fixed"/>
        <w:tblCellMar>
          <w:left w:w="62" w:type="dxa"/>
          <w:right w:w="62" w:type="dxa"/>
        </w:tblCellMar>
        <w:tblLook w:val="0000"/>
      </w:tblPr>
      <w:tblGrid>
        <w:gridCol w:w="2758"/>
        <w:gridCol w:w="5882"/>
      </w:tblGrid>
      <w:tr w:rsidTr="003A1CE9">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7F63AE">
            <w:pPr>
              <w:pStyle w:val="BodyText"/>
              <w:rPr>
                <w:lang w:val="en-NZ"/>
              </w:rPr>
            </w:pPr>
            <w:r w:rsidRPr="007F63AE">
              <w:rPr>
                <w:rStyle w:val="SpecialBold"/>
              </w:rPr>
              <w:t>5</w:t>
            </w:r>
            <w:r w:rsidRPr="007F63AE">
              <w:t>)</w:t>
            </w:r>
          </w:p>
        </w:tc>
      </w:tr>
      <w:tr w:rsidTr="003A1CE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7F63AE" w:rsidP="007F63AE">
            <w:pPr>
              <w:pStyle w:val="BodyText"/>
            </w:pPr>
            <w:r w:rsidRPr="007F63AE">
              <w:t>Design.</w:t>
            </w:r>
          </w:p>
        </w:tc>
      </w:tr>
    </w:tbl>
    <w:p w:rsidR="003A1CE9" w:rsidP="007F63AE">
      <w:pPr>
        <w:pStyle w:val="BodyText"/>
      </w:pPr>
    </w:p>
    <w:p w:rsidR="003A1CE9" w:rsidP="007F63AE">
      <w:pPr>
        <w:pStyle w:val="BodyText"/>
      </w:pPr>
    </w:p>
    <w:p w:rsidR="00000000" w:rsidRPr="007F63AE" w:rsidP="007F63AE"/>
    <w:sectPr w:rsidSect="007F63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3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1CE9" w:rsidP="003A1CE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3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CE9" w:rsidP="007F63A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A1CE9" w:rsidP="007F63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A1CE9" w:rsidP="007F63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3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3AE" w:rsidRPr="003A1CE9" w:rsidP="003A1C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3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CE9" w:rsidRPr="002D2AF8" w:rsidP="007F63AE">
    <w:pPr>
      <w:pStyle w:val="Header"/>
      <w:framePr w:wrap="around"/>
    </w:pPr>
    <w:r>
      <w:fldChar w:fldCharType="begin"/>
    </w:r>
    <w:r>
      <w:instrText xml:space="preserve"> TITLE   \* MERGEFORMAT </w:instrText>
    </w:r>
    <w:r>
      <w:fldChar w:fldCharType="separate"/>
    </w:r>
    <w:r>
      <w:t>UETTDRDS09B Prepare and manage detailed construction plans for electrical system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A1CE9" w:rsidP="007F63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56D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5495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60F6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3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63AE"/>
    <w:pPr>
      <w:spacing w:before="360" w:after="60"/>
      <w:outlineLvl w:val="0"/>
    </w:pPr>
    <w:rPr>
      <w:sz w:val="32"/>
    </w:rPr>
  </w:style>
  <w:style w:type="paragraph" w:styleId="Heading2">
    <w:name w:val="heading 2"/>
    <w:basedOn w:val="HeadingBase"/>
    <w:next w:val="BodyText"/>
    <w:link w:val="Heading2Char"/>
    <w:qFormat/>
    <w:rsid w:val="007F63AE"/>
    <w:pPr>
      <w:keepLines/>
      <w:spacing w:before="240" w:after="120"/>
      <w:outlineLvl w:val="1"/>
    </w:pPr>
    <w:rPr>
      <w:sz w:val="28"/>
      <w:szCs w:val="40"/>
    </w:rPr>
  </w:style>
  <w:style w:type="paragraph" w:styleId="Heading3">
    <w:name w:val="heading 3"/>
    <w:basedOn w:val="HeadingBase"/>
    <w:next w:val="BodyText"/>
    <w:link w:val="Heading3Char"/>
    <w:qFormat/>
    <w:rsid w:val="007F63AE"/>
    <w:pPr>
      <w:spacing w:before="180" w:after="120"/>
      <w:outlineLvl w:val="2"/>
    </w:pPr>
    <w:rPr>
      <w:spacing w:val="-10"/>
      <w:kern w:val="32"/>
    </w:rPr>
  </w:style>
  <w:style w:type="paragraph" w:styleId="Heading4">
    <w:name w:val="heading 4"/>
    <w:basedOn w:val="HeadingBase"/>
    <w:next w:val="BodyText"/>
    <w:link w:val="Heading4Char"/>
    <w:qFormat/>
    <w:rsid w:val="007F63AE"/>
    <w:pPr>
      <w:spacing w:before="160" w:after="120"/>
      <w:outlineLvl w:val="3"/>
    </w:pPr>
    <w:rPr>
      <w:sz w:val="22"/>
    </w:rPr>
  </w:style>
  <w:style w:type="paragraph" w:styleId="Heading5">
    <w:name w:val="heading 5"/>
    <w:basedOn w:val="HeadingBase"/>
    <w:next w:val="Normal"/>
    <w:link w:val="Heading5Char"/>
    <w:qFormat/>
    <w:rsid w:val="007F63AE"/>
    <w:pPr>
      <w:spacing w:before="80"/>
      <w:outlineLvl w:val="4"/>
    </w:pPr>
    <w:rPr>
      <w:color w:val="918585"/>
      <w:sz w:val="20"/>
    </w:rPr>
  </w:style>
  <w:style w:type="paragraph" w:styleId="Heading6">
    <w:name w:val="heading 6"/>
    <w:basedOn w:val="HeadingBase"/>
    <w:next w:val="Normal"/>
    <w:link w:val="Heading6Char"/>
    <w:qFormat/>
    <w:rsid w:val="007F63AE"/>
    <w:pPr>
      <w:spacing w:before="60"/>
      <w:outlineLvl w:val="5"/>
    </w:pPr>
    <w:rPr>
      <w:color w:val="918585"/>
      <w:sz w:val="20"/>
    </w:rPr>
  </w:style>
  <w:style w:type="paragraph" w:styleId="Heading7">
    <w:name w:val="heading 7"/>
    <w:basedOn w:val="Normal"/>
    <w:next w:val="Normal"/>
    <w:link w:val="Heading7Char"/>
    <w:qFormat/>
    <w:rsid w:val="007F63AE"/>
    <w:pPr>
      <w:ind w:left="720"/>
      <w:outlineLvl w:val="6"/>
    </w:pPr>
    <w:rPr>
      <w:i/>
    </w:rPr>
  </w:style>
  <w:style w:type="paragraph" w:styleId="Heading8">
    <w:name w:val="heading 8"/>
    <w:basedOn w:val="Normal"/>
    <w:next w:val="Normal"/>
    <w:link w:val="Heading8Char"/>
    <w:qFormat/>
    <w:rsid w:val="007F63AE"/>
    <w:pPr>
      <w:ind w:left="720"/>
      <w:outlineLvl w:val="7"/>
    </w:pPr>
    <w:rPr>
      <w:i/>
    </w:rPr>
  </w:style>
  <w:style w:type="paragraph" w:styleId="Heading9">
    <w:name w:val="heading 9"/>
    <w:basedOn w:val="Normal"/>
    <w:next w:val="Normal"/>
    <w:link w:val="Heading9Char"/>
    <w:qFormat/>
    <w:rsid w:val="007F63AE"/>
    <w:pPr>
      <w:ind w:left="720"/>
      <w:outlineLvl w:val="8"/>
    </w:pPr>
    <w:rPr>
      <w:i/>
    </w:rPr>
  </w:style>
  <w:style w:type="character" w:default="1" w:styleId="DefaultParagraphFont">
    <w:name w:val="Default Paragraph Font"/>
    <w:uiPriority w:val="1"/>
    <w:unhideWhenUsed/>
    <w:rsid w:val="007F63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3AE"/>
  </w:style>
  <w:style w:type="character" w:customStyle="1" w:styleId="Heading1Char">
    <w:name w:val="Heading 1 Char"/>
    <w:basedOn w:val="DefaultParagraphFont"/>
    <w:link w:val="Heading1"/>
    <w:rsid w:val="007F63AE"/>
    <w:rPr>
      <w:rFonts w:ascii="Times New Roman" w:eastAsia="Times New Roman" w:hAnsi="Times New Roman" w:cs="Times New Roman"/>
      <w:b/>
      <w:sz w:val="32"/>
      <w:szCs w:val="20"/>
      <w:lang w:eastAsia="en-US"/>
    </w:rPr>
  </w:style>
  <w:style w:type="paragraph" w:styleId="BodyText">
    <w:name w:val="Body Text"/>
    <w:basedOn w:val="Normal"/>
    <w:link w:val="BodyTextChar"/>
    <w:rsid w:val="007F63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63AE"/>
    <w:rPr>
      <w:rFonts w:ascii="Times New Roman" w:eastAsia="Times New Roman" w:hAnsi="Times New Roman" w:cs="Times New Roman"/>
      <w:sz w:val="24"/>
      <w:lang w:eastAsia="en-US"/>
    </w:rPr>
  </w:style>
  <w:style w:type="paragraph" w:styleId="Footer">
    <w:name w:val="footer"/>
    <w:basedOn w:val="Normal"/>
    <w:link w:val="FooterChar"/>
    <w:rsid w:val="007F63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3AE"/>
    <w:rPr>
      <w:rFonts w:ascii="Times New Roman" w:eastAsia="Times New Roman" w:hAnsi="Times New Roman" w:cs="Times New Roman"/>
      <w:sz w:val="16"/>
      <w:lang w:eastAsia="en-US"/>
    </w:rPr>
  </w:style>
  <w:style w:type="paragraph" w:styleId="ListBullet">
    <w:name w:val="List Bullet"/>
    <w:basedOn w:val="List"/>
    <w:rsid w:val="007F63AE"/>
    <w:pPr>
      <w:numPr>
        <w:numId w:val="13"/>
      </w:numPr>
      <w:tabs>
        <w:tab w:val="clear" w:pos="340"/>
      </w:tabs>
      <w:spacing w:before="40" w:after="40"/>
    </w:pPr>
  </w:style>
  <w:style w:type="character" w:customStyle="1" w:styleId="SpecialBold">
    <w:name w:val="Special Bold"/>
    <w:basedOn w:val="DefaultParagraphFont"/>
    <w:rsid w:val="007F63AE"/>
    <w:rPr>
      <w:b/>
      <w:spacing w:val="0"/>
    </w:rPr>
  </w:style>
  <w:style w:type="paragraph" w:styleId="ListBullet2">
    <w:name w:val="List Bullet 2"/>
    <w:basedOn w:val="List2"/>
    <w:rsid w:val="007F63AE"/>
    <w:pPr>
      <w:numPr>
        <w:numId w:val="14"/>
      </w:numPr>
      <w:tabs>
        <w:tab w:val="clear" w:pos="680"/>
      </w:tabs>
    </w:pPr>
  </w:style>
  <w:style w:type="paragraph" w:customStyle="1" w:styleId="SuperHeading">
    <w:name w:val="SuperHeading"/>
    <w:basedOn w:val="Normal"/>
    <w:rsid w:val="007F63AE"/>
    <w:pPr>
      <w:spacing w:before="240" w:after="120"/>
      <w:outlineLvl w:val="0"/>
    </w:pPr>
    <w:rPr>
      <w:rFonts w:ascii="Times New Roman" w:hAnsi="Times New Roman"/>
      <w:b/>
      <w:sz w:val="28"/>
    </w:rPr>
  </w:style>
  <w:style w:type="paragraph" w:customStyle="1" w:styleId="AllowPageBreak">
    <w:name w:val="AllowPageBreak"/>
    <w:rsid w:val="007F63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63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3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3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3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3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3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63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63AE"/>
    <w:rPr>
      <w:rFonts w:ascii="Courier New" w:eastAsia="Times New Roman" w:hAnsi="Courier New" w:cs="Times New Roman"/>
      <w:i/>
      <w:szCs w:val="20"/>
      <w:lang w:eastAsia="en-US"/>
    </w:rPr>
  </w:style>
  <w:style w:type="paragraph" w:customStyle="1" w:styleId="HeadingBase">
    <w:name w:val="Heading Base"/>
    <w:rsid w:val="007F63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3AE"/>
    <w:pPr>
      <w:tabs>
        <w:tab w:val="right" w:leader="dot" w:pos="9072"/>
      </w:tabs>
      <w:ind w:left="567"/>
    </w:pPr>
    <w:rPr>
      <w:szCs w:val="22"/>
    </w:rPr>
  </w:style>
  <w:style w:type="paragraph" w:customStyle="1" w:styleId="TOCBase">
    <w:name w:val="TOC Base"/>
    <w:rsid w:val="007F63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3AE"/>
    <w:pPr>
      <w:tabs>
        <w:tab w:val="right" w:leader="dot" w:pos="9072"/>
      </w:tabs>
      <w:spacing w:before="40" w:after="40"/>
      <w:ind w:left="284"/>
    </w:pPr>
    <w:rPr>
      <w:rFonts w:ascii="Times New Roman" w:hAnsi="Times New Roman"/>
    </w:rPr>
  </w:style>
  <w:style w:type="paragraph" w:styleId="TOC1">
    <w:name w:val="toc 1"/>
    <w:basedOn w:val="TOCBase"/>
    <w:next w:val="Normal"/>
    <w:rsid w:val="007F63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63AE"/>
    <w:pPr>
      <w:spacing w:before="5040"/>
      <w:jc w:val="center"/>
    </w:pPr>
    <w:rPr>
      <w:sz w:val="48"/>
      <w:szCs w:val="72"/>
      <w:lang w:val="en-US"/>
    </w:rPr>
  </w:style>
  <w:style w:type="character" w:customStyle="1" w:styleId="TitleChar">
    <w:name w:val="Title Char"/>
    <w:basedOn w:val="DefaultParagraphFont"/>
    <w:link w:val="Title"/>
    <w:rsid w:val="007F63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3AE"/>
    <w:pPr>
      <w:tabs>
        <w:tab w:val="left" w:pos="3600"/>
        <w:tab w:val="left" w:pos="3958"/>
      </w:tabs>
    </w:pPr>
  </w:style>
  <w:style w:type="paragraph" w:styleId="List">
    <w:name w:val="List"/>
    <w:basedOn w:val="BodyText"/>
    <w:next w:val="BodyText"/>
    <w:rsid w:val="007F63AE"/>
    <w:pPr>
      <w:tabs>
        <w:tab w:val="left" w:pos="340"/>
      </w:tabs>
      <w:spacing w:before="60" w:after="60"/>
      <w:ind w:left="340" w:hanging="340"/>
    </w:pPr>
  </w:style>
  <w:style w:type="paragraph" w:customStyle="1" w:styleId="Note">
    <w:name w:val="Note"/>
    <w:basedOn w:val="BodyText"/>
    <w:rsid w:val="007F63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3AE"/>
    <w:pPr>
      <w:framePr w:wrap="auto" w:hAnchor="text" w:y="6049"/>
    </w:pPr>
    <w:rPr>
      <w:color w:val="000000"/>
      <w:sz w:val="40"/>
    </w:rPr>
  </w:style>
  <w:style w:type="paragraph" w:customStyle="1" w:styleId="TOCTitle">
    <w:name w:val="TOCTitle"/>
    <w:basedOn w:val="Heading1"/>
    <w:rsid w:val="007F63AE"/>
    <w:pPr>
      <w:spacing w:after="240"/>
      <w:jc w:val="center"/>
      <w:outlineLvl w:val="9"/>
    </w:pPr>
    <w:rPr>
      <w:caps/>
    </w:rPr>
  </w:style>
  <w:style w:type="paragraph" w:customStyle="1" w:styleId="Version">
    <w:name w:val="Version"/>
    <w:rsid w:val="007F63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3AE"/>
    <w:pPr>
      <w:keepNext w:val="0"/>
      <w:tabs>
        <w:tab w:val="right" w:pos="4176"/>
      </w:tabs>
      <w:ind w:left="198" w:hanging="198"/>
    </w:pPr>
    <w:rPr>
      <w:rFonts w:ascii="Garamond" w:hAnsi="Garamond"/>
    </w:rPr>
  </w:style>
  <w:style w:type="paragraph" w:styleId="IndexHeading">
    <w:name w:val="index heading"/>
    <w:basedOn w:val="Normal"/>
    <w:next w:val="Index1"/>
    <w:semiHidden/>
    <w:rsid w:val="007F63AE"/>
    <w:pPr>
      <w:spacing w:before="120" w:after="120"/>
    </w:pPr>
    <w:rPr>
      <w:rFonts w:ascii="Arial" w:hAnsi="Arial"/>
      <w:b/>
      <w:color w:val="918585"/>
      <w:sz w:val="24"/>
    </w:rPr>
  </w:style>
  <w:style w:type="paragraph" w:styleId="Header">
    <w:name w:val="header"/>
    <w:basedOn w:val="Normal"/>
    <w:link w:val="HeaderChar"/>
    <w:rsid w:val="007F63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3AE"/>
    <w:rPr>
      <w:rFonts w:ascii="Times New Roman" w:eastAsia="Times New Roman" w:hAnsi="Times New Roman" w:cs="Times New Roman"/>
      <w:sz w:val="16"/>
      <w:szCs w:val="20"/>
      <w:lang w:val="en-GB" w:eastAsia="en-US"/>
    </w:rPr>
  </w:style>
  <w:style w:type="paragraph" w:customStyle="1" w:styleId="Chapter">
    <w:name w:val="Chapter"/>
    <w:basedOn w:val="Normal"/>
    <w:rsid w:val="007F63AE"/>
    <w:pPr>
      <w:spacing w:before="240"/>
    </w:pPr>
    <w:rPr>
      <w:rFonts w:ascii="Times New Roman" w:hAnsi="Times New Roman"/>
      <w:smallCaps/>
      <w:spacing w:val="80"/>
      <w:sz w:val="28"/>
    </w:rPr>
  </w:style>
  <w:style w:type="paragraph" w:customStyle="1" w:styleId="InChapter">
    <w:name w:val="InChapter"/>
    <w:basedOn w:val="Heading3"/>
    <w:rsid w:val="007F63AE"/>
    <w:pPr>
      <w:spacing w:after="240"/>
      <w:outlineLvl w:val="9"/>
    </w:pPr>
    <w:rPr>
      <w:noProof/>
    </w:rPr>
  </w:style>
  <w:style w:type="paragraph" w:styleId="Index2">
    <w:name w:val="index 2"/>
    <w:basedOn w:val="Normal"/>
    <w:next w:val="Normal"/>
    <w:semiHidden/>
    <w:rsid w:val="007F63AE"/>
    <w:pPr>
      <w:tabs>
        <w:tab w:val="right" w:pos="4176"/>
      </w:tabs>
      <w:ind w:left="568" w:hanging="284"/>
    </w:pPr>
    <w:rPr>
      <w:rFonts w:ascii="Garamond" w:hAnsi="Garamond"/>
    </w:rPr>
  </w:style>
  <w:style w:type="paragraph" w:customStyle="1" w:styleId="Byline">
    <w:name w:val="Byline"/>
    <w:rsid w:val="007F63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3AE"/>
    <w:pPr>
      <w:tabs>
        <w:tab w:val="clear" w:pos="3600"/>
        <w:tab w:val="clear" w:pos="3958"/>
      </w:tabs>
      <w:jc w:val="right"/>
    </w:pPr>
  </w:style>
  <w:style w:type="character" w:styleId="Emphasis">
    <w:name w:val="Emphasis"/>
    <w:basedOn w:val="DefaultParagraphFont"/>
    <w:qFormat/>
    <w:rsid w:val="007F63AE"/>
    <w:rPr>
      <w:i/>
    </w:rPr>
  </w:style>
  <w:style w:type="paragraph" w:styleId="Caption">
    <w:name w:val="caption"/>
    <w:basedOn w:val="BodyText"/>
    <w:next w:val="Normal"/>
    <w:qFormat/>
    <w:rsid w:val="007F63AE"/>
    <w:pPr>
      <w:framePr w:w="2268" w:hSpace="181" w:vSpace="181" w:wrap="around" w:vAnchor="text" w:hAnchor="page" w:x="1135" w:y="285" w:anchorLock="1"/>
    </w:pPr>
    <w:rPr>
      <w:i/>
    </w:rPr>
  </w:style>
  <w:style w:type="paragraph" w:customStyle="1" w:styleId="MiniTOCTitle">
    <w:name w:val="MiniTOCTitle"/>
    <w:basedOn w:val="Heading4"/>
    <w:rsid w:val="007F63AE"/>
    <w:pPr>
      <w:spacing w:before="240"/>
      <w:outlineLvl w:val="9"/>
    </w:pPr>
    <w:rPr>
      <w:noProof/>
      <w:sz w:val="24"/>
    </w:rPr>
  </w:style>
  <w:style w:type="paragraph" w:customStyle="1" w:styleId="MiniTOCItem">
    <w:name w:val="MiniTOCItem"/>
    <w:basedOn w:val="ListBullet"/>
    <w:rsid w:val="007F63AE"/>
    <w:pPr>
      <w:numPr>
        <w:numId w:val="0"/>
      </w:numPr>
      <w:tabs>
        <w:tab w:val="right" w:leader="dot" w:pos="6521"/>
      </w:tabs>
      <w:spacing w:before="0" w:after="0"/>
    </w:pPr>
  </w:style>
  <w:style w:type="paragraph" w:customStyle="1" w:styleId="TOFTitle">
    <w:name w:val="TOFTitle"/>
    <w:basedOn w:val="TOCTitle"/>
    <w:rsid w:val="007F63AE"/>
  </w:style>
  <w:style w:type="paragraph" w:styleId="TableofFigures">
    <w:name w:val="table of figures"/>
    <w:basedOn w:val="Normal"/>
    <w:next w:val="Normal"/>
    <w:semiHidden/>
    <w:rsid w:val="007F63AE"/>
    <w:pPr>
      <w:tabs>
        <w:tab w:val="right" w:leader="dot" w:pos="9072"/>
      </w:tabs>
      <w:ind w:left="970" w:hanging="403"/>
    </w:pPr>
    <w:rPr>
      <w:rFonts w:ascii="Times New Roman" w:hAnsi="Times New Roman"/>
      <w:b/>
    </w:rPr>
  </w:style>
  <w:style w:type="paragraph" w:styleId="ListNumber">
    <w:name w:val="List Number"/>
    <w:basedOn w:val="List"/>
    <w:rsid w:val="007F63AE"/>
    <w:pPr>
      <w:numPr>
        <w:numId w:val="11"/>
      </w:numPr>
    </w:pPr>
  </w:style>
  <w:style w:type="character" w:customStyle="1" w:styleId="WingdingSymbols">
    <w:name w:val="Wingding Symbols"/>
    <w:rsid w:val="007F63AE"/>
    <w:rPr>
      <w:rFonts w:ascii="Wingdings" w:hAnsi="Wingdings"/>
    </w:rPr>
  </w:style>
  <w:style w:type="paragraph" w:customStyle="1" w:styleId="TableHeading">
    <w:name w:val="Table Heading"/>
    <w:basedOn w:val="HeadingBase"/>
    <w:rsid w:val="007F63AE"/>
    <w:pPr>
      <w:keepLines/>
      <w:pBdr>
        <w:bottom w:val="single" w:sz="6" w:space="1" w:color="918585"/>
      </w:pBdr>
      <w:spacing w:before="240"/>
    </w:pPr>
  </w:style>
  <w:style w:type="character" w:customStyle="1" w:styleId="HotSpot">
    <w:name w:val="HotSpot"/>
    <w:rsid w:val="007F63AE"/>
    <w:rPr>
      <w:color w:val="0033CC"/>
      <w:u w:val="none"/>
    </w:rPr>
  </w:style>
  <w:style w:type="paragraph" w:customStyle="1" w:styleId="BodyTextRight">
    <w:name w:val="Body Text Right"/>
    <w:basedOn w:val="BodyText"/>
    <w:rsid w:val="007F63AE"/>
    <w:pPr>
      <w:spacing w:before="0" w:after="0"/>
      <w:jc w:val="right"/>
    </w:pPr>
  </w:style>
  <w:style w:type="paragraph" w:styleId="Index3">
    <w:name w:val="index 3"/>
    <w:basedOn w:val="ListNumber2"/>
    <w:next w:val="Normal"/>
    <w:semiHidden/>
    <w:rsid w:val="007F63AE"/>
    <w:pPr>
      <w:numPr>
        <w:numId w:val="0"/>
      </w:numPr>
      <w:tabs>
        <w:tab w:val="right" w:leader="dot" w:pos="4176"/>
      </w:tabs>
    </w:pPr>
  </w:style>
  <w:style w:type="paragraph" w:styleId="ListNumber2">
    <w:name w:val="List Number 2"/>
    <w:basedOn w:val="List2"/>
    <w:rsid w:val="007F63AE"/>
    <w:pPr>
      <w:numPr>
        <w:numId w:val="10"/>
      </w:numPr>
      <w:tabs>
        <w:tab w:val="clear" w:pos="1060"/>
      </w:tabs>
    </w:pPr>
  </w:style>
  <w:style w:type="paragraph" w:customStyle="1" w:styleId="MarginNote">
    <w:name w:val="Margin Note"/>
    <w:basedOn w:val="BodyText"/>
    <w:rsid w:val="007F63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3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3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63AE"/>
    <w:rPr>
      <w:sz w:val="32"/>
    </w:rPr>
  </w:style>
  <w:style w:type="paragraph" w:customStyle="1" w:styleId="HeadingProcedure">
    <w:name w:val="Heading Procedure"/>
    <w:basedOn w:val="HeadingBase"/>
    <w:next w:val="Normal"/>
    <w:rsid w:val="007F63AE"/>
    <w:pPr>
      <w:tabs>
        <w:tab w:val="left" w:pos="0"/>
      </w:tabs>
      <w:spacing w:before="120" w:after="60"/>
    </w:pPr>
    <w:rPr>
      <w:i/>
      <w:color w:val="918585"/>
      <w:sz w:val="22"/>
    </w:rPr>
  </w:style>
  <w:style w:type="paragraph" w:customStyle="1" w:styleId="TableBodyText">
    <w:name w:val="Table Body Text"/>
    <w:basedOn w:val="BodyText"/>
    <w:rsid w:val="007F63AE"/>
    <w:pPr>
      <w:spacing w:before="60" w:after="60"/>
    </w:pPr>
  </w:style>
  <w:style w:type="paragraph" w:styleId="ListContinue">
    <w:name w:val="List Continue"/>
    <w:basedOn w:val="List"/>
    <w:rsid w:val="007F63AE"/>
    <w:pPr>
      <w:ind w:firstLine="0"/>
    </w:pPr>
  </w:style>
  <w:style w:type="paragraph" w:customStyle="1" w:styleId="ListNote">
    <w:name w:val="List Note"/>
    <w:basedOn w:val="List"/>
    <w:rsid w:val="007F63AE"/>
    <w:pPr>
      <w:pBdr>
        <w:top w:val="single" w:sz="6" w:space="2" w:color="918585"/>
        <w:bottom w:val="single" w:sz="6" w:space="2" w:color="918585"/>
      </w:pBdr>
      <w:tabs>
        <w:tab w:val="left" w:pos="1021"/>
      </w:tabs>
      <w:ind w:firstLine="0"/>
    </w:pPr>
  </w:style>
  <w:style w:type="paragraph" w:customStyle="1" w:styleId="Warning">
    <w:name w:val="Warning"/>
    <w:basedOn w:val="BodyText"/>
    <w:rsid w:val="007F63AE"/>
    <w:pPr>
      <w:shd w:val="clear" w:color="auto" w:fill="D9D9D9"/>
      <w:tabs>
        <w:tab w:val="left" w:pos="992"/>
      </w:tabs>
      <w:ind w:left="119" w:right="119"/>
    </w:pPr>
    <w:rPr>
      <w:sz w:val="20"/>
    </w:rPr>
  </w:style>
  <w:style w:type="paragraph" w:customStyle="1" w:styleId="MarginIcons">
    <w:name w:val="Margin Icons"/>
    <w:basedOn w:val="BodyText"/>
    <w:rsid w:val="007F63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3AE"/>
    <w:rPr>
      <w:rFonts w:ascii="Courier New" w:hAnsi="Courier New"/>
    </w:rPr>
  </w:style>
  <w:style w:type="paragraph" w:customStyle="1" w:styleId="NoteBullet">
    <w:name w:val="Note Bullet"/>
    <w:basedOn w:val="Note"/>
    <w:rsid w:val="007F63AE"/>
    <w:pPr>
      <w:tabs>
        <w:tab w:val="clear" w:pos="680"/>
      </w:tabs>
      <w:spacing w:before="60" w:after="60"/>
    </w:pPr>
  </w:style>
  <w:style w:type="paragraph" w:customStyle="1" w:styleId="SubHeading2">
    <w:name w:val="SubHeading2"/>
    <w:basedOn w:val="HeadingBase"/>
    <w:rsid w:val="007F63AE"/>
    <w:pPr>
      <w:spacing w:before="240" w:after="60"/>
    </w:pPr>
    <w:rPr>
      <w:sz w:val="20"/>
    </w:rPr>
  </w:style>
  <w:style w:type="paragraph" w:customStyle="1" w:styleId="SubHeading1">
    <w:name w:val="SubHeading1"/>
    <w:basedOn w:val="HeadingBase"/>
    <w:rsid w:val="007F63AE"/>
    <w:pPr>
      <w:spacing w:before="240" w:after="60"/>
    </w:pPr>
    <w:rPr>
      <w:color w:val="918585"/>
      <w:sz w:val="22"/>
    </w:rPr>
  </w:style>
  <w:style w:type="paragraph" w:customStyle="1" w:styleId="SideHeading">
    <w:name w:val="Side Heading"/>
    <w:basedOn w:val="HeadingBase"/>
    <w:rsid w:val="007F63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3AE"/>
    <w:pPr>
      <w:numPr>
        <w:numId w:val="12"/>
      </w:numPr>
    </w:pPr>
  </w:style>
  <w:style w:type="paragraph" w:styleId="PlainText">
    <w:name w:val="Plain Text"/>
    <w:basedOn w:val="Normal"/>
    <w:link w:val="PlainTextChar"/>
    <w:rsid w:val="007F63AE"/>
    <w:rPr>
      <w:sz w:val="20"/>
    </w:rPr>
  </w:style>
  <w:style w:type="character" w:customStyle="1" w:styleId="PlainTextChar">
    <w:name w:val="Plain Text Char"/>
    <w:basedOn w:val="DefaultParagraphFont"/>
    <w:link w:val="PlainText"/>
    <w:rsid w:val="007F63AE"/>
    <w:rPr>
      <w:rFonts w:ascii="Courier New" w:eastAsia="Times New Roman" w:hAnsi="Courier New" w:cs="Times New Roman"/>
      <w:sz w:val="20"/>
      <w:szCs w:val="20"/>
      <w:lang w:eastAsia="en-US"/>
    </w:rPr>
  </w:style>
  <w:style w:type="character" w:customStyle="1" w:styleId="MenuOption">
    <w:name w:val="Menu Option"/>
    <w:basedOn w:val="DefaultParagraphFont"/>
    <w:rsid w:val="007F63AE"/>
    <w:rPr>
      <w:b/>
      <w:smallCaps/>
    </w:rPr>
  </w:style>
  <w:style w:type="paragraph" w:customStyle="1" w:styleId="TableListNumber">
    <w:name w:val="Table List Number"/>
    <w:basedOn w:val="ListNumber"/>
    <w:rsid w:val="007F63AE"/>
    <w:pPr>
      <w:numPr>
        <w:numId w:val="0"/>
      </w:numPr>
    </w:pPr>
  </w:style>
  <w:style w:type="paragraph" w:styleId="TOC4">
    <w:name w:val="toc 4"/>
    <w:basedOn w:val="TOCBase"/>
    <w:next w:val="Normal"/>
    <w:semiHidden/>
    <w:rsid w:val="007F63AE"/>
    <w:pPr>
      <w:tabs>
        <w:tab w:val="right" w:leader="dot" w:pos="9071"/>
      </w:tabs>
      <w:ind w:left="1701"/>
    </w:pPr>
  </w:style>
  <w:style w:type="paragraph" w:customStyle="1" w:styleId="ListAlpha">
    <w:name w:val="List Alpha"/>
    <w:basedOn w:val="List"/>
    <w:rsid w:val="007F63AE"/>
    <w:pPr>
      <w:numPr>
        <w:numId w:val="9"/>
      </w:numPr>
    </w:pPr>
  </w:style>
  <w:style w:type="paragraph" w:customStyle="1" w:styleId="ListAlpha2">
    <w:name w:val="List Alpha 2"/>
    <w:basedOn w:val="List2"/>
    <w:rsid w:val="007F63AE"/>
    <w:pPr>
      <w:numPr>
        <w:numId w:val="8"/>
      </w:numPr>
    </w:pPr>
  </w:style>
  <w:style w:type="paragraph" w:styleId="List2">
    <w:name w:val="List 2"/>
    <w:basedOn w:val="BodyText"/>
    <w:rsid w:val="007F63AE"/>
    <w:pPr>
      <w:tabs>
        <w:tab w:val="left" w:pos="680"/>
      </w:tabs>
      <w:spacing w:before="60" w:after="60"/>
      <w:ind w:left="680" w:hanging="340"/>
    </w:pPr>
  </w:style>
  <w:style w:type="paragraph" w:styleId="List3">
    <w:name w:val="List 3"/>
    <w:basedOn w:val="BodyText"/>
    <w:rsid w:val="007F63AE"/>
    <w:pPr>
      <w:tabs>
        <w:tab w:val="left" w:pos="1021"/>
      </w:tabs>
      <w:spacing w:before="60" w:after="60"/>
      <w:ind w:left="1020" w:hanging="340"/>
    </w:pPr>
  </w:style>
  <w:style w:type="paragraph" w:styleId="List4">
    <w:name w:val="List 4"/>
    <w:basedOn w:val="BodyText"/>
    <w:rsid w:val="007F63AE"/>
    <w:pPr>
      <w:tabs>
        <w:tab w:val="left" w:pos="1361"/>
      </w:tabs>
      <w:spacing w:before="60" w:after="60"/>
      <w:ind w:left="1361" w:hanging="340"/>
    </w:pPr>
  </w:style>
  <w:style w:type="paragraph" w:styleId="List5">
    <w:name w:val="List 5"/>
    <w:basedOn w:val="BodyText"/>
    <w:rsid w:val="007F63AE"/>
    <w:pPr>
      <w:tabs>
        <w:tab w:val="left" w:pos="1701"/>
      </w:tabs>
      <w:spacing w:before="60" w:after="60"/>
      <w:ind w:left="1701" w:hanging="340"/>
    </w:pPr>
  </w:style>
  <w:style w:type="paragraph" w:styleId="ListBullet3">
    <w:name w:val="List Bullet 3"/>
    <w:basedOn w:val="List3"/>
    <w:rsid w:val="007F63AE"/>
    <w:pPr>
      <w:numPr>
        <w:numId w:val="15"/>
      </w:numPr>
      <w:tabs>
        <w:tab w:val="clear" w:pos="1021"/>
      </w:tabs>
      <w:ind w:left="1037" w:hanging="357"/>
    </w:pPr>
  </w:style>
  <w:style w:type="paragraph" w:styleId="ListBullet4">
    <w:name w:val="List Bullet 4"/>
    <w:basedOn w:val="List4"/>
    <w:rsid w:val="007F63AE"/>
    <w:pPr>
      <w:numPr>
        <w:numId w:val="3"/>
      </w:numPr>
    </w:pPr>
  </w:style>
  <w:style w:type="paragraph" w:styleId="ListBullet5">
    <w:name w:val="List Bullet 5"/>
    <w:basedOn w:val="List5"/>
    <w:rsid w:val="007F63AE"/>
    <w:pPr>
      <w:numPr>
        <w:numId w:val="4"/>
      </w:numPr>
    </w:pPr>
  </w:style>
  <w:style w:type="paragraph" w:styleId="ListContinue2">
    <w:name w:val="List Continue 2"/>
    <w:basedOn w:val="List2"/>
    <w:rsid w:val="007F63AE"/>
    <w:pPr>
      <w:ind w:firstLine="0"/>
    </w:pPr>
  </w:style>
  <w:style w:type="paragraph" w:styleId="ListContinue3">
    <w:name w:val="List Continue 3"/>
    <w:basedOn w:val="List3"/>
    <w:rsid w:val="007F63AE"/>
    <w:pPr>
      <w:ind w:left="1021" w:firstLine="0"/>
    </w:pPr>
  </w:style>
  <w:style w:type="paragraph" w:styleId="ListContinue4">
    <w:name w:val="List Continue 4"/>
    <w:basedOn w:val="List4"/>
    <w:rsid w:val="007F63AE"/>
    <w:pPr>
      <w:ind w:firstLine="0"/>
    </w:pPr>
  </w:style>
  <w:style w:type="paragraph" w:styleId="ListContinue5">
    <w:name w:val="List Continue 5"/>
    <w:basedOn w:val="List5"/>
    <w:rsid w:val="007F63AE"/>
    <w:pPr>
      <w:ind w:firstLine="0"/>
    </w:pPr>
  </w:style>
  <w:style w:type="paragraph" w:styleId="ListNumber3">
    <w:name w:val="List Number 3"/>
    <w:basedOn w:val="List3"/>
    <w:rsid w:val="007F63AE"/>
    <w:pPr>
      <w:numPr>
        <w:numId w:val="5"/>
      </w:numPr>
    </w:pPr>
  </w:style>
  <w:style w:type="paragraph" w:styleId="ListNumber4">
    <w:name w:val="List Number 4"/>
    <w:basedOn w:val="List4"/>
    <w:rsid w:val="007F63AE"/>
    <w:pPr>
      <w:numPr>
        <w:numId w:val="6"/>
      </w:numPr>
    </w:pPr>
  </w:style>
  <w:style w:type="paragraph" w:styleId="ListNumber5">
    <w:name w:val="List Number 5"/>
    <w:basedOn w:val="List5"/>
    <w:rsid w:val="007F63AE"/>
    <w:pPr>
      <w:numPr>
        <w:numId w:val="7"/>
      </w:numPr>
    </w:pPr>
  </w:style>
  <w:style w:type="paragraph" w:styleId="BlockText">
    <w:name w:val="Block Text"/>
    <w:basedOn w:val="Normal"/>
    <w:rsid w:val="007F63AE"/>
    <w:pPr>
      <w:spacing w:after="120"/>
      <w:ind w:left="1440" w:right="1440"/>
    </w:pPr>
  </w:style>
  <w:style w:type="character" w:customStyle="1" w:styleId="Subscript">
    <w:name w:val="Subscript"/>
    <w:basedOn w:val="DefaultParagraphFont"/>
    <w:rsid w:val="007F63AE"/>
    <w:rPr>
      <w:sz w:val="16"/>
      <w:vertAlign w:val="subscript"/>
    </w:rPr>
  </w:style>
  <w:style w:type="character" w:customStyle="1" w:styleId="Superscript">
    <w:name w:val="Superscript"/>
    <w:basedOn w:val="DefaultParagraphFont"/>
    <w:rsid w:val="007F63AE"/>
    <w:rPr>
      <w:sz w:val="16"/>
      <w:vertAlign w:val="superscript"/>
    </w:rPr>
  </w:style>
  <w:style w:type="character" w:customStyle="1" w:styleId="Symbols">
    <w:name w:val="Symbols"/>
    <w:basedOn w:val="DefaultParagraphFont"/>
    <w:rsid w:val="007F63AE"/>
    <w:rPr>
      <w:rFonts w:ascii="Symbol" w:hAnsi="Symbol"/>
    </w:rPr>
  </w:style>
  <w:style w:type="character" w:customStyle="1" w:styleId="MenuOptions">
    <w:name w:val="Menu Options"/>
    <w:basedOn w:val="DefaultParagraphFont"/>
    <w:rsid w:val="007F63AE"/>
    <w:rPr>
      <w:rFonts w:ascii="Arial Narrow" w:hAnsi="Arial Narrow"/>
      <w:smallCaps/>
    </w:rPr>
  </w:style>
  <w:style w:type="character" w:customStyle="1" w:styleId="Buttons">
    <w:name w:val="Buttons"/>
    <w:basedOn w:val="DefaultParagraphFont"/>
    <w:rsid w:val="007F63AE"/>
    <w:rPr>
      <w:b/>
    </w:rPr>
  </w:style>
  <w:style w:type="character" w:customStyle="1" w:styleId="Underlined">
    <w:name w:val="Underlined"/>
    <w:basedOn w:val="DefaultParagraphFont"/>
    <w:rsid w:val="007F63AE"/>
    <w:rPr>
      <w:u w:val="single"/>
    </w:rPr>
  </w:style>
  <w:style w:type="paragraph" w:customStyle="1" w:styleId="TableBodyTextRight">
    <w:name w:val="Table Body Text Right"/>
    <w:basedOn w:val="TableBodyText"/>
    <w:rsid w:val="007F63AE"/>
    <w:pPr>
      <w:widowControl w:val="0"/>
      <w:autoSpaceDE w:val="0"/>
      <w:autoSpaceDN w:val="0"/>
      <w:adjustRightInd w:val="0"/>
      <w:jc w:val="right"/>
    </w:pPr>
    <w:rPr>
      <w:rFonts w:cs="Arial"/>
      <w:szCs w:val="18"/>
    </w:rPr>
  </w:style>
  <w:style w:type="paragraph" w:customStyle="1" w:styleId="CopyrightText">
    <w:name w:val="Copyright Text"/>
    <w:basedOn w:val="BodyText"/>
    <w:rsid w:val="007F63AE"/>
    <w:rPr>
      <w:sz w:val="18"/>
    </w:rPr>
  </w:style>
  <w:style w:type="paragraph" w:customStyle="1" w:styleId="BodySmallRight">
    <w:name w:val="Body Small Right"/>
    <w:basedOn w:val="BodyTextRight"/>
    <w:rsid w:val="007F63AE"/>
    <w:rPr>
      <w:sz w:val="18"/>
      <w:szCs w:val="18"/>
    </w:rPr>
  </w:style>
  <w:style w:type="paragraph" w:customStyle="1" w:styleId="MarginEdition">
    <w:name w:val="Margin Edition"/>
    <w:basedOn w:val="MarginNote"/>
    <w:rsid w:val="007F63AE"/>
    <w:pPr>
      <w:spacing w:before="0" w:after="0"/>
    </w:pPr>
    <w:rPr>
      <w:rFonts w:ascii="Times New Roman" w:hAnsi="Times New Roman"/>
      <w:color w:val="999999"/>
    </w:rPr>
  </w:style>
  <w:style w:type="paragraph" w:customStyle="1" w:styleId="Spacer">
    <w:name w:val="Spacer"/>
    <w:basedOn w:val="Normal"/>
    <w:rsid w:val="007F63AE"/>
    <w:rPr>
      <w:sz w:val="2"/>
      <w:szCs w:val="2"/>
    </w:rPr>
  </w:style>
  <w:style w:type="character" w:customStyle="1" w:styleId="Small">
    <w:name w:val="Small"/>
    <w:basedOn w:val="DefaultParagraphFont"/>
    <w:rsid w:val="007F63AE"/>
    <w:rPr>
      <w:sz w:val="16"/>
    </w:rPr>
  </w:style>
  <w:style w:type="paragraph" w:customStyle="1" w:styleId="WideTable">
    <w:name w:val="Wide Table"/>
    <w:basedOn w:val="Normal"/>
    <w:rsid w:val="007F63AE"/>
    <w:pPr>
      <w:ind w:left="-1418"/>
    </w:pPr>
    <w:rPr>
      <w:sz w:val="2"/>
      <w:szCs w:val="2"/>
    </w:rPr>
  </w:style>
  <w:style w:type="character" w:styleId="PageNumber">
    <w:name w:val="page number"/>
    <w:basedOn w:val="DefaultParagraphFont"/>
    <w:rsid w:val="007F63AE"/>
  </w:style>
  <w:style w:type="paragraph" w:styleId="Quote">
    <w:name w:val="Quote"/>
    <w:basedOn w:val="Heading1"/>
    <w:link w:val="QuoteChar"/>
    <w:qFormat/>
    <w:rsid w:val="007F63AE"/>
    <w:rPr>
      <w:b w:val="0"/>
      <w:sz w:val="72"/>
      <w:szCs w:val="72"/>
      <w:lang w:val="en-NZ"/>
    </w:rPr>
  </w:style>
  <w:style w:type="character" w:customStyle="1" w:styleId="QuoteChar">
    <w:name w:val="Quote Char"/>
    <w:basedOn w:val="DefaultParagraphFont"/>
    <w:link w:val="Quote"/>
    <w:rsid w:val="007F63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3AE"/>
    <w:pPr>
      <w:pageBreakBefore/>
    </w:pPr>
  </w:style>
  <w:style w:type="paragraph" w:customStyle="1" w:styleId="Border">
    <w:name w:val="Border"/>
    <w:basedOn w:val="Normal"/>
    <w:qFormat/>
    <w:rsid w:val="007F63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3AE"/>
    <w:rPr>
      <w:b/>
      <w:bCs/>
      <w:i/>
      <w:iCs/>
      <w:color w:val="auto"/>
    </w:rPr>
  </w:style>
  <w:style w:type="paragraph" w:styleId="IntenseQuote">
    <w:name w:val="Intense Quote"/>
    <w:basedOn w:val="Normal"/>
    <w:next w:val="Normal"/>
    <w:link w:val="IntenseQuoteChar"/>
    <w:uiPriority w:val="30"/>
    <w:qFormat/>
    <w:rsid w:val="007F63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3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63AE"/>
    <w:rPr>
      <w:smallCaps/>
      <w:color w:val="auto"/>
      <w:u w:val="single"/>
    </w:rPr>
  </w:style>
  <w:style w:type="character" w:styleId="IntenseReference">
    <w:name w:val="Intense Reference"/>
    <w:basedOn w:val="DefaultParagraphFont"/>
    <w:uiPriority w:val="32"/>
    <w:qFormat/>
    <w:rsid w:val="007F63AE"/>
    <w:rPr>
      <w:b/>
      <w:bCs/>
      <w:smallCaps/>
      <w:color w:val="auto"/>
      <w:spacing w:val="5"/>
      <w:u w:val="single"/>
    </w:rPr>
  </w:style>
  <w:style w:type="paragraph" w:customStyle="1" w:styleId="2ColumnHeading">
    <w:name w:val="2Column Heading"/>
    <w:basedOn w:val="BodyText"/>
    <w:qFormat/>
    <w:rsid w:val="007F63AE"/>
    <w:pPr>
      <w:spacing w:after="60"/>
      <w:ind w:left="-2268"/>
    </w:pPr>
    <w:rPr>
      <w:b/>
    </w:rPr>
  </w:style>
  <w:style w:type="paragraph" w:customStyle="1" w:styleId="Heading1TOC">
    <w:name w:val="Heading1 TOC"/>
    <w:basedOn w:val="Normal"/>
    <w:qFormat/>
    <w:rsid w:val="007F63AE"/>
    <w:pPr>
      <w:spacing w:before="240" w:after="120"/>
    </w:pPr>
    <w:rPr>
      <w:rFonts w:ascii="Times New Roman" w:hAnsi="Times New Roman"/>
      <w:b/>
      <w:sz w:val="32"/>
    </w:rPr>
  </w:style>
  <w:style w:type="paragraph" w:customStyle="1" w:styleId="Heading2TOC">
    <w:name w:val="Heading2 TOC"/>
    <w:basedOn w:val="Normal"/>
    <w:qFormat/>
    <w:rsid w:val="007F63AE"/>
    <w:pPr>
      <w:spacing w:before="240" w:after="60"/>
    </w:pPr>
    <w:rPr>
      <w:rFonts w:ascii="Times New Roman" w:hAnsi="Times New Roman"/>
      <w:b/>
      <w:sz w:val="28"/>
    </w:rPr>
  </w:style>
  <w:style w:type="character" w:customStyle="1" w:styleId="Underline">
    <w:name w:val="Underline"/>
    <w:basedOn w:val="DefaultParagraphFont"/>
    <w:qFormat/>
    <w:rsid w:val="007F63AE"/>
    <w:rPr>
      <w:u w:val="single"/>
    </w:rPr>
  </w:style>
  <w:style w:type="character" w:customStyle="1" w:styleId="BoldandItalics">
    <w:name w:val="Bold and Italics"/>
    <w:qFormat/>
    <w:rsid w:val="007F63AE"/>
    <w:rPr>
      <w:b/>
      <w:i/>
      <w:u w:val="none"/>
    </w:rPr>
  </w:style>
  <w:style w:type="paragraph" w:styleId="BalloonText">
    <w:name w:val="Balloon Text"/>
    <w:basedOn w:val="Normal"/>
    <w:link w:val="BalloonTextChar"/>
    <w:rsid w:val="007F63AE"/>
    <w:rPr>
      <w:rFonts w:ascii="Tahoma" w:hAnsi="Tahoma" w:cs="Tahoma"/>
      <w:sz w:val="16"/>
      <w:szCs w:val="16"/>
    </w:rPr>
  </w:style>
  <w:style w:type="character" w:customStyle="1" w:styleId="BalloonTextChar">
    <w:name w:val="Balloon Text Char"/>
    <w:basedOn w:val="DefaultParagraphFont"/>
    <w:link w:val="BalloonText"/>
    <w:rsid w:val="007F63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63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63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63AE"/>
    <w:rPr>
      <w:b/>
      <w:color w:val="660033"/>
      <w:spacing w:val="0"/>
    </w:rPr>
  </w:style>
  <w:style w:type="paragraph" w:customStyle="1" w:styleId="Nameditemlist">
    <w:name w:val="Named item list"/>
    <w:basedOn w:val="BodyText"/>
    <w:qFormat/>
    <w:rsid w:val="007F63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2239</Words>
  <Characters>14079</Characters>
  <Application>Microsoft Office Word</Application>
  <DocSecurity>0</DocSecurity>
  <Lines>599</Lines>
  <Paragraphs>248</Paragraphs>
  <ScaleCrop>false</ScaleCrop>
  <Company>Author-it Software Corporation Ltd.</Company>
  <LinksUpToDate>false</LinksUpToDate>
  <CharactersWithSpaces>16138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UETTDRDS09B Prepare and manage detailed construction plans for electrical system infrastructure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2012-10-11T22:33:00Z</dcterms:created>
  <dcterms:modified xsi:type="dcterms:W3CDTF">2012-10-11T22:33:00Z</dcterms:modified>
</cp:coreProperties>
</file>