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0E8" w:rsidP="006930E8">
      <w:pPr>
        <w:pStyle w:val="Title"/>
      </w:pPr>
      <w:bookmarkStart w:id="0" w:name="_GoBack"/>
      <w:bookmarkEnd w:id="0"/>
      <w:r>
        <w:fldChar w:fldCharType="begin"/>
      </w:r>
      <w:r>
        <w:instrText xml:space="preserve"> TITLE   \* MERGEFORMAT </w:instrText>
      </w:r>
      <w:r>
        <w:fldChar w:fldCharType="separate"/>
      </w:r>
      <w:r>
        <w:t>UETTDRDP05B Inspect, maintain and restore energised LV overhead distribution network infrastructure</w:t>
      </w:r>
      <w:r>
        <w:fldChar w:fldCharType="end"/>
      </w:r>
    </w:p>
    <w:p w:rsidR="006930E8" w:rsidP="006930E8">
      <w:pPr>
        <w:pStyle w:val="Version"/>
        <w:sectPr w:rsidSect="00FA6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EBB" w:rsidP="00FA6EBB">
      <w:pPr>
        <w:pStyle w:val="SuperHeading"/>
      </w:pPr>
      <w:r w:rsidRPr="00FA6EBB">
        <w:t>UETTDRDP05B Inspect, maintain and restore energised LV overhead distribution network infrastructure</w:t>
      </w:r>
    </w:p>
    <w:p w:rsidR="00000000" w:rsidRPr="00FA6EBB" w:rsidP="00FA6EBB">
      <w:pPr>
        <w:pStyle w:val="Heading1"/>
      </w:pPr>
      <w:bookmarkStart w:id="1" w:name="O_275429"/>
      <w:bookmarkEnd w:id="1"/>
      <w:r w:rsidRPr="00FA6EBB">
        <w:t>Modification History</w:t>
      </w:r>
    </w:p>
    <w:p w:rsidR="00000000" w:rsidRPr="00FA6EBB" w:rsidP="00FA6EBB">
      <w:pPr>
        <w:pStyle w:val="BodyText"/>
      </w:pPr>
      <w:r w:rsidRPr="00FA6EBB">
        <w:t>Not Applicable</w:t>
      </w:r>
    </w:p>
    <w:p w:rsidR="00000000" w:rsidRPr="00FA6EBB" w:rsidP="00FA6EBB">
      <w:pPr>
        <w:pStyle w:val="AllowPageBreak"/>
      </w:pPr>
    </w:p>
    <w:p w:rsidR="00000000" w:rsidRPr="00FA6EBB" w:rsidP="00FA6EBB">
      <w:pPr>
        <w:pStyle w:val="Heading1"/>
      </w:pPr>
      <w:bookmarkStart w:id="2" w:name="O_231151"/>
      <w:bookmarkEnd w:id="2"/>
      <w:r w:rsidRPr="00FA6EBB">
        <w:t>Unit Descriptor</w:t>
      </w:r>
    </w:p>
    <w:tbl>
      <w:tblPr>
        <w:tblW w:w="0" w:type="auto"/>
        <w:tblLayout w:type="fixed"/>
        <w:tblCellMar>
          <w:left w:w="62" w:type="dxa"/>
          <w:right w:w="62" w:type="dxa"/>
        </w:tblCellMar>
        <w:tblLook w:val="0000"/>
      </w:tblPr>
      <w:tblGrid>
        <w:gridCol w:w="2752"/>
        <w:gridCol w:w="5888"/>
      </w:tblGrid>
      <w:tr w:rsidTr="006930E8">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1</w:t>
            </w:r>
            <w:r w:rsidRPr="00FA6EBB">
              <w:t xml:space="preserve">) </w:t>
            </w:r>
          </w:p>
          <w:p w:rsidR="00000000" w:rsidP="00FA6EBB">
            <w:pPr>
              <w:pStyle w:val="BodyText"/>
              <w:rPr>
                <w:lang w:val="en-NZ"/>
              </w:rPr>
            </w:pPr>
            <w:r w:rsidRPr="00FA6EBB">
              <w:rPr>
                <w:rStyle w:val="SpecialBold"/>
              </w:rPr>
              <w:t>1</w:t>
            </w:r>
            <w:r w:rsidRPr="00FA6EBB">
              <w:t>.</w:t>
            </w:r>
            <w:r w:rsidRPr="00FA6EBB">
              <w:rPr>
                <w:rStyle w:val="SpecialBold"/>
              </w:rPr>
              <w:t>1</w:t>
            </w:r>
            <w:r w:rsidRPr="00FA6EBB">
              <w:t xml:space="preserve">) </w:t>
            </w:r>
            <w:r w:rsidRPr="00FA6EBB">
              <w:rPr>
                <w:rStyle w:val="SpecialBold"/>
              </w:rPr>
              <w:t>Descriptor</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This Competency Standard Unit covers the inspection of overhead structures such as poles and/or other structures other than towers and the maintenance of overhead energised low voltage conductors and cables. It includes the conducting of low voltage switch</w:t>
            </w:r>
            <w:r w:rsidRPr="00FA6EBB">
              <w:t>ing operations involving the operation of circuit breaking and isolation devices from a given switching schedule and in accordance with enterprise procedures. It covers low voltage distribution systems in field situations but also includes paralleling in a</w:t>
            </w:r>
            <w:r w:rsidRPr="00FA6EBB">
              <w:t>ccordance with the switching schedule. It also includes inspection of electrical apparatus such as, overhead conductors and or cables, underground and overhead transition points, electrical equipment, such as pole-mounted transformers, switchgear, hardware</w:t>
            </w:r>
            <w:r w:rsidRPr="00FA6EBB">
              <w:t xml:space="preserve"> and or earthing systems. It encompasses the completion of inspection reports and other relevant documentation in accordance with requirements.</w:t>
            </w:r>
          </w:p>
        </w:tc>
      </w:tr>
    </w:tbl>
    <w:p w:rsidR="006930E8" w:rsidP="00FA6EBB">
      <w:pPr>
        <w:pStyle w:val="BodyText"/>
      </w:pPr>
    </w:p>
    <w:p w:rsidR="006930E8" w:rsidP="00FA6EBB">
      <w:pPr>
        <w:pStyle w:val="BodyText"/>
      </w:pPr>
    </w:p>
    <w:p w:rsidR="00000000" w:rsidRPr="00FA6EBB" w:rsidP="00FA6EBB">
      <w:pPr>
        <w:pStyle w:val="Heading1"/>
      </w:pPr>
      <w:bookmarkStart w:id="3" w:name="O_231156"/>
      <w:bookmarkEnd w:id="3"/>
      <w:r w:rsidRPr="00FA6EBB">
        <w:t>Application of the Unit</w:t>
      </w:r>
    </w:p>
    <w:tbl>
      <w:tblPr>
        <w:tblW w:w="0" w:type="auto"/>
        <w:tblLayout w:type="fixed"/>
        <w:tblCellMar>
          <w:left w:w="62" w:type="dxa"/>
          <w:right w:w="62" w:type="dxa"/>
        </w:tblCellMar>
        <w:tblLook w:val="0000"/>
      </w:tblPr>
      <w:tblGrid>
        <w:gridCol w:w="2752"/>
        <w:gridCol w:w="5888"/>
      </w:tblGrid>
      <w:tr w:rsidTr="006930E8">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Application of the Unit</w:t>
            </w:r>
          </w:p>
        </w:tc>
        <w:tc>
          <w:tcPr>
            <w:tcW w:w="5888"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4</w:t>
            </w:r>
            <w:r w:rsidRPr="00FA6EBB">
              <w:t>)</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This Competency Standard Unit is intend</w:t>
            </w:r>
            <w:r w:rsidRPr="00FA6EBB">
              <w:t>ed to augment formally acquired competencies. It is suitable for employment-based programs under an approved contract of training.</w:t>
            </w:r>
          </w:p>
        </w:tc>
      </w:tr>
    </w:tbl>
    <w:p w:rsidR="006930E8" w:rsidP="00FA6EBB">
      <w:pPr>
        <w:pStyle w:val="BodyText"/>
      </w:pPr>
    </w:p>
    <w:p w:rsidR="006930E8" w:rsidP="00FA6EBB">
      <w:pPr>
        <w:pStyle w:val="BodyText"/>
      </w:pPr>
    </w:p>
    <w:p w:rsidR="00000000" w:rsidRPr="00FA6EBB" w:rsidP="00FA6EBB">
      <w:pPr>
        <w:pStyle w:val="Heading1"/>
      </w:pPr>
      <w:bookmarkStart w:id="4" w:name="O_231152"/>
      <w:bookmarkEnd w:id="4"/>
      <w:r w:rsidRPr="00FA6EBB">
        <w:t>Licensing/Regulatory Information</w:t>
      </w:r>
    </w:p>
    <w:tbl>
      <w:tblPr>
        <w:tblW w:w="0" w:type="auto"/>
        <w:tblLayout w:type="fixed"/>
        <w:tblCellMar>
          <w:left w:w="62" w:type="dxa"/>
          <w:right w:w="62" w:type="dxa"/>
        </w:tblCellMar>
        <w:tblLook w:val="0000"/>
      </w:tblPr>
      <w:tblGrid>
        <w:gridCol w:w="8640"/>
      </w:tblGrid>
      <w:tr w:rsidTr="006930E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1</w:t>
            </w:r>
            <w:r w:rsidRPr="00FA6EBB">
              <w:t>.</w:t>
            </w:r>
            <w:r w:rsidRPr="00FA6EBB">
              <w:rPr>
                <w:rStyle w:val="SpecialBold"/>
              </w:rPr>
              <w:t>2</w:t>
            </w:r>
            <w:r w:rsidRPr="00FA6EBB">
              <w:t xml:space="preserve">) </w:t>
            </w:r>
            <w:r w:rsidRPr="00FA6EBB">
              <w:rPr>
                <w:rStyle w:val="SpecialBold"/>
              </w:rPr>
              <w:t>License to practice</w:t>
            </w:r>
          </w:p>
        </w:tc>
      </w:tr>
      <w:tr w:rsidTr="006930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The skills and knowledge described in this unit requires a licence/registration to practice in the work place subject to regulations for undertaking of electrical work. Practice in workplace and during training is also subject to regulations directly relat</w:t>
            </w:r>
            <w:r w:rsidRPr="00FA6EBB">
              <w:t>ed to Occupational Health and Safety, electricity/telecommunications/gas/water industry safety and compliance, industrial relations, environmental protection, anti discrimination and training. Commonwealth, State/Territory or Local Government legislation a</w:t>
            </w:r>
            <w:r w:rsidRPr="00FA6EBB">
              <w:t>nd regulations may exist that limits the age of operating certain equipment.</w:t>
            </w:r>
          </w:p>
        </w:tc>
      </w:tr>
    </w:tbl>
    <w:p w:rsidR="006930E8" w:rsidP="00FA6EBB">
      <w:pPr>
        <w:pStyle w:val="BodyText"/>
      </w:pPr>
    </w:p>
    <w:p w:rsidR="006930E8" w:rsidP="00FA6EBB">
      <w:pPr>
        <w:pStyle w:val="BodyText"/>
      </w:pPr>
    </w:p>
    <w:p w:rsidR="00000000" w:rsidRPr="00FA6EBB" w:rsidP="00FA6EBB">
      <w:pPr>
        <w:pStyle w:val="Heading1"/>
      </w:pPr>
      <w:bookmarkStart w:id="5" w:name="O_231153"/>
      <w:bookmarkEnd w:id="5"/>
      <w:r w:rsidRPr="00FA6EBB">
        <w:t>Pre-Requisites</w:t>
      </w:r>
    </w:p>
    <w:tbl>
      <w:tblPr>
        <w:tblW w:w="0" w:type="auto"/>
        <w:tblLayout w:type="fixed"/>
        <w:tblCellMar>
          <w:left w:w="62" w:type="dxa"/>
          <w:right w:w="62" w:type="dxa"/>
        </w:tblCellMar>
        <w:tblLook w:val="0000"/>
      </w:tblPr>
      <w:tblGrid>
        <w:gridCol w:w="2752"/>
        <w:gridCol w:w="735"/>
        <w:gridCol w:w="2022"/>
        <w:gridCol w:w="3131"/>
      </w:tblGrid>
      <w:tr w:rsidTr="006930E8">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Prerequisite Unit</w:t>
            </w:r>
            <w:r w:rsidRPr="00FA6EBB">
              <w:t>(</w:t>
            </w:r>
            <w:r w:rsidRPr="00FA6EBB">
              <w:rPr>
                <w:rStyle w:val="SpecialBold"/>
              </w:rPr>
              <w:t>s</w:t>
            </w:r>
            <w:r w:rsidRPr="00FA6EBB">
              <w:t>)</w:t>
            </w:r>
          </w:p>
        </w:tc>
        <w:tc>
          <w:tcPr>
            <w:tcW w:w="5888" w:type="dxa"/>
            <w:gridSpan w:val="3"/>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2</w:t>
            </w:r>
            <w:r w:rsidRPr="00FA6EBB">
              <w:t xml:space="preserve">) </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RPr="00FA6EBB">
            <w:pPr>
              <w:pStyle w:val="BodyText"/>
              <w:keepNext w:val="0"/>
              <w:keepLines w:val="0"/>
              <w:contextualSpacing w:val="0"/>
            </w:pPr>
          </w:p>
        </w:tc>
        <w:tc>
          <w:tcPr>
            <w:tcW w:w="5888" w:type="dxa"/>
            <w:gridSpan w:val="3"/>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2</w:t>
            </w:r>
            <w:r w:rsidRPr="00FA6EBB">
              <w:t>.</w:t>
            </w:r>
            <w:r w:rsidRPr="00FA6EBB">
              <w:rPr>
                <w:rStyle w:val="SpecialBold"/>
              </w:rPr>
              <w:t>1</w:t>
            </w:r>
            <w:r w:rsidRPr="00FA6EBB">
              <w:t xml:space="preserve">) </w:t>
            </w:r>
            <w:r w:rsidRPr="00FA6EBB">
              <w:rPr>
                <w:rStyle w:val="SpecialBold"/>
              </w:rPr>
              <w:t>Competencies</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Entry into this unit requires a current 'Unrestricted Electrician's Licence' or equivalent issued in an Australian State or Territory or satisfaction of the ERAC requirements for the issue of an unrestricted electrician's licence . Granting of competency i</w:t>
            </w:r>
            <w:r w:rsidRPr="00FA6EBB">
              <w:t>n this unit shall be made only after competency in the following unit(s) has/have been confirmed:</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UETTDRIS06B</w:t>
            </w:r>
          </w:p>
        </w:tc>
        <w:tc>
          <w:tcPr>
            <w:tcW w:w="3131"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Install and maintain network infrastructure electrical equipment</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UETTDRIS27B</w:t>
            </w:r>
          </w:p>
        </w:tc>
        <w:tc>
          <w:tcPr>
            <w:tcW w:w="3131"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 xml:space="preserve">Install and maintain overhead distribution network infrastructure </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For the full prerequisite chain details for this unit please refer to Table 3 in Volume 1, Part 2</w:t>
            </w:r>
          </w:p>
        </w:tc>
      </w:tr>
    </w:tbl>
    <w:p w:rsidR="006930E8" w:rsidP="00FA6EBB">
      <w:pPr>
        <w:pStyle w:val="BodyText"/>
      </w:pPr>
    </w:p>
    <w:p w:rsidR="006930E8" w:rsidP="00FA6EBB">
      <w:pPr>
        <w:pStyle w:val="BodyText"/>
      </w:pPr>
    </w:p>
    <w:p w:rsidR="00000000" w:rsidRPr="00FA6EBB" w:rsidP="00FA6EBB">
      <w:pPr>
        <w:pStyle w:val="Heading1"/>
      </w:pPr>
      <w:bookmarkStart w:id="6" w:name="O_231155"/>
      <w:bookmarkEnd w:id="6"/>
      <w:r w:rsidRPr="00FA6EBB">
        <w:t>Employability Skills Information</w:t>
      </w:r>
    </w:p>
    <w:tbl>
      <w:tblPr>
        <w:tblW w:w="0" w:type="auto"/>
        <w:tblLayout w:type="fixed"/>
        <w:tblCellMar>
          <w:left w:w="62" w:type="dxa"/>
          <w:right w:w="62" w:type="dxa"/>
        </w:tblCellMar>
        <w:tblLook w:val="0000"/>
      </w:tblPr>
      <w:tblGrid>
        <w:gridCol w:w="2752"/>
        <w:gridCol w:w="5888"/>
      </w:tblGrid>
      <w:tr w:rsidTr="006930E8">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Employability Skills</w:t>
            </w: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3</w:t>
            </w:r>
            <w:r w:rsidRPr="00FA6EBB">
              <w:t>)</w:t>
            </w:r>
          </w:p>
          <w:p w:rsidR="00000000" w:rsidRPr="00FA6EBB" w:rsidP="00FA6EBB">
            <w:pPr>
              <w:pStyle w:val="BodyText"/>
            </w:pPr>
            <w:r w:rsidRPr="00FA6EB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A6EBB">
              <w:t>requirements.</w:t>
            </w:r>
          </w:p>
        </w:tc>
      </w:tr>
    </w:tbl>
    <w:p w:rsidR="006930E8" w:rsidP="00FA6EBB">
      <w:pPr>
        <w:pStyle w:val="BodyText"/>
      </w:pPr>
    </w:p>
    <w:p w:rsidR="006930E8" w:rsidP="00FA6EBB">
      <w:pPr>
        <w:pStyle w:val="BodyText"/>
      </w:pPr>
    </w:p>
    <w:p w:rsidR="00000000" w:rsidRPr="00FA6EBB" w:rsidP="00FA6EBB">
      <w:pPr>
        <w:pStyle w:val="Heading1"/>
      </w:pPr>
      <w:bookmarkStart w:id="7" w:name="O_293475"/>
      <w:bookmarkEnd w:id="7"/>
      <w:r w:rsidRPr="00FA6EBB">
        <w:t>Elements and Performance Criteria Pre-Content</w:t>
      </w:r>
    </w:p>
    <w:tbl>
      <w:tblPr>
        <w:tblW w:w="0" w:type="auto"/>
        <w:tblLayout w:type="fixed"/>
        <w:tblCellMar>
          <w:left w:w="62" w:type="dxa"/>
          <w:right w:w="62" w:type="dxa"/>
        </w:tblCellMar>
        <w:tblLook w:val="0000"/>
      </w:tblPr>
      <w:tblGrid>
        <w:gridCol w:w="2752"/>
        <w:gridCol w:w="5888"/>
      </w:tblGrid>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6</w:t>
            </w:r>
            <w:r w:rsidRPr="00FA6EBB">
              <w:t>) Elements describe the essential outcomes of a unit of competency</w:t>
            </w: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Performance criteria describe the required performance needed to demonstrate achievement of the element. Ass</w:t>
            </w:r>
            <w:r w:rsidRPr="00FA6EBB">
              <w:t>essment of performance is to be consistent with the evidence guide.</w:t>
            </w:r>
          </w:p>
        </w:tc>
      </w:tr>
    </w:tbl>
    <w:p w:rsidR="00000000" w:rsidRPr="00FA6EBB" w:rsidP="00FA6EBB">
      <w:pPr>
        <w:pStyle w:val="BodyText"/>
      </w:pPr>
    </w:p>
    <w:p w:rsidR="00000000" w:rsidRPr="00FA6EBB" w:rsidP="00FA6EBB">
      <w:pPr>
        <w:pStyle w:val="AllowPageBreak"/>
      </w:pPr>
    </w:p>
    <w:p w:rsidR="00000000" w:rsidRPr="00FA6EBB" w:rsidP="00FA6EBB">
      <w:pPr>
        <w:pStyle w:val="Heading1"/>
      </w:pPr>
      <w:bookmarkStart w:id="8" w:name="O_240143"/>
      <w:bookmarkEnd w:id="8"/>
      <w:r w:rsidRPr="00FA6EBB">
        <w:t>Elements and Performance Criteria</w:t>
      </w:r>
    </w:p>
    <w:tbl>
      <w:tblPr>
        <w:tblW w:w="0" w:type="auto"/>
        <w:tblLayout w:type="fixed"/>
        <w:tblCellMar>
          <w:left w:w="62" w:type="dxa"/>
          <w:right w:w="62" w:type="dxa"/>
        </w:tblCellMar>
        <w:tblLook w:val="0000"/>
      </w:tblPr>
      <w:tblGrid>
        <w:gridCol w:w="409"/>
        <w:gridCol w:w="2343"/>
        <w:gridCol w:w="919"/>
        <w:gridCol w:w="4969"/>
      </w:tblGrid>
      <w:tr w:rsidTr="006930E8">
        <w:tblPrEx>
          <w:tblW w:w="0" w:type="auto"/>
          <w:tblLayout w:type="fixed"/>
          <w:tblCellMar>
            <w:left w:w="62" w:type="dxa"/>
            <w:right w:w="62" w:type="dxa"/>
          </w:tblCellMar>
          <w:tblLook w:val="0000"/>
        </w:tblPrEx>
        <w:trPr>
          <w:tblHeader/>
        </w:trPr>
        <w:tc>
          <w:tcPr>
            <w:tcW w:w="2752" w:type="dxa"/>
            <w:gridSpan w:val="2"/>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ELEMENT</w:t>
            </w:r>
          </w:p>
        </w:tc>
        <w:tc>
          <w:tcPr>
            <w:tcW w:w="5888" w:type="dxa"/>
            <w:gridSpan w:val="2"/>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PERFORMANCE CRITERIA</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w:t>
            </w:r>
          </w:p>
        </w:tc>
        <w:tc>
          <w:tcPr>
            <w:tcW w:w="2343" w:type="dxa"/>
            <w:vMerge w:val="restart"/>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Prepare for the inspection, maintenance and restoration of overhead distribution network infrastructure</w:t>
            </w: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1.1</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Works schedule(s), including drawings, plans, requirements, established procedures, and material lists, are received, analysed and confirmed, if nec</w:t>
            </w:r>
            <w:r w:rsidRPr="00FA6EBB">
              <w:t>essary, by site inspection.</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1.2</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Relevant requirements and established procedures for the work are communicated to all personnel and identified for all work sites.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1.3</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 xml:space="preserve">OHS policies and procedures related to requirements and established procedures </w:t>
            </w:r>
            <w:r w:rsidRPr="00FA6EBB">
              <w:t>for the, inspection of overhead structures and electrical apparatus used on poles and/or structures, the maintenance of overhead energised LV conductors and cables and LV switching, are obtained and confirmed for the purposes of the work to be performed an</w:t>
            </w:r>
            <w:r w:rsidRPr="00FA6EBB">
              <w:t>d communicated.</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1.4</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Physical loads and calculations are confirmed according to requirements, using essential knowledge and appropriate skill.</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1.5</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Work is prioritised and sequenced following consultation with others for completion within acceptable ti</w:t>
            </w:r>
            <w:r w:rsidRPr="00FA6EBB">
              <w:t>meframes and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1.6</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Hazards are identified, OHS risks assessed and control measures are prioritised, implemented and monitored including emergency exits kept clear according to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1.7</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Relevant work permits are obtained to access and perform work according to requirements and/or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1.8</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 xml:space="preserve">Resources including personnel, equipment, tools and personal protective equipment required for the job are obtained and confirmed </w:t>
            </w:r>
            <w:r w:rsidRPr="00FA6EBB">
              <w:t>in working order.</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1.9</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Specialist equipment for live working is inspected and confined in working order as per requirements and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1.10</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Relevant personnel at worksite are confirmed current</w:t>
            </w:r>
            <w:r w:rsidRPr="00FA6EBB">
              <w:t xml:space="preserve"> in First Aid, Pole Top Rescue and other related work procedures according to requirements.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1.11</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Liaison and communication issues with other/authorised personnel, authorities, clients and land owners are resolved to carry out work where necessary.</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w:t>
            </w:r>
            <w:r w:rsidRPr="00FA6EBB">
              <w:t>12</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Site is prepared according to the work schedule and to minimise risk and damage to property, commerce, and individuals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1.13</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Personnel participating in the work, including plant operators and contractors, are</w:t>
            </w:r>
            <w:r w:rsidRPr="00FA6EBB">
              <w:t xml:space="preserve"> fully briefed and respective responsibilities confirmed where applicable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1.14</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Traffic management plan is identified and implemented.</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w:t>
            </w:r>
          </w:p>
        </w:tc>
        <w:tc>
          <w:tcPr>
            <w:tcW w:w="2343" w:type="dxa"/>
            <w:vMerge w:val="restart"/>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Carry out inspection, maintenance and restoration of overhead distribution network infrastructure</w:t>
            </w: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2.1</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OHS, sustainable energy and environmental principles and practices to reduce the incidents of accidents and minimise waste are monitored and followed in a</w:t>
            </w:r>
            <w:r w:rsidRPr="00FA6EBB">
              <w:t>ccordance with requirements and/or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2.2</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Lifting, climbing, working in confined spaces and aloft, and use of power tools/equipment, techniques and practices are safely followed and, currency according to requirements confirmed.</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2.3</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Essential knowledge and associated skills are applied in the safe maintenance and restoration of overhead distribution network infrastructure to ensure completion in an agreed timeframe and, to quality standards with a minimum of waste according to req</w:t>
            </w:r>
            <w:r w:rsidRPr="00FA6EBB">
              <w:t>uirements.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2.4</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Inspection of overhead structures and electrical apparatus used on poles and/or structures is carried out, in accordance with the work schedule and requirements/established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2.5</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Maintenance, including repair and/or replaceme</w:t>
            </w:r>
            <w:r w:rsidRPr="00FA6EBB">
              <w:t>nt of poles and/or structures is carried out, in accordance with the work schedule and requirements/established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2.6</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Communications with Switching Control Officer are established and mainta</w:t>
            </w:r>
            <w:r w:rsidRPr="00FA6EBB">
              <w:t>ined throughout the isolation operation according to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2.7</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Electrical equipment and associated circuits line/network or work site to be switched including paralleling is isolated and proved de-energised using appropriate devices an</w:t>
            </w:r>
            <w:r w:rsidRPr="00FA6EBB">
              <w:t>d earthed where required according to requirements and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2.8</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Hazard warnings and safety signs are recognised and hazards and assessed OHS risks are reported to the immediate authorised persons for directions according to establishe</w:t>
            </w:r>
            <w:r w:rsidRPr="00FA6EBB">
              <w:t>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2.9</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Unplanned events during the inspection, maintenance or switching procedures are undertaken within the scope of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2.10</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Known solutions to a variety of problems are applied using acquired essential knowledge and associated skills.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2.11</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On going checks of quality of the work are undertaken in accordance with instructions and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w:t>
            </w:r>
          </w:p>
        </w:tc>
        <w:tc>
          <w:tcPr>
            <w:tcW w:w="2343" w:type="dxa"/>
            <w:vMerge w:val="restart"/>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Complete the inspect</w:t>
            </w:r>
            <w:r w:rsidRPr="00FA6EBB">
              <w:t>ion, maintenance and restoration of overhead distribution network infrastructure</w:t>
            </w: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3.1</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Work undertaken is checked against works schedule for conformance with requirements and anomalies reported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3.2</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Accidents and/or injuries are reported in accordance with requirements/established procedures, where applicable.</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3.3</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Work site is rehabilitated, cleaned up and made safe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3.4</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 xml:space="preserve">Tools, equipment and any surplus </w:t>
            </w:r>
            <w:r w:rsidRPr="00FA6EBB">
              <w:t>resources and materials are, where appropriate, cleaned, checked and returned to storage or disposed of in accordance with established procedures.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3.5</w:t>
            </w:r>
          </w:p>
        </w:tc>
        <w:tc>
          <w:tcPr>
            <w:tcW w:w="496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Relevant work permit(s) are signed off and, overhead structures and electrical apparatus used on poles and/or structures are returned to service in accordance with requirements.</w:t>
            </w:r>
          </w:p>
        </w:tc>
      </w:tr>
      <w:tr w:rsidTr="006930E8">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3.6</w:t>
            </w:r>
          </w:p>
        </w:tc>
        <w:tc>
          <w:tcPr>
            <w:tcW w:w="4969"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Works completion records, reports, as installed /modified drawing and/o</w:t>
            </w:r>
            <w:r w:rsidRPr="00FA6EBB">
              <w:t>r documentation and information are finalised and processed and appropriate personnel notified.</w:t>
            </w:r>
          </w:p>
        </w:tc>
      </w:tr>
    </w:tbl>
    <w:p w:rsidR="006930E8" w:rsidP="00FA6EBB">
      <w:pPr>
        <w:pStyle w:val="BodyText"/>
      </w:pPr>
    </w:p>
    <w:p w:rsidR="006930E8" w:rsidP="00FA6EBB">
      <w:pPr>
        <w:pStyle w:val="BodyText"/>
      </w:pPr>
    </w:p>
    <w:p w:rsidR="00000000" w:rsidRPr="00FA6EBB" w:rsidP="00FA6EBB">
      <w:pPr>
        <w:pStyle w:val="Heading1"/>
      </w:pPr>
      <w:bookmarkStart w:id="9" w:name="O_263934"/>
      <w:bookmarkEnd w:id="9"/>
      <w:r w:rsidRPr="00FA6EBB">
        <w:t>Required Skills and Knowledge</w:t>
      </w:r>
    </w:p>
    <w:tbl>
      <w:tblPr>
        <w:tblW w:w="0" w:type="auto"/>
        <w:tblLayout w:type="fixed"/>
        <w:tblCellMar>
          <w:left w:w="62" w:type="dxa"/>
          <w:right w:w="62" w:type="dxa"/>
        </w:tblCellMar>
        <w:tblLook w:val="0000"/>
      </w:tblPr>
      <w:tblGrid>
        <w:gridCol w:w="2752"/>
        <w:gridCol w:w="1103"/>
        <w:gridCol w:w="4785"/>
      </w:tblGrid>
      <w:tr w:rsidTr="006930E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REQUIRED SKILLS AND KNOWLEDGE</w:t>
            </w:r>
          </w:p>
        </w:tc>
      </w:tr>
      <w:tr w:rsidTr="006930E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7</w:t>
            </w:r>
            <w:r w:rsidRPr="00FA6EBB">
              <w:t xml:space="preserve">) </w:t>
            </w:r>
            <w:r w:rsidRPr="00FA6EBB">
              <w:rPr>
                <w:rStyle w:val="SpecialBold"/>
              </w:rPr>
              <w:t>Essential Knowledge and Associated Skills</w:t>
            </w:r>
            <w:r w:rsidRPr="00FA6EBB">
              <w:t xml:space="preserve"> (</w:t>
            </w:r>
            <w:r w:rsidRPr="00FA6EBB">
              <w:rPr>
                <w:rStyle w:val="SpecialBold"/>
              </w:rPr>
              <w:t>EKAS</w:t>
            </w:r>
            <w:r w:rsidRPr="00FA6EBB">
              <w:t>): This describes the essential skills and knowledge and their level, required for this unit.</w:t>
            </w:r>
          </w:p>
        </w:tc>
      </w:tr>
      <w:tr w:rsidTr="006930E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Evidence shall show that knowledge has been acquired of inspecting, maintenance and restoration of overhead distribution network infrastructure.</w:t>
            </w:r>
          </w:p>
          <w:p w:rsidR="00000000" w:rsidRPr="00FA6EBB" w:rsidP="00FA6EBB">
            <w:pPr>
              <w:pStyle w:val="BodyText"/>
            </w:pPr>
            <w:r w:rsidRPr="00FA6EBB">
              <w:t xml:space="preserve">All knowledge </w:t>
            </w:r>
            <w:r w:rsidRPr="00FA6EBB">
              <w:t>and skills detailed in this unit should be contextualised to current industry practices and technologies.</w:t>
            </w:r>
          </w:p>
          <w:p w:rsidR="00000000" w:rsidP="00FA6EBB">
            <w:pPr>
              <w:pStyle w:val="BodyText"/>
              <w:rPr>
                <w:lang w:val="en-NZ"/>
              </w:rPr>
            </w:pPr>
            <w:r w:rsidRPr="00FA6EBB">
              <w:t>The extent of the essential knowledge and associated skills (EKAS) required is given in Volume 2 - Part 2.2 EKAS. It forms an integral part of this un</w:t>
            </w:r>
            <w:r w:rsidRPr="00FA6EBB">
              <w:t>it.</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T2.2.8</w:t>
            </w:r>
          </w:p>
        </w:tc>
        <w:tc>
          <w:tcPr>
            <w:tcW w:w="4785"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Poles and structures inspection principles</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T2.2.9</w:t>
            </w:r>
          </w:p>
        </w:tc>
        <w:tc>
          <w:tcPr>
            <w:tcW w:w="4785"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Powerline inspection principles</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T2.2.13</w:t>
            </w:r>
          </w:p>
        </w:tc>
        <w:tc>
          <w:tcPr>
            <w:tcW w:w="4785"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Low voltage - energised working practices for substations</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T2.3.1</w:t>
            </w:r>
          </w:p>
        </w:tc>
        <w:tc>
          <w:tcPr>
            <w:tcW w:w="4785"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Powerline safety practices</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T2.4.1</w:t>
            </w:r>
          </w:p>
        </w:tc>
        <w:tc>
          <w:tcPr>
            <w:tcW w:w="4785"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Switching installation</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T2.4.2</w:t>
            </w:r>
          </w:p>
        </w:tc>
        <w:tc>
          <w:tcPr>
            <w:tcW w:w="4785"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Low voltage switching principles</w:t>
            </w:r>
          </w:p>
        </w:tc>
      </w:tr>
    </w:tbl>
    <w:p w:rsidR="006930E8" w:rsidP="00FA6EBB">
      <w:pPr>
        <w:pStyle w:val="BodyText"/>
      </w:pPr>
    </w:p>
    <w:p w:rsidR="006930E8" w:rsidP="00FA6EBB">
      <w:pPr>
        <w:pStyle w:val="BodyText"/>
      </w:pPr>
    </w:p>
    <w:p w:rsidR="00000000" w:rsidRPr="00FA6EBB" w:rsidP="00FA6EBB">
      <w:pPr>
        <w:pStyle w:val="Heading1"/>
      </w:pPr>
      <w:bookmarkStart w:id="10" w:name="O_248126"/>
      <w:bookmarkEnd w:id="10"/>
      <w:r w:rsidRPr="00FA6EBB">
        <w:t>Evidence Guide</w:t>
      </w:r>
    </w:p>
    <w:tbl>
      <w:tblPr>
        <w:tblW w:w="0" w:type="auto"/>
        <w:tblLayout w:type="fixed"/>
        <w:tblCellMar>
          <w:left w:w="62" w:type="dxa"/>
          <w:right w:w="62" w:type="dxa"/>
        </w:tblCellMar>
        <w:tblLook w:val="0000"/>
      </w:tblPr>
      <w:tblGrid>
        <w:gridCol w:w="2204"/>
        <w:gridCol w:w="735"/>
        <w:gridCol w:w="971"/>
        <w:gridCol w:w="1592"/>
        <w:gridCol w:w="3138"/>
      </w:tblGrid>
      <w:tr w:rsidTr="006930E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EVIDENCE GUIDE</w:t>
            </w:r>
          </w:p>
        </w:tc>
      </w:tr>
      <w:tr w:rsidTr="006930E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9</w:t>
            </w:r>
            <w:r w:rsidRPr="00FA6EBB">
              <w:t xml:space="preserve">) This provides essential advice for assessment of the unit of competency and must be read in conjunction </w:t>
            </w:r>
            <w:r w:rsidRPr="00FA6EBB">
              <w:t>with the performance criteria and the range statement of the unit of competency and the Training Package Assessment Guidelines.</w:t>
            </w:r>
          </w:p>
          <w:p w:rsidR="00000000" w:rsidP="00FA6EBB">
            <w:pPr>
              <w:pStyle w:val="BodyText"/>
              <w:rPr>
                <w:lang w:val="en-NZ"/>
              </w:rPr>
            </w:pPr>
            <w:r w:rsidRPr="00FA6EBB">
              <w:t>The Evidence Guide forms an integral part of this Competency Standard Unit and shall be used in conjunction with all component p</w:t>
            </w:r>
            <w:r w:rsidRPr="00FA6EBB">
              <w:t>arts of this unit and, performed in accordance with the Assessment Guidelines of this Training Package.</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Overview of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9</w:t>
            </w:r>
            <w:r w:rsidRPr="00FA6EBB">
              <w:t>.</w:t>
            </w:r>
            <w:r w:rsidRPr="00FA6EBB">
              <w:rPr>
                <w:rStyle w:val="SpecialBold"/>
              </w:rPr>
              <w:t>1</w:t>
            </w:r>
            <w:r w:rsidRPr="00FA6EBB">
              <w:t xml:space="preserve">) </w:t>
            </w:r>
          </w:p>
          <w:p w:rsidR="00000000" w:rsidRPr="00FA6EBB" w:rsidP="00FA6EBB">
            <w:pPr>
              <w:pStyle w:val="BodyText"/>
            </w:pPr>
            <w:r w:rsidRPr="00FA6EBB">
              <w:t>Longitudinal co</w:t>
            </w:r>
            <w:r w:rsidRPr="00FA6EBB">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FA6EBB">
              <w:t>It is the Industry's preferred model for apprenticeships. However, where summative (or final) assessment is used it is to include the application of the competency in the normal work environment or, at a minimum, the application of the competency in a real</w:t>
            </w:r>
            <w:r w:rsidRPr="00FA6EBB">
              <w:t>istically simulated work environment. It is recognised that, in some circumstances, assessment in part or full can occur outside the workplace. However, it must be in accord with Industry and, Regulatory policy in this regard.</w:t>
            </w:r>
          </w:p>
          <w:p w:rsidR="00000000" w:rsidRPr="00FA6EBB" w:rsidP="00FA6EBB">
            <w:pPr>
              <w:pStyle w:val="BodyText"/>
            </w:pPr>
            <w:r w:rsidRPr="00FA6EBB">
              <w:t>Methods chosen for a particul</w:t>
            </w:r>
            <w:r w:rsidRPr="00FA6EBB">
              <w:t>ar assessment will be influenced by various factors. These include the extent of the assessment, the most effective locations for the assessment activities to take place, access to physical resources, additional safety measures that may be required and the</w:t>
            </w:r>
            <w:r w:rsidRPr="00FA6EBB">
              <w:t xml:space="preserve"> critical nature of the competencies being assessed.</w:t>
            </w:r>
          </w:p>
          <w:p w:rsidR="00000000" w:rsidRPr="00FA6EBB" w:rsidP="00FA6EBB">
            <w:pPr>
              <w:pStyle w:val="BodyText"/>
            </w:pPr>
            <w:r w:rsidRPr="00FA6EBB">
              <w:t xml:space="preserve">The critical safety nature of working with electricity, electrical equipment, gas or any other hazardous substance/material carries risk in deeming a person competent. Hence, sources of evidence need to </w:t>
            </w:r>
            <w:r w:rsidRPr="00FA6EBB">
              <w:t>be 'rich' in nature so as to minimise error in judgment.</w:t>
            </w:r>
          </w:p>
          <w:p w:rsidR="00000000" w:rsidP="00FA6EBB">
            <w:pPr>
              <w:pStyle w:val="BodyText"/>
              <w:rPr>
                <w:lang w:val="en-NZ"/>
              </w:rPr>
            </w:pPr>
            <w:r w:rsidRPr="00FA6EBB">
              <w:t>Activities associated with normal every day work have a bearing on the decision as to how much and how detailed the data gathered will contribute to its 'richness'. Some skills are more critical to s</w:t>
            </w:r>
            <w:r w:rsidRPr="00FA6EBB">
              <w:t>afety and operational requirements while the same skills may be more or less frequently practiced. These points are raised for the assessors to consider when choosing an assessment method and developing assessment instruments. Sample assessment instruments</w:t>
            </w:r>
            <w:r w:rsidRPr="00FA6EBB">
              <w:t xml:space="preserve"> are included for Assessors in the Assessment Guidelines of this Training Package.</w:t>
            </w:r>
          </w:p>
        </w:tc>
      </w:tr>
      <w:tr w:rsidTr="006930E8">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Critical aspects of evidence required to demonstrate competency in this unit</w:t>
            </w: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9</w:t>
            </w:r>
            <w:r w:rsidRPr="00FA6EBB">
              <w:t>.</w:t>
            </w:r>
            <w:r w:rsidRPr="00FA6EBB">
              <w:rPr>
                <w:rStyle w:val="SpecialBold"/>
              </w:rPr>
              <w:t>2</w:t>
            </w:r>
            <w:r w:rsidRPr="00FA6EBB">
              <w:t xml:space="preserve">) </w:t>
            </w:r>
          </w:p>
          <w:p w:rsidR="00000000" w:rsidP="00FA6EBB">
            <w:pPr>
              <w:pStyle w:val="BodyText"/>
              <w:rPr>
                <w:lang w:val="en-NZ"/>
              </w:rPr>
            </w:pPr>
            <w:r w:rsidRPr="00FA6EBB">
              <w:t>Before the critical aspects of evidence are considered all prerequisites shall be met.</w:t>
            </w:r>
          </w:p>
        </w:tc>
      </w:tr>
      <w:tr w:rsidTr="006930E8">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 xml:space="preserve">Evidence for competence in this unit shall be considered holistically. Each element and associated performance criteria shall be demonstrated </w:t>
            </w:r>
            <w:r w:rsidRPr="00FA6EBB">
              <w:t>on at least two occasions in accordance with the "Assessment Guidelines - UET09". Evidence shall also comprise:</w:t>
            </w:r>
          </w:p>
          <w:p w:rsidR="00000000" w:rsidP="00FA6EBB">
            <w:pPr>
              <w:pStyle w:val="ListBullet"/>
              <w:rPr>
                <w:lang w:val="en-NZ"/>
              </w:rPr>
            </w:pPr>
            <w:r w:rsidRPr="00FA6EBB">
              <w:t>A representative body of performance criteria demonstrated within the timeframes typically expected of the discipline, work function and industr</w:t>
            </w:r>
            <w:r w:rsidRPr="00FA6EBB">
              <w:t>ial environment. In particular this shall incorporate evidence that shows a candidate is able to:</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ListBullet2"/>
            </w:pPr>
            <w:r w:rsidRPr="00FA6EBB">
              <w:t>Implement Occupational Health and Safety workplace procedures and practices including the use of risk control measures as specified in the performance c</w:t>
            </w:r>
            <w:r w:rsidRPr="00FA6EBB">
              <w:t>riteria and range; and</w:t>
            </w:r>
          </w:p>
          <w:p w:rsidR="00000000" w:rsidRPr="00FA6EBB" w:rsidP="00FA6EBB">
            <w:pPr>
              <w:pStyle w:val="ListBullet2"/>
            </w:pPr>
            <w:r w:rsidRPr="00FA6EBB">
              <w:t>Apply sustainable energy principles and practices as specified in the performance criteria and range; and</w:t>
            </w:r>
          </w:p>
          <w:p w:rsidR="00000000" w:rsidRPr="00FA6EBB" w:rsidP="00FA6EBB">
            <w:pPr>
              <w:pStyle w:val="ListBullet2"/>
            </w:pPr>
            <w:r w:rsidRPr="00FA6EBB">
              <w:t>Demonstrate an understanding of the essential knowledge and ass</w:t>
            </w:r>
            <w:r w:rsidRPr="00FA6EBB">
              <w:t>ociated skills as described in this unit to such an extent that the learner's performance outcome is reported in accordance with the preferred approach; namely a percentile graded result, where required by the regulated environment; and</w:t>
            </w:r>
          </w:p>
          <w:p w:rsidR="00000000" w:rsidRPr="00FA6EBB" w:rsidP="00FA6EBB">
            <w:pPr>
              <w:pStyle w:val="ListBullet2"/>
            </w:pPr>
            <w:r w:rsidRPr="00FA6EBB">
              <w:t>Demonstrate an appr</w:t>
            </w:r>
            <w:r w:rsidRPr="00FA6EBB">
              <w:t>opriate level of employability skills; and</w:t>
            </w:r>
          </w:p>
          <w:p w:rsidR="00000000" w:rsidP="00FA6EBB">
            <w:pPr>
              <w:pStyle w:val="ListBullet2"/>
              <w:rPr>
                <w:lang w:val="en-NZ"/>
              </w:rPr>
            </w:pPr>
            <w:r w:rsidRPr="00FA6EBB">
              <w:t>Conduct work observing the relevant Anti Discrimination legislation, regulations, policies and workplace procedures; and</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6EBB">
            <w:pPr>
              <w:pStyle w:val="ListBullet"/>
              <w:rPr>
                <w:lang w:val="en-NZ"/>
              </w:rPr>
            </w:pPr>
            <w:r w:rsidRPr="00FA6EBB">
              <w:t xml:space="preserve">Demonstrated performance across a representative range of contexts from the prescribed </w:t>
            </w:r>
            <w:r w:rsidRPr="00FA6EBB">
              <w:t>items below:</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A6EBB">
            <w:pPr>
              <w:pStyle w:val="BodyText"/>
              <w:keepNext w:val="0"/>
              <w:keepLines w:val="0"/>
              <w:contextualSpacing w:val="0"/>
            </w:pPr>
          </w:p>
        </w:tc>
        <w:tc>
          <w:tcPr>
            <w:tcW w:w="570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rPr>
                <w:rStyle w:val="SpecialBold"/>
              </w:rPr>
              <w:t>Range of tools</w:t>
            </w:r>
            <w:r w:rsidRPr="00FA6EBB">
              <w:t>/</w:t>
            </w:r>
            <w:r w:rsidRPr="00FA6EBB">
              <w:rPr>
                <w:rStyle w:val="SpecialBold"/>
              </w:rPr>
              <w:t>equipment</w:t>
            </w:r>
            <w:r w:rsidRPr="00FA6EBB">
              <w:t>/</w:t>
            </w:r>
            <w:r w:rsidRPr="00FA6EBB">
              <w:rPr>
                <w:rStyle w:val="SpecialBold"/>
              </w:rPr>
              <w:t>materials</w:t>
            </w:r>
            <w:r w:rsidRPr="00FA6EBB">
              <w:t>/</w:t>
            </w:r>
            <w:r w:rsidRPr="00FA6EBB">
              <w:rPr>
                <w:rStyle w:val="SpecialBold"/>
              </w:rPr>
              <w:t>procedures</w:t>
            </w:r>
            <w:r w:rsidRPr="00FA6EBB">
              <w:t>/</w:t>
            </w:r>
            <w:r w:rsidRPr="00FA6EBB">
              <w:rPr>
                <w:rStyle w:val="SpecialBold"/>
              </w:rPr>
              <w:t>workplaces</w:t>
            </w:r>
            <w:r w:rsidRPr="00FA6EBB">
              <w:t>/</w:t>
            </w:r>
            <w:r w:rsidRPr="00FA6EBB">
              <w:rPr>
                <w:rStyle w:val="SpecialBold"/>
              </w:rPr>
              <w:t>other variables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A6EBB">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rPr>
                <w:rStyle w:val="SpecialBold"/>
              </w:rPr>
              <w:t>Item List</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Inspect any three of the following overhead structures and electrical apparatus:</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Poles and structures</w:t>
            </w:r>
          </w:p>
          <w:p w:rsidR="00000000" w:rsidRPr="00FA6EBB" w:rsidP="00FA6EBB">
            <w:pPr>
              <w:pStyle w:val="BodyText"/>
            </w:pPr>
            <w:r w:rsidRPr="00FA6EBB">
              <w:t>Overhead conductors/cables</w:t>
            </w:r>
          </w:p>
          <w:p w:rsidR="00000000" w:rsidRPr="00FA6EBB" w:rsidP="00FA6EBB">
            <w:pPr>
              <w:pStyle w:val="BodyText"/>
            </w:pPr>
            <w:r w:rsidRPr="00FA6EBB">
              <w:t>Underground/overhead transition points</w:t>
            </w:r>
          </w:p>
          <w:p w:rsidR="00000000" w:rsidRPr="00FA6EBB" w:rsidP="00FA6EBB">
            <w:pPr>
              <w:pStyle w:val="BodyText"/>
            </w:pPr>
            <w:r w:rsidRPr="00FA6EBB">
              <w:t>Electrical equipment</w:t>
            </w:r>
          </w:p>
          <w:p w:rsidR="00000000" w:rsidRPr="00FA6EBB" w:rsidP="00FA6EBB">
            <w:pPr>
              <w:pStyle w:val="BodyText"/>
            </w:pPr>
            <w:r w:rsidRPr="00FA6EBB">
              <w:t>Hardware</w:t>
            </w:r>
          </w:p>
          <w:p w:rsidR="00000000" w:rsidP="00FA6EBB">
            <w:pPr>
              <w:pStyle w:val="BodyText"/>
              <w:rPr>
                <w:lang w:val="en-NZ"/>
              </w:rPr>
            </w:pPr>
            <w:r w:rsidRPr="00FA6EBB">
              <w:t>Earthing systems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"A" incorporate 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Ground</w:t>
            </w:r>
          </w:p>
          <w:p w:rsidR="00000000" w:rsidRPr="00FA6EBB" w:rsidP="00FA6EBB">
            <w:pPr>
              <w:pStyle w:val="BodyText"/>
            </w:pPr>
            <w:r w:rsidRPr="00FA6EBB">
              <w:t>Vehicle</w:t>
            </w:r>
          </w:p>
          <w:p w:rsidR="00000000" w:rsidRPr="00FA6EBB" w:rsidP="00FA6EBB">
            <w:pPr>
              <w:pStyle w:val="BodyText"/>
            </w:pPr>
            <w:r w:rsidRPr="00FA6EBB">
              <w:t>Helicopter</w:t>
            </w:r>
          </w:p>
          <w:p w:rsidR="00000000" w:rsidP="00FA6EBB">
            <w:pPr>
              <w:pStyle w:val="BodyText"/>
              <w:rPr>
                <w:lang w:val="en-NZ"/>
              </w:rPr>
            </w:pPr>
            <w:r w:rsidRPr="00FA6EBB">
              <w:t>Fixed wing</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"A" incorporate 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Visual*</w:t>
            </w:r>
          </w:p>
          <w:p w:rsidR="00000000" w:rsidRPr="00FA6EBB" w:rsidP="00FA6EBB">
            <w:pPr>
              <w:pStyle w:val="BodyText"/>
            </w:pPr>
            <w:r w:rsidRPr="00FA6EBB">
              <w:t>Infra-red camera</w:t>
            </w:r>
          </w:p>
          <w:p w:rsidR="00000000" w:rsidRPr="00FA6EBB" w:rsidP="00FA6EBB">
            <w:pPr>
              <w:pStyle w:val="BodyText"/>
            </w:pPr>
            <w:r w:rsidRPr="00FA6EBB">
              <w:t>X-ray</w:t>
            </w:r>
          </w:p>
          <w:p w:rsidR="00000000" w:rsidRPr="00FA6EBB" w:rsidP="00FA6EBB">
            <w:pPr>
              <w:pStyle w:val="BodyText"/>
            </w:pPr>
            <w:r w:rsidRPr="00FA6EBB">
              <w:t xml:space="preserve">Camera </w:t>
            </w:r>
          </w:p>
          <w:p w:rsidR="00000000" w:rsidP="00FA6EBB">
            <w:pPr>
              <w:pStyle w:val="BodyText"/>
              <w:rPr>
                <w:lang w:val="en-NZ"/>
              </w:rPr>
            </w:pPr>
            <w:r w:rsidRPr="00FA6EBB">
              <w:t>(*must Do)</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Maintain at least two of the following overhead energised LV conductors and cables:</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Copper</w:t>
            </w:r>
          </w:p>
          <w:p w:rsidR="00000000" w:rsidRPr="00FA6EBB" w:rsidP="00FA6EBB">
            <w:pPr>
              <w:pStyle w:val="BodyText"/>
            </w:pPr>
            <w:r w:rsidRPr="00FA6EBB">
              <w:t>Aluminium</w:t>
            </w:r>
          </w:p>
          <w:p w:rsidR="00000000" w:rsidRPr="00FA6EBB" w:rsidP="00FA6EBB">
            <w:pPr>
              <w:pStyle w:val="BodyText"/>
            </w:pPr>
            <w:r w:rsidRPr="00FA6EBB">
              <w:t>Aluminium steel</w:t>
            </w:r>
          </w:p>
          <w:p w:rsidR="00000000" w:rsidRPr="00FA6EBB" w:rsidP="00FA6EBB">
            <w:pPr>
              <w:pStyle w:val="BodyText"/>
            </w:pPr>
            <w:r w:rsidRPr="00FA6EBB">
              <w:t>Steel</w:t>
            </w:r>
          </w:p>
          <w:p w:rsidR="00000000" w:rsidP="00FA6EBB">
            <w:pPr>
              <w:pStyle w:val="BodyText"/>
              <w:rPr>
                <w:lang w:val="en-NZ"/>
              </w:rPr>
            </w:pPr>
            <w:r w:rsidRPr="00FA6EBB">
              <w:t>Pilot</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E</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"D" incorporate 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EWP</w:t>
            </w:r>
          </w:p>
          <w:p w:rsidR="00000000" w:rsidRPr="00FA6EBB" w:rsidP="00FA6EBB">
            <w:pPr>
              <w:pStyle w:val="BodyText"/>
            </w:pPr>
            <w:r w:rsidRPr="00FA6EBB">
              <w:t>Ladder</w:t>
            </w:r>
          </w:p>
          <w:p w:rsidR="00000000" w:rsidP="00FA6EBB">
            <w:pPr>
              <w:pStyle w:val="BodyText"/>
              <w:rPr>
                <w:lang w:val="en-NZ"/>
              </w:rPr>
            </w:pPr>
            <w:r w:rsidRPr="00FA6EBB">
              <w:t>Portable platform</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F</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"D" incorporate all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Insulating mats/sleeves</w:t>
            </w:r>
          </w:p>
          <w:p w:rsidR="00000000" w:rsidRPr="00FA6EBB" w:rsidP="00FA6EBB">
            <w:pPr>
              <w:pStyle w:val="BodyText"/>
            </w:pPr>
            <w:r w:rsidRPr="00FA6EBB">
              <w:t>Temporary bridging device</w:t>
            </w:r>
          </w:p>
          <w:p w:rsidR="00000000" w:rsidRPr="00FA6EBB" w:rsidP="00FA6EBB">
            <w:pPr>
              <w:pStyle w:val="BodyText"/>
            </w:pPr>
            <w:r w:rsidRPr="00FA6EBB">
              <w:t>Insulating gloves</w:t>
            </w:r>
          </w:p>
          <w:p w:rsidR="00000000" w:rsidRPr="00FA6EBB" w:rsidP="00FA6EBB">
            <w:pPr>
              <w:pStyle w:val="BodyText"/>
            </w:pPr>
            <w:r w:rsidRPr="00FA6EBB">
              <w:t>Insulated cable tensioning devices</w:t>
            </w:r>
          </w:p>
          <w:p w:rsidR="00000000" w:rsidRPr="00FA6EBB" w:rsidP="00FA6EBB">
            <w:pPr>
              <w:pStyle w:val="BodyText"/>
            </w:pPr>
            <w:r w:rsidRPr="00FA6EBB">
              <w:t>Ladder/pole shrouds</w:t>
            </w:r>
          </w:p>
          <w:p w:rsidR="00000000" w:rsidP="00FA6EBB">
            <w:pPr>
              <w:pStyle w:val="BodyText"/>
              <w:rPr>
                <w:lang w:val="en-NZ"/>
              </w:rPr>
            </w:pPr>
            <w:r w:rsidRPr="00FA6EBB">
              <w:t>Equipotential bonding</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G</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"D" incorporate at least three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Voltage detector*</w:t>
            </w:r>
          </w:p>
          <w:p w:rsidR="00000000" w:rsidRPr="00FA6EBB" w:rsidP="00FA6EBB">
            <w:pPr>
              <w:pStyle w:val="BodyText"/>
            </w:pPr>
            <w:r w:rsidRPr="00FA6EBB">
              <w:t>Clamp-on ammeter</w:t>
            </w:r>
          </w:p>
          <w:p w:rsidR="00000000" w:rsidRPr="00FA6EBB" w:rsidP="00FA6EBB">
            <w:pPr>
              <w:pStyle w:val="BodyText"/>
            </w:pPr>
            <w:r w:rsidRPr="00FA6EBB">
              <w:t>Polarity tester</w:t>
            </w:r>
          </w:p>
          <w:p w:rsidR="00000000" w:rsidRPr="00FA6EBB" w:rsidP="00FA6EBB">
            <w:pPr>
              <w:pStyle w:val="BodyText"/>
            </w:pPr>
            <w:r w:rsidRPr="00FA6EBB">
              <w:t>Insulation resistance tester</w:t>
            </w:r>
          </w:p>
          <w:p w:rsidR="00000000" w:rsidRPr="00FA6EBB" w:rsidP="00FA6EBB">
            <w:pPr>
              <w:pStyle w:val="BodyText"/>
            </w:pPr>
            <w:r w:rsidRPr="00FA6EBB">
              <w:t>Phase sequence indicator</w:t>
            </w:r>
          </w:p>
          <w:p w:rsidR="00000000" w:rsidRPr="00FA6EBB" w:rsidP="00FA6EBB">
            <w:pPr>
              <w:pStyle w:val="BodyText"/>
            </w:pPr>
            <w:r w:rsidRPr="00FA6EBB">
              <w:t>Recording meters</w:t>
            </w:r>
          </w:p>
          <w:p w:rsidR="00000000" w:rsidP="00FA6EBB">
            <w:pPr>
              <w:pStyle w:val="BodyText"/>
              <w:rPr>
                <w:lang w:val="en-NZ"/>
              </w:rPr>
            </w:pPr>
            <w:r w:rsidRPr="00FA6EBB">
              <w:t>(*must do)</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H</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Perform LV switching to a given schedule and incorpor</w:t>
            </w:r>
            <w:r w:rsidRPr="00FA6EBB">
              <w:t>ate all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Approvals/clearances</w:t>
            </w:r>
          </w:p>
          <w:p w:rsidR="00000000" w:rsidP="00FA6EBB">
            <w:pPr>
              <w:pStyle w:val="BodyText"/>
              <w:rPr>
                <w:lang w:val="en-NZ"/>
              </w:rPr>
            </w:pPr>
            <w:r w:rsidRPr="00FA6EBB">
              <w:t>Access authority/permits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I</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"H" incorporate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Voltage detectors</w:t>
            </w:r>
          </w:p>
          <w:p w:rsidR="00000000" w:rsidRPr="00FA6EBB" w:rsidP="00FA6EBB">
            <w:pPr>
              <w:pStyle w:val="BodyText"/>
            </w:pPr>
            <w:r w:rsidRPr="00FA6EBB">
              <w:t>Polarities testers</w:t>
            </w:r>
          </w:p>
          <w:p w:rsidR="00000000" w:rsidP="00FA6EBB">
            <w:pPr>
              <w:pStyle w:val="BodyText"/>
              <w:rPr>
                <w:lang w:val="en-NZ"/>
              </w:rPr>
            </w:pPr>
            <w:r w:rsidRPr="00FA6EBB">
              <w:t>Phase rotation indicators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J</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With regards to "H" incorporate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EBB" w:rsidP="00FA6EBB">
            <w:pPr>
              <w:pStyle w:val="BodyText"/>
            </w:pPr>
            <w:r w:rsidRPr="00FA6EBB">
              <w:t>LV links</w:t>
            </w:r>
          </w:p>
          <w:p w:rsidR="00000000" w:rsidRPr="00FA6EBB" w:rsidP="00FA6EBB">
            <w:pPr>
              <w:pStyle w:val="BodyText"/>
            </w:pPr>
            <w:r w:rsidRPr="00FA6EBB">
              <w:t>LV bridges</w:t>
            </w:r>
          </w:p>
          <w:p w:rsidR="00000000" w:rsidP="00FA6EBB">
            <w:pPr>
              <w:pStyle w:val="BodyText"/>
              <w:rPr>
                <w:lang w:val="en-NZ"/>
              </w:rPr>
            </w:pPr>
            <w:r w:rsidRPr="00FA6EBB">
              <w:t>LV fuses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K</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EBB">
            <w:pPr>
              <w:pStyle w:val="BodyText"/>
              <w:rPr>
                <w:lang w:val="en-NZ"/>
              </w:rPr>
            </w:pPr>
            <w:r w:rsidRPr="00FA6EBB">
              <w:t>Dealing with an unplanned event by drawing on essential knowledge and associated skills to provide appropriate solutions incorporated in the holistic assessment with the above listed items.</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Context of and specific resources for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9</w:t>
            </w:r>
            <w:r w:rsidRPr="00FA6EBB">
              <w:t>.</w:t>
            </w:r>
            <w:r w:rsidRPr="00FA6EBB">
              <w:rPr>
                <w:rStyle w:val="SpecialBold"/>
              </w:rPr>
              <w:t>3</w:t>
            </w:r>
            <w:r w:rsidRPr="00FA6EBB">
              <w:t xml:space="preserve">) </w:t>
            </w:r>
          </w:p>
          <w:p w:rsidR="00000000" w:rsidRPr="00FA6EBB" w:rsidP="00FA6EBB">
            <w:pPr>
              <w:pStyle w:val="BodyText"/>
            </w:pPr>
            <w:r w:rsidRPr="00FA6EBB">
              <w:t>This unit should be assessed as it relates to normal work practice using procedures, information and resources typical of a workplace. This should include:</w:t>
            </w:r>
          </w:p>
          <w:p w:rsidR="00000000" w:rsidRPr="00FA6EBB" w:rsidP="00FA6EBB">
            <w:pPr>
              <w:pStyle w:val="ListBullet"/>
            </w:pPr>
            <w:r w:rsidRPr="00FA6EBB">
              <w:t>OHS policy and work procedures and instructio</w:t>
            </w:r>
            <w:r w:rsidRPr="00FA6EBB">
              <w:t>ns.</w:t>
            </w:r>
          </w:p>
          <w:p w:rsidR="00000000" w:rsidP="00FA6EBB">
            <w:pPr>
              <w:pStyle w:val="ListBullet"/>
              <w:rPr>
                <w:lang w:val="en-NZ"/>
              </w:rPr>
            </w:pPr>
            <w:r w:rsidRPr="00FA6EBB">
              <w:t>Suitable work environment, facilities, equipment and materials to undertake actual inspection, maintenance and restoration of energised LV overhead distribution network infrastructure.</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In addition to the resources listed above, in Context of and specific resources for assessment, evidence should show demonstrated competency working below ground, in limited spaces, with different structural/construction types and method and in a variety o</w:t>
            </w:r>
            <w:r w:rsidRPr="00FA6EBB">
              <w:t xml:space="preserve">f environments. </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Method of assessment</w:t>
            </w: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9</w:t>
            </w:r>
            <w:r w:rsidRPr="00FA6EBB">
              <w:t>.</w:t>
            </w:r>
            <w:r w:rsidRPr="00FA6EBB">
              <w:rPr>
                <w:rStyle w:val="SpecialBold"/>
              </w:rPr>
              <w:t>4</w:t>
            </w:r>
            <w:r w:rsidRPr="00FA6EBB">
              <w:t xml:space="preserve">) </w:t>
            </w:r>
          </w:p>
          <w:p w:rsidR="00000000" w:rsidRPr="00FA6EBB" w:rsidP="00FA6EBB">
            <w:pPr>
              <w:pStyle w:val="BodyText"/>
            </w:pPr>
            <w:r w:rsidRPr="00FA6EBB">
              <w:t>This Competency Standard Unit shall be assessed by methods given in Volume 1, Part 3 "Assessment Guidelines".</w:t>
            </w:r>
          </w:p>
          <w:p w:rsidR="00000000" w:rsidP="00FA6EBB">
            <w:pPr>
              <w:pStyle w:val="BodyText"/>
              <w:rPr>
                <w:lang w:val="en-NZ"/>
              </w:rPr>
            </w:pPr>
            <w:r w:rsidRPr="00FA6EBB">
              <w:t>Note:</w:t>
            </w:r>
            <w:r w:rsidRPr="00FA6EBB">
              <w:br/>
              <w:t>Competent performance with inherent safe working practices is expected in the Industry to wh</w:t>
            </w:r>
            <w:r w:rsidRPr="00FA6EBB">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FA6EBB">
              <w:t>facilities for learners to develop and demonstrate the essential knowledge and associated skills described in this unit.</w:t>
            </w:r>
          </w:p>
        </w:tc>
      </w:tr>
      <w:tr w:rsidTr="006930E8">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Concurrent assessment and relationship with other units</w:t>
            </w:r>
          </w:p>
        </w:tc>
        <w:tc>
          <w:tcPr>
            <w:tcW w:w="6436" w:type="dxa"/>
            <w:gridSpan w:val="4"/>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9</w:t>
            </w:r>
            <w:r w:rsidRPr="00FA6EBB">
              <w:t>.</w:t>
            </w:r>
            <w:r w:rsidRPr="00FA6EBB">
              <w:rPr>
                <w:rStyle w:val="SpecialBold"/>
              </w:rPr>
              <w:t>5</w:t>
            </w:r>
            <w:r w:rsidRPr="00FA6EBB">
              <w:t>)</w:t>
            </w:r>
          </w:p>
        </w:tc>
      </w:tr>
      <w:tr w:rsidTr="006930E8">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 xml:space="preserve">For optimisation of training and assessment effort, competence in this unit may be assessed concurrently with the following units: </w:t>
            </w:r>
          </w:p>
        </w:tc>
      </w:tr>
      <w:tr w:rsidTr="006930E8">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There are no recommended concurrencies for this unit.</w:t>
            </w:r>
          </w:p>
        </w:tc>
      </w:tr>
    </w:tbl>
    <w:p w:rsidR="006930E8" w:rsidP="00FA6EBB">
      <w:pPr>
        <w:pStyle w:val="BodyText"/>
      </w:pPr>
    </w:p>
    <w:p w:rsidR="006930E8" w:rsidP="00FA6EBB">
      <w:pPr>
        <w:pStyle w:val="BodyText"/>
      </w:pPr>
    </w:p>
    <w:p w:rsidR="00000000" w:rsidRPr="00FA6EBB" w:rsidP="00FA6EBB">
      <w:pPr>
        <w:pStyle w:val="Heading1"/>
      </w:pPr>
      <w:bookmarkStart w:id="11" w:name="O_256110"/>
      <w:bookmarkEnd w:id="11"/>
      <w:r w:rsidRPr="00FA6EBB">
        <w:t>Range Statement</w:t>
      </w:r>
    </w:p>
    <w:tbl>
      <w:tblPr>
        <w:tblW w:w="0" w:type="auto"/>
        <w:tblLayout w:type="fixed"/>
        <w:tblCellMar>
          <w:left w:w="62" w:type="dxa"/>
          <w:right w:w="62" w:type="dxa"/>
        </w:tblCellMar>
        <w:tblLook w:val="0000"/>
      </w:tblPr>
      <w:tblGrid>
        <w:gridCol w:w="2204"/>
        <w:gridCol w:w="6436"/>
      </w:tblGrid>
      <w:tr w:rsidTr="006930E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RANGE STATEMENT</w:t>
            </w:r>
          </w:p>
        </w:tc>
      </w:tr>
      <w:tr w:rsidTr="006930E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8</w:t>
            </w:r>
            <w:r w:rsidRPr="00FA6EBB">
              <w:t>) This relates to the unit of competency as a whole providing the range of contexts and conditions to which the performance criteria apply. It allows for different work environments and situations that will affect performance.</w:t>
            </w:r>
          </w:p>
        </w:tc>
      </w:tr>
      <w:tr w:rsidTr="006930E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This Competency Standard Un</w:t>
            </w:r>
            <w:r w:rsidRPr="00FA6EBB">
              <w:t>it shall/may be demonstrated in relation to the inspection, maintenance and restoration of overhead distribution network infrastructure.</w:t>
            </w:r>
          </w:p>
          <w:p w:rsidR="00000000" w:rsidRPr="00FA6EBB" w:rsidP="00FA6EBB">
            <w:pPr>
              <w:pStyle w:val="BodyText"/>
            </w:pPr>
            <w:r w:rsidRPr="00FA6EBB">
              <w:t>Inspection may be carried out on foot, and/or by conventional ground-based vehicle, or from the air. Aircraft may be he</w:t>
            </w:r>
            <w:r w:rsidRPr="00FA6EBB">
              <w:t>licopters or fixed-wing types.</w:t>
            </w:r>
          </w:p>
          <w:p w:rsidR="00000000" w:rsidRPr="00FA6EBB" w:rsidP="00FA6EBB">
            <w:pPr>
              <w:pStyle w:val="BodyText"/>
            </w:pPr>
            <w:r w:rsidRPr="00FA6EBB">
              <w:t>Inspection techniques include use of X-ray and infrared camera.</w:t>
            </w:r>
          </w:p>
          <w:p w:rsidR="00000000" w:rsidRPr="00FA6EBB" w:rsidP="00FA6EBB">
            <w:pPr>
              <w:pStyle w:val="BodyText"/>
            </w:pPr>
            <w:r w:rsidRPr="00FA6EBB">
              <w:t>Items to be inspected may include overhead poles and or structures, but not towers.</w:t>
            </w:r>
          </w:p>
          <w:p w:rsidR="00000000" w:rsidRPr="00FA6EBB" w:rsidP="00FA6EBB">
            <w:pPr>
              <w:pStyle w:val="BodyText"/>
            </w:pPr>
            <w:r w:rsidRPr="00FA6EBB">
              <w:t>Types of electrical apparatus to be inspected include overhead conductors and</w:t>
            </w:r>
            <w:r w:rsidRPr="00FA6EBB">
              <w:t xml:space="preserve"> cables, overhead transition points and, electrical equipment such as pole-mounted transformers and air-break switches, hardware, such as insulators, surge arrestors and cross-arms and or earthing systems.</w:t>
            </w:r>
          </w:p>
          <w:p w:rsidR="00000000" w:rsidRPr="00FA6EBB" w:rsidP="00FA6EBB">
            <w:pPr>
              <w:pStyle w:val="BodyText"/>
            </w:pPr>
            <w:r w:rsidRPr="00FA6EBB">
              <w:t xml:space="preserve">The maintenance of overhead energised low voltage conductors and cables must take into account the potential hazards, the calculation of physical loads, including an understanding of the effects of traffic loads and de-rating of circuits. </w:t>
            </w:r>
          </w:p>
          <w:p w:rsidR="00000000" w:rsidRPr="00FA6EBB" w:rsidP="00FA6EBB">
            <w:pPr>
              <w:pStyle w:val="BodyText"/>
            </w:pPr>
            <w:r w:rsidRPr="00FA6EBB">
              <w:t xml:space="preserve">Maintenance may </w:t>
            </w:r>
            <w:r w:rsidRPr="00FA6EBB">
              <w:t>include the removal, repair and replacement of cables, conductors and associated hardware.</w:t>
            </w:r>
          </w:p>
          <w:p w:rsidR="00000000" w:rsidRPr="00FA6EBB" w:rsidP="00FA6EBB">
            <w:pPr>
              <w:pStyle w:val="BodyText"/>
            </w:pPr>
            <w:r w:rsidRPr="00FA6EBB">
              <w:t>Structures include poles, and columns.</w:t>
            </w:r>
          </w:p>
          <w:p w:rsidR="00000000" w:rsidRPr="00FA6EBB" w:rsidP="00FA6EBB">
            <w:pPr>
              <w:pStyle w:val="BodyText"/>
            </w:pPr>
            <w:r w:rsidRPr="00FA6EBB">
              <w:t>Work methods require the use of insulating gloves and specialised live working equipment and tools.</w:t>
            </w:r>
          </w:p>
          <w:p w:rsidR="00000000" w:rsidRPr="00FA6EBB" w:rsidP="00FA6EBB">
            <w:pPr>
              <w:pStyle w:val="BodyText"/>
            </w:pPr>
            <w:r w:rsidRPr="00FA6EBB">
              <w:t>Work may be performed from</w:t>
            </w:r>
            <w:r w:rsidRPr="00FA6EBB">
              <w:t xml:space="preserve"> elevating work platform, ladder, portable pole platform, or the ground.</w:t>
            </w:r>
          </w:p>
          <w:p w:rsidR="00000000" w:rsidRPr="00FA6EBB" w:rsidP="00FA6EBB">
            <w:pPr>
              <w:pStyle w:val="BodyText"/>
            </w:pPr>
            <w:r w:rsidRPr="00FA6EBB">
              <w:t>Testing and recording devices include voltage detectors, tong ammeters, polarity testers, recording meters and phase sequence indicators.</w:t>
            </w:r>
          </w:p>
          <w:p w:rsidR="00000000" w:rsidRPr="00FA6EBB" w:rsidP="00FA6EBB">
            <w:pPr>
              <w:pStyle w:val="BodyText"/>
            </w:pPr>
            <w:r w:rsidRPr="00FA6EBB">
              <w:t>Specialised live working equipment includes i</w:t>
            </w:r>
            <w:r w:rsidRPr="00FA6EBB">
              <w:t>nsulating mats and sleeves, insulating gloves, temporary bridges/hoppers, insulated cable tensioning devices and ladder/pole shrouds and equipotential bonding.</w:t>
            </w:r>
          </w:p>
          <w:p w:rsidR="00000000" w:rsidRPr="00FA6EBB" w:rsidP="00FA6EBB">
            <w:pPr>
              <w:pStyle w:val="BodyText"/>
            </w:pPr>
            <w:r w:rsidRPr="00FA6EBB">
              <w:t>Low voltage switching operation may involve the operation of circuit breaking and isolation devi</w:t>
            </w:r>
            <w:r w:rsidRPr="00FA6EBB">
              <w:t>ces from a given switching schedule as it relates to low voltage distribution systems in field situations but also includes paralleling with the switching schedule.</w:t>
            </w:r>
          </w:p>
          <w:p w:rsidR="00000000" w:rsidRPr="00FA6EBB" w:rsidP="00FA6EBB">
            <w:pPr>
              <w:pStyle w:val="BodyText"/>
            </w:pPr>
            <w:r w:rsidRPr="00FA6EBB">
              <w:t>Operating circuit isolation devices associated with energy reticulation systems/networks is</w:t>
            </w:r>
            <w:r w:rsidRPr="00FA6EBB">
              <w:t xml:space="preserve"> confined to low voltage systems in field situations which performed in accordance with a switching schedule and established procedures.</w:t>
            </w:r>
          </w:p>
          <w:p w:rsidR="00000000" w:rsidRPr="00FA6EBB" w:rsidP="00FA6EBB">
            <w:pPr>
              <w:pStyle w:val="BodyText"/>
            </w:pPr>
            <w:r w:rsidRPr="00FA6EBB">
              <w:t>Switchgear may include Low Voltage fuses, Low Voltage links and bridges.</w:t>
            </w:r>
          </w:p>
          <w:p w:rsidR="00000000" w:rsidRPr="00FA6EBB" w:rsidP="00FA6EBB">
            <w:pPr>
              <w:pStyle w:val="BodyText"/>
            </w:pPr>
            <w:r w:rsidRPr="00FA6EBB">
              <w:t>Specialist tools and devices may include Low V</w:t>
            </w:r>
            <w:r w:rsidRPr="00FA6EBB">
              <w:t>oltage detectors, Low Voltage polarity testers Low Voltage phase rotation indicators.</w:t>
            </w:r>
          </w:p>
          <w:p w:rsidR="00000000" w:rsidRPr="00FA6EBB" w:rsidP="00FA6EBB">
            <w:pPr>
              <w:pStyle w:val="BodyText"/>
            </w:pPr>
            <w:r w:rsidRPr="00FA6EBB">
              <w:t>Switching programs/schedule refers to structure, switch or equipment number, locations, Low Voltage distributor, spur or feeder, outage times, work order/plan.</w:t>
            </w:r>
          </w:p>
          <w:p w:rsidR="00000000" w:rsidP="00FA6EBB">
            <w:pPr>
              <w:pStyle w:val="BodyText"/>
              <w:rPr>
                <w:lang w:val="en-NZ"/>
              </w:rPr>
            </w:pPr>
            <w:r w:rsidRPr="00FA6EBB">
              <w:t>The follow</w:t>
            </w:r>
            <w:r w:rsidRPr="00FA6EBB">
              <w:t>ing constants and variables included in the element/performance criteria in this unit are fully described in the Definitions Section 1 of this volume and form an integral part of the Range Statement of this unit:</w:t>
            </w:r>
          </w:p>
        </w:tc>
      </w:tr>
      <w:tr w:rsidTr="006930E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p>
        </w:tc>
        <w:tc>
          <w:tcPr>
            <w:tcW w:w="6436" w:type="dxa"/>
            <w:tcBorders>
              <w:top w:val="nil"/>
              <w:left w:val="nil"/>
              <w:bottom w:val="nil"/>
              <w:right w:val="nil"/>
            </w:tcBorders>
            <w:tcMar>
              <w:top w:w="0" w:type="dxa"/>
              <w:left w:w="62" w:type="dxa"/>
              <w:bottom w:w="0" w:type="dxa"/>
              <w:right w:w="62" w:type="dxa"/>
            </w:tcMar>
          </w:tcPr>
          <w:p w:rsidR="00000000" w:rsidRPr="00FA6EBB" w:rsidP="00FA6EBB">
            <w:pPr>
              <w:pStyle w:val="ListBullet"/>
            </w:pPr>
            <w:r w:rsidRPr="00FA6EBB">
              <w:t>Appropriate and relevant persons (see Pe</w:t>
            </w:r>
            <w:r w:rsidRPr="00FA6EBB">
              <w:t>rsonnel)</w:t>
            </w:r>
          </w:p>
          <w:p w:rsidR="00000000" w:rsidRPr="00FA6EBB" w:rsidP="00FA6EBB">
            <w:pPr>
              <w:pStyle w:val="ListBullet"/>
            </w:pPr>
            <w:r w:rsidRPr="00FA6EBB">
              <w:t xml:space="preserve">Appropriate authorities </w:t>
            </w:r>
          </w:p>
          <w:p w:rsidR="00000000" w:rsidRPr="00FA6EBB" w:rsidP="00FA6EBB">
            <w:pPr>
              <w:pStyle w:val="ListBullet"/>
            </w:pPr>
            <w:r w:rsidRPr="00FA6EBB">
              <w:t>Appropriate work platform</w:t>
            </w:r>
          </w:p>
          <w:p w:rsidR="00000000" w:rsidRPr="00FA6EBB" w:rsidP="00FA6EBB">
            <w:pPr>
              <w:pStyle w:val="ListBullet"/>
            </w:pPr>
            <w:r w:rsidRPr="00FA6EBB">
              <w:t>Assessing risk</w:t>
            </w:r>
          </w:p>
          <w:p w:rsidR="00000000" w:rsidRPr="00FA6EBB" w:rsidP="00FA6EBB">
            <w:pPr>
              <w:pStyle w:val="ListBullet"/>
            </w:pPr>
            <w:r w:rsidRPr="00FA6EBB">
              <w:t>Assessment</w:t>
            </w:r>
          </w:p>
          <w:p w:rsidR="00000000" w:rsidRPr="00FA6EBB" w:rsidP="00FA6EBB">
            <w:pPr>
              <w:pStyle w:val="ListBullet"/>
            </w:pPr>
            <w:r w:rsidRPr="00FA6EBB">
              <w:t xml:space="preserve">Authorisation </w:t>
            </w:r>
          </w:p>
          <w:p w:rsidR="00000000" w:rsidRPr="00FA6EBB" w:rsidP="00FA6EBB">
            <w:pPr>
              <w:pStyle w:val="ListBullet"/>
            </w:pPr>
            <w:r w:rsidRPr="00FA6EBB">
              <w:t>Diagnostic, testing and restoration</w:t>
            </w:r>
          </w:p>
          <w:p w:rsidR="00000000" w:rsidRPr="00FA6EBB" w:rsidP="00FA6EBB">
            <w:pPr>
              <w:pStyle w:val="ListBullet"/>
            </w:pPr>
            <w:r w:rsidRPr="00FA6EBB">
              <w:t>Documenting detail work events, record keeping and or storage of information</w:t>
            </w:r>
          </w:p>
          <w:p w:rsidR="00000000" w:rsidRPr="00FA6EBB" w:rsidP="00FA6EBB">
            <w:pPr>
              <w:pStyle w:val="ListBullet"/>
            </w:pPr>
            <w:r w:rsidRPr="00FA6EBB">
              <w:t xml:space="preserve">Drawings and specifications </w:t>
            </w:r>
          </w:p>
          <w:p w:rsidR="00000000" w:rsidRPr="00FA6EBB" w:rsidP="00FA6EBB">
            <w:pPr>
              <w:pStyle w:val="ListBullet"/>
            </w:pPr>
            <w:r w:rsidRPr="00FA6EBB">
              <w:t>Emergency</w:t>
            </w:r>
          </w:p>
          <w:p w:rsidR="00000000" w:rsidRPr="00FA6EBB" w:rsidP="00FA6EBB">
            <w:pPr>
              <w:pStyle w:val="ListBullet"/>
            </w:pPr>
            <w:r w:rsidRPr="00FA6EBB">
              <w:t>Environmental and sustainable energy procedures</w:t>
            </w:r>
          </w:p>
          <w:p w:rsidR="00000000" w:rsidRPr="00FA6EBB" w:rsidP="00FA6EBB">
            <w:pPr>
              <w:pStyle w:val="ListBullet"/>
            </w:pPr>
            <w:r w:rsidRPr="00FA6EBB">
              <w:t>Environmental legislation</w:t>
            </w:r>
          </w:p>
          <w:p w:rsidR="00000000" w:rsidRPr="00FA6EBB" w:rsidP="00FA6EBB">
            <w:pPr>
              <w:pStyle w:val="ListBullet"/>
            </w:pPr>
            <w:r w:rsidRPr="00FA6EBB">
              <w:t>Environmental management documentation</w:t>
            </w:r>
          </w:p>
          <w:p w:rsidR="00000000" w:rsidRPr="00FA6EBB" w:rsidP="00FA6EBB">
            <w:pPr>
              <w:pStyle w:val="ListBullet"/>
            </w:pPr>
            <w:r w:rsidRPr="00FA6EBB">
              <w:t>Established procedures</w:t>
            </w:r>
          </w:p>
          <w:p w:rsidR="00000000" w:rsidRPr="00FA6EBB" w:rsidP="00FA6EBB">
            <w:pPr>
              <w:pStyle w:val="ListBullet"/>
            </w:pPr>
            <w:r w:rsidRPr="00FA6EBB">
              <w:t>Fall prevention</w:t>
            </w:r>
          </w:p>
          <w:p w:rsidR="00000000" w:rsidRPr="00FA6EBB" w:rsidP="00FA6EBB">
            <w:pPr>
              <w:pStyle w:val="ListBullet"/>
            </w:pPr>
            <w:r w:rsidRPr="00FA6EBB">
              <w:t>Hazards</w:t>
            </w:r>
          </w:p>
          <w:p w:rsidR="00000000" w:rsidRPr="00FA6EBB" w:rsidP="00FA6EBB">
            <w:pPr>
              <w:pStyle w:val="ListBullet"/>
            </w:pPr>
            <w:r w:rsidRPr="00FA6EBB">
              <w:t>Identifying hazards</w:t>
            </w:r>
          </w:p>
          <w:p w:rsidR="00000000" w:rsidRPr="00FA6EBB" w:rsidP="00FA6EBB">
            <w:pPr>
              <w:pStyle w:val="ListBullet"/>
            </w:pPr>
            <w:r w:rsidRPr="00FA6EBB">
              <w:t>Inspect</w:t>
            </w:r>
          </w:p>
          <w:p w:rsidR="00000000" w:rsidRPr="00FA6EBB" w:rsidP="00FA6EBB">
            <w:pPr>
              <w:pStyle w:val="ListBullet"/>
            </w:pPr>
            <w:r w:rsidRPr="00FA6EBB">
              <w:t>Legislation</w:t>
            </w:r>
          </w:p>
          <w:p w:rsidR="00000000" w:rsidRPr="00FA6EBB" w:rsidP="00FA6EBB">
            <w:pPr>
              <w:pStyle w:val="ListBullet"/>
            </w:pPr>
            <w:r w:rsidRPr="00FA6EBB">
              <w:t>MSDS</w:t>
            </w:r>
          </w:p>
          <w:p w:rsidR="00000000" w:rsidRPr="00FA6EBB" w:rsidP="00FA6EBB">
            <w:pPr>
              <w:pStyle w:val="ListBullet"/>
            </w:pPr>
            <w:r w:rsidRPr="00FA6EBB">
              <w:t>Notification.</w:t>
            </w:r>
          </w:p>
          <w:p w:rsidR="00000000" w:rsidRPr="00FA6EBB" w:rsidP="00FA6EBB">
            <w:pPr>
              <w:pStyle w:val="ListBullet"/>
            </w:pPr>
            <w:r w:rsidRPr="00FA6EBB">
              <w:t>OHS practices</w:t>
            </w:r>
          </w:p>
          <w:p w:rsidR="00000000" w:rsidRPr="00FA6EBB" w:rsidP="00FA6EBB">
            <w:pPr>
              <w:pStyle w:val="ListBullet"/>
            </w:pPr>
            <w:r w:rsidRPr="00FA6EBB">
              <w:t>OHS issues</w:t>
            </w:r>
          </w:p>
          <w:p w:rsidR="00000000" w:rsidRPr="00FA6EBB" w:rsidP="00FA6EBB">
            <w:pPr>
              <w:pStyle w:val="ListBullet"/>
            </w:pPr>
            <w:r w:rsidRPr="00FA6EBB">
              <w:t>Permits and/</w:t>
            </w:r>
            <w:r w:rsidRPr="00FA6EBB">
              <w:t>or permits to work</w:t>
            </w:r>
          </w:p>
          <w:p w:rsidR="00000000" w:rsidRPr="00FA6EBB" w:rsidP="00FA6EBB">
            <w:pPr>
              <w:pStyle w:val="ListBullet"/>
            </w:pPr>
            <w:r w:rsidRPr="00FA6EBB">
              <w:t>Personnel</w:t>
            </w:r>
          </w:p>
          <w:p w:rsidR="00000000" w:rsidRPr="00FA6EBB" w:rsidP="00FA6EBB">
            <w:pPr>
              <w:pStyle w:val="ListBullet"/>
            </w:pPr>
            <w:r w:rsidRPr="00FA6EBB">
              <w:t>Quality assurance systems</w:t>
            </w:r>
          </w:p>
          <w:p w:rsidR="00000000" w:rsidRPr="00FA6EBB" w:rsidP="00FA6EBB">
            <w:pPr>
              <w:pStyle w:val="ListBullet"/>
            </w:pPr>
            <w:r w:rsidRPr="00FA6EBB">
              <w:t>Requirements</w:t>
            </w:r>
          </w:p>
          <w:p w:rsidR="00000000" w:rsidRPr="00FA6EBB" w:rsidP="00FA6EBB">
            <w:pPr>
              <w:pStyle w:val="ListBullet"/>
            </w:pPr>
            <w:r w:rsidRPr="00FA6EBB">
              <w:t>Work clearance systems</w:t>
            </w:r>
          </w:p>
        </w:tc>
      </w:tr>
    </w:tbl>
    <w:p w:rsidR="006930E8" w:rsidP="00FA6EBB">
      <w:pPr>
        <w:pStyle w:val="BodyText"/>
      </w:pPr>
    </w:p>
    <w:p w:rsidR="006930E8" w:rsidP="00FA6EBB">
      <w:pPr>
        <w:pStyle w:val="BodyText"/>
      </w:pPr>
    </w:p>
    <w:p w:rsidR="00000000" w:rsidRPr="00FA6EBB" w:rsidP="00FA6EBB">
      <w:pPr>
        <w:pStyle w:val="Heading1"/>
      </w:pPr>
      <w:bookmarkStart w:id="12" w:name="O_297123"/>
      <w:bookmarkEnd w:id="12"/>
      <w:r w:rsidRPr="00FA6EBB">
        <w:t>Unit Sector(s)</w:t>
      </w:r>
    </w:p>
    <w:p w:rsidR="00000000" w:rsidRPr="00FA6EBB" w:rsidP="00FA6EBB">
      <w:pPr>
        <w:pStyle w:val="BodyText"/>
      </w:pPr>
      <w:r w:rsidRPr="00FA6EBB">
        <w:t>Not Applicable</w:t>
      </w:r>
    </w:p>
    <w:p w:rsidR="00000000" w:rsidRPr="00FA6EBB" w:rsidP="00FA6EBB">
      <w:pPr>
        <w:pStyle w:val="AllowPageBreak"/>
      </w:pPr>
    </w:p>
    <w:p w:rsidR="00000000" w:rsidRPr="00FA6EBB" w:rsidP="00FA6EBB">
      <w:pPr>
        <w:pStyle w:val="Heading1"/>
      </w:pPr>
      <w:bookmarkStart w:id="13" w:name="O_231154"/>
      <w:bookmarkEnd w:id="13"/>
      <w:r w:rsidRPr="00FA6EBB">
        <w:t>Custom Content Section</w:t>
      </w:r>
    </w:p>
    <w:tbl>
      <w:tblPr>
        <w:tblW w:w="0" w:type="auto"/>
        <w:tblLayout w:type="fixed"/>
        <w:tblCellMar>
          <w:left w:w="62" w:type="dxa"/>
          <w:right w:w="62" w:type="dxa"/>
        </w:tblCellMar>
        <w:tblLook w:val="0000"/>
      </w:tblPr>
      <w:tblGrid>
        <w:gridCol w:w="1483"/>
        <w:gridCol w:w="1206"/>
        <w:gridCol w:w="1774"/>
        <w:gridCol w:w="1206"/>
        <w:gridCol w:w="1756"/>
        <w:gridCol w:w="1215"/>
      </w:tblGrid>
      <w:tr w:rsidTr="006930E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2</w:t>
            </w:r>
            <w:r w:rsidRPr="00FA6EBB">
              <w:t>.</w:t>
            </w:r>
            <w:r w:rsidRPr="00FA6EBB">
              <w:rPr>
                <w:rStyle w:val="SpecialBold"/>
              </w:rPr>
              <w:t>2</w:t>
            </w:r>
            <w:r w:rsidRPr="00FA6EBB">
              <w:t xml:space="preserve">) </w:t>
            </w:r>
            <w:r w:rsidRPr="00FA6EBB">
              <w:rPr>
                <w:rStyle w:val="SpecialBold"/>
              </w:rPr>
              <w:t>Literacy and numeracy skills</w:t>
            </w:r>
          </w:p>
          <w:p w:rsidR="00000000" w:rsidP="00FA6EBB">
            <w:pPr>
              <w:pStyle w:val="BodyText"/>
              <w:rPr>
                <w:lang w:val="en-NZ"/>
              </w:rPr>
            </w:pPr>
            <w:r w:rsidRPr="00FA6EBB">
              <w:t>Participants are best equipped to achieve this unit if they have reading, writing and numeracy skills indicated by the following scales. Description of each scale is given in Volume 2, Part 3 "Literacy and Numeracy"</w:t>
            </w:r>
          </w:p>
        </w:tc>
      </w:tr>
      <w:tr w:rsidTr="006930E8">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Reading</w:t>
            </w:r>
          </w:p>
        </w:tc>
        <w:tc>
          <w:tcPr>
            <w:tcW w:w="1206"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4</w:t>
            </w:r>
          </w:p>
        </w:tc>
        <w:tc>
          <w:tcPr>
            <w:tcW w:w="1774"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Writing</w:t>
            </w:r>
          </w:p>
        </w:tc>
        <w:tc>
          <w:tcPr>
            <w:tcW w:w="1206"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4</w:t>
            </w:r>
          </w:p>
        </w:tc>
        <w:tc>
          <w:tcPr>
            <w:tcW w:w="1756"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t>Numeracy</w:t>
            </w:r>
          </w:p>
        </w:tc>
        <w:tc>
          <w:tcPr>
            <w:tcW w:w="1215"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4</w:t>
            </w:r>
          </w:p>
        </w:tc>
      </w:tr>
    </w:tbl>
    <w:p w:rsidR="006930E8" w:rsidP="00FA6EBB">
      <w:pPr>
        <w:pStyle w:val="BodyText"/>
      </w:pPr>
    </w:p>
    <w:p w:rsidR="006930E8" w:rsidP="00FA6EBB">
      <w:pPr>
        <w:pStyle w:val="BodyText"/>
      </w:pPr>
    </w:p>
    <w:p w:rsidR="00000000" w:rsidRPr="00FA6EBB" w:rsidP="00FA6EBB">
      <w:pPr>
        <w:pStyle w:val="Heading1"/>
      </w:pPr>
      <w:bookmarkStart w:id="14" w:name="O_231157"/>
      <w:bookmarkEnd w:id="14"/>
      <w:r w:rsidRPr="00FA6EBB">
        <w:t>Competency Field</w:t>
      </w:r>
    </w:p>
    <w:tbl>
      <w:tblPr>
        <w:tblW w:w="0" w:type="auto"/>
        <w:tblLayout w:type="fixed"/>
        <w:tblCellMar>
          <w:left w:w="62" w:type="dxa"/>
          <w:right w:w="62" w:type="dxa"/>
        </w:tblCellMar>
        <w:tblLook w:val="0000"/>
      </w:tblPr>
      <w:tblGrid>
        <w:gridCol w:w="2752"/>
        <w:gridCol w:w="5888"/>
      </w:tblGrid>
      <w:tr w:rsidTr="006930E8">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rPr>
                <w:rStyle w:val="SpecialBold"/>
              </w:rPr>
              <w:t>Competency Field</w:t>
            </w:r>
          </w:p>
        </w:tc>
        <w:tc>
          <w:tcPr>
            <w:tcW w:w="5888" w:type="dxa"/>
            <w:tcBorders>
              <w:top w:val="nil"/>
              <w:left w:val="nil"/>
              <w:bottom w:val="nil"/>
              <w:right w:val="nil"/>
            </w:tcBorders>
            <w:tcMar>
              <w:top w:w="0" w:type="dxa"/>
              <w:left w:w="62" w:type="dxa"/>
              <w:bottom w:w="0" w:type="dxa"/>
              <w:right w:w="62" w:type="dxa"/>
            </w:tcMar>
          </w:tcPr>
          <w:p w:rsidR="00000000" w:rsidP="00FA6EBB">
            <w:pPr>
              <w:pStyle w:val="BodyText"/>
              <w:rPr>
                <w:lang w:val="en-NZ"/>
              </w:rPr>
            </w:pPr>
            <w:r w:rsidRPr="00FA6EBB">
              <w:rPr>
                <w:rStyle w:val="SpecialBold"/>
              </w:rPr>
              <w:t>5</w:t>
            </w:r>
            <w:r w:rsidRPr="00FA6EBB">
              <w:t>)</w:t>
            </w:r>
          </w:p>
        </w:tc>
      </w:tr>
      <w:tr w:rsidTr="006930E8">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A6EBB" w:rsidP="00FA6EBB">
            <w:pPr>
              <w:pStyle w:val="BodyText"/>
            </w:pPr>
            <w:r w:rsidRPr="00FA6EBB">
              <w:t xml:space="preserve">Distribution </w:t>
            </w:r>
          </w:p>
        </w:tc>
      </w:tr>
    </w:tbl>
    <w:p w:rsidR="006930E8" w:rsidP="00FA6EBB">
      <w:pPr>
        <w:pStyle w:val="BodyText"/>
      </w:pPr>
    </w:p>
    <w:p w:rsidR="006930E8" w:rsidP="00FA6EBB">
      <w:pPr>
        <w:pStyle w:val="BodyText"/>
      </w:pPr>
    </w:p>
    <w:p w:rsidR="00000000" w:rsidRPr="00FA6EBB" w:rsidP="00FA6EBB"/>
    <w:sectPr w:rsidSect="00FA6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0E8" w:rsidP="006930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E8" w:rsidP="00FA6E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930E8" w:rsidP="00FA6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930E8" w:rsidP="00FA6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BB" w:rsidRPr="006930E8" w:rsidP="006930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E8" w:rsidRPr="002D2AF8" w:rsidP="00FA6EBB">
    <w:pPr>
      <w:pStyle w:val="Header"/>
      <w:framePr w:wrap="around"/>
    </w:pPr>
    <w:r>
      <w:fldChar w:fldCharType="begin"/>
    </w:r>
    <w:r>
      <w:instrText xml:space="preserve"> TITLE   \* MERGEFORMAT </w:instrText>
    </w:r>
    <w:r>
      <w:fldChar w:fldCharType="separate"/>
    </w:r>
    <w:r>
      <w:t>UETTDRDP05B Inspect, maintain and restore energised LV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930E8" w:rsidP="00FA6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C7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4CD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27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EBB"/>
    <w:pPr>
      <w:spacing w:before="360" w:after="60"/>
      <w:outlineLvl w:val="0"/>
    </w:pPr>
    <w:rPr>
      <w:sz w:val="32"/>
    </w:rPr>
  </w:style>
  <w:style w:type="paragraph" w:styleId="Heading2">
    <w:name w:val="heading 2"/>
    <w:basedOn w:val="HeadingBase"/>
    <w:next w:val="BodyText"/>
    <w:link w:val="Heading2Char"/>
    <w:qFormat/>
    <w:rsid w:val="00FA6EBB"/>
    <w:pPr>
      <w:keepLines/>
      <w:spacing w:before="240" w:after="120"/>
      <w:outlineLvl w:val="1"/>
    </w:pPr>
    <w:rPr>
      <w:sz w:val="28"/>
      <w:szCs w:val="40"/>
    </w:rPr>
  </w:style>
  <w:style w:type="paragraph" w:styleId="Heading3">
    <w:name w:val="heading 3"/>
    <w:basedOn w:val="HeadingBase"/>
    <w:next w:val="BodyText"/>
    <w:link w:val="Heading3Char"/>
    <w:qFormat/>
    <w:rsid w:val="00FA6EBB"/>
    <w:pPr>
      <w:spacing w:before="180" w:after="120"/>
      <w:outlineLvl w:val="2"/>
    </w:pPr>
    <w:rPr>
      <w:spacing w:val="-10"/>
      <w:kern w:val="32"/>
    </w:rPr>
  </w:style>
  <w:style w:type="paragraph" w:styleId="Heading4">
    <w:name w:val="heading 4"/>
    <w:basedOn w:val="HeadingBase"/>
    <w:next w:val="BodyText"/>
    <w:link w:val="Heading4Char"/>
    <w:qFormat/>
    <w:rsid w:val="00FA6EBB"/>
    <w:pPr>
      <w:spacing w:before="160" w:after="120"/>
      <w:outlineLvl w:val="3"/>
    </w:pPr>
    <w:rPr>
      <w:sz w:val="22"/>
    </w:rPr>
  </w:style>
  <w:style w:type="paragraph" w:styleId="Heading5">
    <w:name w:val="heading 5"/>
    <w:basedOn w:val="HeadingBase"/>
    <w:next w:val="Normal"/>
    <w:link w:val="Heading5Char"/>
    <w:qFormat/>
    <w:rsid w:val="00FA6EBB"/>
    <w:pPr>
      <w:spacing w:before="80"/>
      <w:outlineLvl w:val="4"/>
    </w:pPr>
    <w:rPr>
      <w:color w:val="918585"/>
      <w:sz w:val="20"/>
    </w:rPr>
  </w:style>
  <w:style w:type="paragraph" w:styleId="Heading6">
    <w:name w:val="heading 6"/>
    <w:basedOn w:val="HeadingBase"/>
    <w:next w:val="Normal"/>
    <w:link w:val="Heading6Char"/>
    <w:qFormat/>
    <w:rsid w:val="00FA6EBB"/>
    <w:pPr>
      <w:spacing w:before="60"/>
      <w:outlineLvl w:val="5"/>
    </w:pPr>
    <w:rPr>
      <w:color w:val="918585"/>
      <w:sz w:val="20"/>
    </w:rPr>
  </w:style>
  <w:style w:type="paragraph" w:styleId="Heading7">
    <w:name w:val="heading 7"/>
    <w:basedOn w:val="Normal"/>
    <w:next w:val="Normal"/>
    <w:link w:val="Heading7Char"/>
    <w:qFormat/>
    <w:rsid w:val="00FA6EBB"/>
    <w:pPr>
      <w:ind w:left="720"/>
      <w:outlineLvl w:val="6"/>
    </w:pPr>
    <w:rPr>
      <w:i/>
    </w:rPr>
  </w:style>
  <w:style w:type="paragraph" w:styleId="Heading8">
    <w:name w:val="heading 8"/>
    <w:basedOn w:val="Normal"/>
    <w:next w:val="Normal"/>
    <w:link w:val="Heading8Char"/>
    <w:qFormat/>
    <w:rsid w:val="00FA6EBB"/>
    <w:pPr>
      <w:ind w:left="720"/>
      <w:outlineLvl w:val="7"/>
    </w:pPr>
    <w:rPr>
      <w:i/>
    </w:rPr>
  </w:style>
  <w:style w:type="paragraph" w:styleId="Heading9">
    <w:name w:val="heading 9"/>
    <w:basedOn w:val="Normal"/>
    <w:next w:val="Normal"/>
    <w:link w:val="Heading9Char"/>
    <w:qFormat/>
    <w:rsid w:val="00FA6EBB"/>
    <w:pPr>
      <w:ind w:left="720"/>
      <w:outlineLvl w:val="8"/>
    </w:pPr>
    <w:rPr>
      <w:i/>
    </w:rPr>
  </w:style>
  <w:style w:type="character" w:default="1" w:styleId="DefaultParagraphFont">
    <w:name w:val="Default Paragraph Font"/>
    <w:uiPriority w:val="1"/>
    <w:unhideWhenUsed/>
    <w:rsid w:val="00FA6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EBB"/>
  </w:style>
  <w:style w:type="character" w:customStyle="1" w:styleId="Heading1Char">
    <w:name w:val="Heading 1 Char"/>
    <w:basedOn w:val="DefaultParagraphFont"/>
    <w:link w:val="Heading1"/>
    <w:rsid w:val="00FA6EBB"/>
    <w:rPr>
      <w:rFonts w:ascii="Times New Roman" w:eastAsia="Times New Roman" w:hAnsi="Times New Roman" w:cs="Times New Roman"/>
      <w:b/>
      <w:sz w:val="32"/>
      <w:szCs w:val="20"/>
      <w:lang w:eastAsia="en-US"/>
    </w:rPr>
  </w:style>
  <w:style w:type="paragraph" w:styleId="BodyText">
    <w:name w:val="Body Text"/>
    <w:basedOn w:val="Normal"/>
    <w:link w:val="BodyTextChar"/>
    <w:rsid w:val="00FA6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EBB"/>
    <w:rPr>
      <w:rFonts w:ascii="Times New Roman" w:eastAsia="Times New Roman" w:hAnsi="Times New Roman" w:cs="Times New Roman"/>
      <w:sz w:val="24"/>
      <w:lang w:eastAsia="en-US"/>
    </w:rPr>
  </w:style>
  <w:style w:type="paragraph" w:styleId="Footer">
    <w:name w:val="footer"/>
    <w:basedOn w:val="Normal"/>
    <w:link w:val="FooterChar"/>
    <w:rsid w:val="00FA6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EBB"/>
    <w:rPr>
      <w:rFonts w:ascii="Times New Roman" w:eastAsia="Times New Roman" w:hAnsi="Times New Roman" w:cs="Times New Roman"/>
      <w:sz w:val="16"/>
      <w:lang w:eastAsia="en-US"/>
    </w:rPr>
  </w:style>
  <w:style w:type="paragraph" w:styleId="ListBullet">
    <w:name w:val="List Bullet"/>
    <w:basedOn w:val="List"/>
    <w:rsid w:val="00FA6EBB"/>
    <w:pPr>
      <w:numPr>
        <w:numId w:val="13"/>
      </w:numPr>
      <w:tabs>
        <w:tab w:val="clear" w:pos="340"/>
      </w:tabs>
      <w:spacing w:before="40" w:after="40"/>
    </w:pPr>
  </w:style>
  <w:style w:type="character" w:customStyle="1" w:styleId="SpecialBold">
    <w:name w:val="Special Bold"/>
    <w:basedOn w:val="DefaultParagraphFont"/>
    <w:rsid w:val="00FA6EBB"/>
    <w:rPr>
      <w:b/>
      <w:spacing w:val="0"/>
    </w:rPr>
  </w:style>
  <w:style w:type="paragraph" w:styleId="ListBullet2">
    <w:name w:val="List Bullet 2"/>
    <w:basedOn w:val="List2"/>
    <w:rsid w:val="00FA6EBB"/>
    <w:pPr>
      <w:numPr>
        <w:numId w:val="14"/>
      </w:numPr>
      <w:tabs>
        <w:tab w:val="clear" w:pos="680"/>
      </w:tabs>
    </w:pPr>
  </w:style>
  <w:style w:type="paragraph" w:customStyle="1" w:styleId="SuperHeading">
    <w:name w:val="SuperHeading"/>
    <w:basedOn w:val="Normal"/>
    <w:rsid w:val="00FA6EBB"/>
    <w:pPr>
      <w:spacing w:before="240" w:after="120"/>
      <w:outlineLvl w:val="0"/>
    </w:pPr>
    <w:rPr>
      <w:rFonts w:ascii="Times New Roman" w:hAnsi="Times New Roman"/>
      <w:b/>
      <w:sz w:val="28"/>
    </w:rPr>
  </w:style>
  <w:style w:type="paragraph" w:customStyle="1" w:styleId="AllowPageBreak">
    <w:name w:val="AllowPageBreak"/>
    <w:rsid w:val="00FA6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EBB"/>
    <w:rPr>
      <w:rFonts w:ascii="Courier New" w:eastAsia="Times New Roman" w:hAnsi="Courier New" w:cs="Times New Roman"/>
      <w:i/>
      <w:szCs w:val="20"/>
      <w:lang w:eastAsia="en-US"/>
    </w:rPr>
  </w:style>
  <w:style w:type="paragraph" w:customStyle="1" w:styleId="HeadingBase">
    <w:name w:val="Heading Base"/>
    <w:rsid w:val="00FA6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EBB"/>
    <w:pPr>
      <w:tabs>
        <w:tab w:val="right" w:leader="dot" w:pos="9072"/>
      </w:tabs>
      <w:ind w:left="567"/>
    </w:pPr>
    <w:rPr>
      <w:szCs w:val="22"/>
    </w:rPr>
  </w:style>
  <w:style w:type="paragraph" w:customStyle="1" w:styleId="TOCBase">
    <w:name w:val="TOC Base"/>
    <w:rsid w:val="00FA6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EBB"/>
    <w:pPr>
      <w:tabs>
        <w:tab w:val="right" w:leader="dot" w:pos="9072"/>
      </w:tabs>
      <w:spacing w:before="40" w:after="40"/>
      <w:ind w:left="284"/>
    </w:pPr>
    <w:rPr>
      <w:rFonts w:ascii="Times New Roman" w:hAnsi="Times New Roman"/>
    </w:rPr>
  </w:style>
  <w:style w:type="paragraph" w:styleId="TOC1">
    <w:name w:val="toc 1"/>
    <w:basedOn w:val="TOCBase"/>
    <w:next w:val="Normal"/>
    <w:rsid w:val="00FA6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EBB"/>
    <w:pPr>
      <w:spacing w:before="5040"/>
      <w:jc w:val="center"/>
    </w:pPr>
    <w:rPr>
      <w:sz w:val="48"/>
      <w:szCs w:val="72"/>
      <w:lang w:val="en-US"/>
    </w:rPr>
  </w:style>
  <w:style w:type="character" w:customStyle="1" w:styleId="TitleChar">
    <w:name w:val="Title Char"/>
    <w:basedOn w:val="DefaultParagraphFont"/>
    <w:link w:val="Title"/>
    <w:rsid w:val="00FA6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EBB"/>
    <w:pPr>
      <w:tabs>
        <w:tab w:val="left" w:pos="3600"/>
        <w:tab w:val="left" w:pos="3958"/>
      </w:tabs>
    </w:pPr>
  </w:style>
  <w:style w:type="paragraph" w:styleId="List">
    <w:name w:val="List"/>
    <w:basedOn w:val="BodyText"/>
    <w:next w:val="BodyText"/>
    <w:rsid w:val="00FA6EBB"/>
    <w:pPr>
      <w:tabs>
        <w:tab w:val="left" w:pos="340"/>
      </w:tabs>
      <w:spacing w:before="60" w:after="60"/>
      <w:ind w:left="340" w:hanging="340"/>
    </w:pPr>
  </w:style>
  <w:style w:type="paragraph" w:customStyle="1" w:styleId="Note">
    <w:name w:val="Note"/>
    <w:basedOn w:val="BodyText"/>
    <w:rsid w:val="00FA6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EBB"/>
    <w:pPr>
      <w:framePr w:wrap="auto" w:hAnchor="text" w:y="6049"/>
    </w:pPr>
    <w:rPr>
      <w:color w:val="000000"/>
      <w:sz w:val="40"/>
    </w:rPr>
  </w:style>
  <w:style w:type="paragraph" w:customStyle="1" w:styleId="TOCTitle">
    <w:name w:val="TOCTitle"/>
    <w:basedOn w:val="Heading1"/>
    <w:rsid w:val="00FA6EBB"/>
    <w:pPr>
      <w:spacing w:after="240"/>
      <w:jc w:val="center"/>
      <w:outlineLvl w:val="9"/>
    </w:pPr>
    <w:rPr>
      <w:caps/>
    </w:rPr>
  </w:style>
  <w:style w:type="paragraph" w:customStyle="1" w:styleId="Version">
    <w:name w:val="Version"/>
    <w:rsid w:val="00FA6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EBB"/>
    <w:pPr>
      <w:keepNext w:val="0"/>
      <w:tabs>
        <w:tab w:val="right" w:pos="4176"/>
      </w:tabs>
      <w:ind w:left="198" w:hanging="198"/>
    </w:pPr>
    <w:rPr>
      <w:rFonts w:ascii="Garamond" w:hAnsi="Garamond"/>
    </w:rPr>
  </w:style>
  <w:style w:type="paragraph" w:styleId="IndexHeading">
    <w:name w:val="index heading"/>
    <w:basedOn w:val="Normal"/>
    <w:next w:val="Index1"/>
    <w:semiHidden/>
    <w:rsid w:val="00FA6EBB"/>
    <w:pPr>
      <w:spacing w:before="120" w:after="120"/>
    </w:pPr>
    <w:rPr>
      <w:rFonts w:ascii="Arial" w:hAnsi="Arial"/>
      <w:b/>
      <w:color w:val="918585"/>
      <w:sz w:val="24"/>
    </w:rPr>
  </w:style>
  <w:style w:type="paragraph" w:styleId="Header">
    <w:name w:val="header"/>
    <w:basedOn w:val="Normal"/>
    <w:link w:val="HeaderChar"/>
    <w:rsid w:val="00FA6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EBB"/>
    <w:rPr>
      <w:rFonts w:ascii="Times New Roman" w:eastAsia="Times New Roman" w:hAnsi="Times New Roman" w:cs="Times New Roman"/>
      <w:sz w:val="16"/>
      <w:szCs w:val="20"/>
      <w:lang w:val="en-GB" w:eastAsia="en-US"/>
    </w:rPr>
  </w:style>
  <w:style w:type="paragraph" w:customStyle="1" w:styleId="Chapter">
    <w:name w:val="Chapter"/>
    <w:basedOn w:val="Normal"/>
    <w:rsid w:val="00FA6EBB"/>
    <w:pPr>
      <w:spacing w:before="240"/>
    </w:pPr>
    <w:rPr>
      <w:rFonts w:ascii="Times New Roman" w:hAnsi="Times New Roman"/>
      <w:smallCaps/>
      <w:spacing w:val="80"/>
      <w:sz w:val="28"/>
    </w:rPr>
  </w:style>
  <w:style w:type="paragraph" w:customStyle="1" w:styleId="InChapter">
    <w:name w:val="InChapter"/>
    <w:basedOn w:val="Heading3"/>
    <w:rsid w:val="00FA6EBB"/>
    <w:pPr>
      <w:spacing w:after="240"/>
      <w:outlineLvl w:val="9"/>
    </w:pPr>
    <w:rPr>
      <w:noProof/>
    </w:rPr>
  </w:style>
  <w:style w:type="paragraph" w:styleId="Index2">
    <w:name w:val="index 2"/>
    <w:basedOn w:val="Normal"/>
    <w:next w:val="Normal"/>
    <w:semiHidden/>
    <w:rsid w:val="00FA6EBB"/>
    <w:pPr>
      <w:tabs>
        <w:tab w:val="right" w:pos="4176"/>
      </w:tabs>
      <w:ind w:left="568" w:hanging="284"/>
    </w:pPr>
    <w:rPr>
      <w:rFonts w:ascii="Garamond" w:hAnsi="Garamond"/>
    </w:rPr>
  </w:style>
  <w:style w:type="paragraph" w:customStyle="1" w:styleId="Byline">
    <w:name w:val="Byline"/>
    <w:rsid w:val="00FA6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EBB"/>
    <w:pPr>
      <w:tabs>
        <w:tab w:val="clear" w:pos="3600"/>
        <w:tab w:val="clear" w:pos="3958"/>
      </w:tabs>
      <w:jc w:val="right"/>
    </w:pPr>
  </w:style>
  <w:style w:type="character" w:styleId="Emphasis">
    <w:name w:val="Emphasis"/>
    <w:basedOn w:val="DefaultParagraphFont"/>
    <w:qFormat/>
    <w:rsid w:val="00FA6EBB"/>
    <w:rPr>
      <w:i/>
    </w:rPr>
  </w:style>
  <w:style w:type="paragraph" w:styleId="Caption">
    <w:name w:val="caption"/>
    <w:basedOn w:val="BodyText"/>
    <w:next w:val="Normal"/>
    <w:qFormat/>
    <w:rsid w:val="00FA6EBB"/>
    <w:pPr>
      <w:framePr w:w="2268" w:hSpace="181" w:vSpace="181" w:wrap="around" w:vAnchor="text" w:hAnchor="page" w:x="1135" w:y="285" w:anchorLock="1"/>
    </w:pPr>
    <w:rPr>
      <w:i/>
    </w:rPr>
  </w:style>
  <w:style w:type="paragraph" w:customStyle="1" w:styleId="MiniTOCTitle">
    <w:name w:val="MiniTOCTitle"/>
    <w:basedOn w:val="Heading4"/>
    <w:rsid w:val="00FA6EBB"/>
    <w:pPr>
      <w:spacing w:before="240"/>
      <w:outlineLvl w:val="9"/>
    </w:pPr>
    <w:rPr>
      <w:noProof/>
      <w:sz w:val="24"/>
    </w:rPr>
  </w:style>
  <w:style w:type="paragraph" w:customStyle="1" w:styleId="MiniTOCItem">
    <w:name w:val="MiniTOCItem"/>
    <w:basedOn w:val="ListBullet"/>
    <w:rsid w:val="00FA6EBB"/>
    <w:pPr>
      <w:numPr>
        <w:numId w:val="0"/>
      </w:numPr>
      <w:tabs>
        <w:tab w:val="right" w:leader="dot" w:pos="6521"/>
      </w:tabs>
      <w:spacing w:before="0" w:after="0"/>
    </w:pPr>
  </w:style>
  <w:style w:type="paragraph" w:customStyle="1" w:styleId="TOFTitle">
    <w:name w:val="TOFTitle"/>
    <w:basedOn w:val="TOCTitle"/>
    <w:rsid w:val="00FA6EBB"/>
  </w:style>
  <w:style w:type="paragraph" w:styleId="TableofFigures">
    <w:name w:val="table of figures"/>
    <w:basedOn w:val="Normal"/>
    <w:next w:val="Normal"/>
    <w:semiHidden/>
    <w:rsid w:val="00FA6EBB"/>
    <w:pPr>
      <w:tabs>
        <w:tab w:val="right" w:leader="dot" w:pos="9072"/>
      </w:tabs>
      <w:ind w:left="970" w:hanging="403"/>
    </w:pPr>
    <w:rPr>
      <w:rFonts w:ascii="Times New Roman" w:hAnsi="Times New Roman"/>
      <w:b/>
    </w:rPr>
  </w:style>
  <w:style w:type="paragraph" w:styleId="ListNumber">
    <w:name w:val="List Number"/>
    <w:basedOn w:val="List"/>
    <w:rsid w:val="00FA6EBB"/>
    <w:pPr>
      <w:numPr>
        <w:numId w:val="11"/>
      </w:numPr>
    </w:pPr>
  </w:style>
  <w:style w:type="character" w:customStyle="1" w:styleId="WingdingSymbols">
    <w:name w:val="Wingding Symbols"/>
    <w:rsid w:val="00FA6EBB"/>
    <w:rPr>
      <w:rFonts w:ascii="Wingdings" w:hAnsi="Wingdings"/>
    </w:rPr>
  </w:style>
  <w:style w:type="paragraph" w:customStyle="1" w:styleId="TableHeading">
    <w:name w:val="Table Heading"/>
    <w:basedOn w:val="HeadingBase"/>
    <w:rsid w:val="00FA6EBB"/>
    <w:pPr>
      <w:keepLines/>
      <w:pBdr>
        <w:bottom w:val="single" w:sz="6" w:space="1" w:color="918585"/>
      </w:pBdr>
      <w:spacing w:before="240"/>
    </w:pPr>
  </w:style>
  <w:style w:type="character" w:customStyle="1" w:styleId="HotSpot">
    <w:name w:val="HotSpot"/>
    <w:rsid w:val="00FA6EBB"/>
    <w:rPr>
      <w:color w:val="0033CC"/>
      <w:u w:val="none"/>
    </w:rPr>
  </w:style>
  <w:style w:type="paragraph" w:customStyle="1" w:styleId="BodyTextRight">
    <w:name w:val="Body Text Right"/>
    <w:basedOn w:val="BodyText"/>
    <w:rsid w:val="00FA6EBB"/>
    <w:pPr>
      <w:spacing w:before="0" w:after="0"/>
      <w:jc w:val="right"/>
    </w:pPr>
  </w:style>
  <w:style w:type="paragraph" w:styleId="Index3">
    <w:name w:val="index 3"/>
    <w:basedOn w:val="ListNumber2"/>
    <w:next w:val="Normal"/>
    <w:semiHidden/>
    <w:rsid w:val="00FA6EBB"/>
    <w:pPr>
      <w:numPr>
        <w:numId w:val="0"/>
      </w:numPr>
      <w:tabs>
        <w:tab w:val="right" w:leader="dot" w:pos="4176"/>
      </w:tabs>
    </w:pPr>
  </w:style>
  <w:style w:type="paragraph" w:styleId="ListNumber2">
    <w:name w:val="List Number 2"/>
    <w:basedOn w:val="List2"/>
    <w:rsid w:val="00FA6EBB"/>
    <w:pPr>
      <w:numPr>
        <w:numId w:val="10"/>
      </w:numPr>
      <w:tabs>
        <w:tab w:val="clear" w:pos="1060"/>
      </w:tabs>
    </w:pPr>
  </w:style>
  <w:style w:type="paragraph" w:customStyle="1" w:styleId="MarginNote">
    <w:name w:val="Margin Note"/>
    <w:basedOn w:val="BodyText"/>
    <w:rsid w:val="00FA6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EBB"/>
    <w:rPr>
      <w:sz w:val="32"/>
    </w:rPr>
  </w:style>
  <w:style w:type="paragraph" w:customStyle="1" w:styleId="HeadingProcedure">
    <w:name w:val="Heading Procedure"/>
    <w:basedOn w:val="HeadingBase"/>
    <w:next w:val="Normal"/>
    <w:rsid w:val="00FA6EBB"/>
    <w:pPr>
      <w:tabs>
        <w:tab w:val="left" w:pos="0"/>
      </w:tabs>
      <w:spacing w:before="120" w:after="60"/>
    </w:pPr>
    <w:rPr>
      <w:i/>
      <w:color w:val="918585"/>
      <w:sz w:val="22"/>
    </w:rPr>
  </w:style>
  <w:style w:type="paragraph" w:customStyle="1" w:styleId="TableBodyText">
    <w:name w:val="Table Body Text"/>
    <w:basedOn w:val="BodyText"/>
    <w:rsid w:val="00FA6EBB"/>
    <w:pPr>
      <w:spacing w:before="60" w:after="60"/>
    </w:pPr>
  </w:style>
  <w:style w:type="paragraph" w:styleId="ListContinue">
    <w:name w:val="List Continue"/>
    <w:basedOn w:val="List"/>
    <w:rsid w:val="00FA6EBB"/>
    <w:pPr>
      <w:ind w:firstLine="0"/>
    </w:pPr>
  </w:style>
  <w:style w:type="paragraph" w:customStyle="1" w:styleId="ListNote">
    <w:name w:val="List Note"/>
    <w:basedOn w:val="List"/>
    <w:rsid w:val="00FA6EBB"/>
    <w:pPr>
      <w:pBdr>
        <w:top w:val="single" w:sz="6" w:space="2" w:color="918585"/>
        <w:bottom w:val="single" w:sz="6" w:space="2" w:color="918585"/>
      </w:pBdr>
      <w:tabs>
        <w:tab w:val="left" w:pos="1021"/>
      </w:tabs>
      <w:ind w:firstLine="0"/>
    </w:pPr>
  </w:style>
  <w:style w:type="paragraph" w:customStyle="1" w:styleId="Warning">
    <w:name w:val="Warning"/>
    <w:basedOn w:val="BodyText"/>
    <w:rsid w:val="00FA6EBB"/>
    <w:pPr>
      <w:shd w:val="clear" w:color="auto" w:fill="D9D9D9"/>
      <w:tabs>
        <w:tab w:val="left" w:pos="992"/>
      </w:tabs>
      <w:ind w:left="119" w:right="119"/>
    </w:pPr>
    <w:rPr>
      <w:sz w:val="20"/>
    </w:rPr>
  </w:style>
  <w:style w:type="paragraph" w:customStyle="1" w:styleId="MarginIcons">
    <w:name w:val="Margin Icons"/>
    <w:basedOn w:val="BodyText"/>
    <w:rsid w:val="00FA6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EBB"/>
    <w:rPr>
      <w:rFonts w:ascii="Courier New" w:hAnsi="Courier New"/>
    </w:rPr>
  </w:style>
  <w:style w:type="paragraph" w:customStyle="1" w:styleId="NoteBullet">
    <w:name w:val="Note Bullet"/>
    <w:basedOn w:val="Note"/>
    <w:rsid w:val="00FA6EBB"/>
    <w:pPr>
      <w:tabs>
        <w:tab w:val="clear" w:pos="680"/>
      </w:tabs>
      <w:spacing w:before="60" w:after="60"/>
    </w:pPr>
  </w:style>
  <w:style w:type="paragraph" w:customStyle="1" w:styleId="SubHeading2">
    <w:name w:val="SubHeading2"/>
    <w:basedOn w:val="HeadingBase"/>
    <w:rsid w:val="00FA6EBB"/>
    <w:pPr>
      <w:spacing w:before="240" w:after="60"/>
    </w:pPr>
    <w:rPr>
      <w:sz w:val="20"/>
    </w:rPr>
  </w:style>
  <w:style w:type="paragraph" w:customStyle="1" w:styleId="SubHeading1">
    <w:name w:val="SubHeading1"/>
    <w:basedOn w:val="HeadingBase"/>
    <w:rsid w:val="00FA6EBB"/>
    <w:pPr>
      <w:spacing w:before="240" w:after="60"/>
    </w:pPr>
    <w:rPr>
      <w:color w:val="918585"/>
      <w:sz w:val="22"/>
    </w:rPr>
  </w:style>
  <w:style w:type="paragraph" w:customStyle="1" w:styleId="SideHeading">
    <w:name w:val="Side Heading"/>
    <w:basedOn w:val="HeadingBase"/>
    <w:rsid w:val="00FA6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EBB"/>
    <w:pPr>
      <w:numPr>
        <w:numId w:val="12"/>
      </w:numPr>
    </w:pPr>
  </w:style>
  <w:style w:type="paragraph" w:styleId="PlainText">
    <w:name w:val="Plain Text"/>
    <w:basedOn w:val="Normal"/>
    <w:link w:val="PlainTextChar"/>
    <w:rsid w:val="00FA6EBB"/>
    <w:rPr>
      <w:sz w:val="20"/>
    </w:rPr>
  </w:style>
  <w:style w:type="character" w:customStyle="1" w:styleId="PlainTextChar">
    <w:name w:val="Plain Text Char"/>
    <w:basedOn w:val="DefaultParagraphFont"/>
    <w:link w:val="PlainText"/>
    <w:rsid w:val="00FA6EBB"/>
    <w:rPr>
      <w:rFonts w:ascii="Courier New" w:eastAsia="Times New Roman" w:hAnsi="Courier New" w:cs="Times New Roman"/>
      <w:sz w:val="20"/>
      <w:szCs w:val="20"/>
      <w:lang w:eastAsia="en-US"/>
    </w:rPr>
  </w:style>
  <w:style w:type="character" w:customStyle="1" w:styleId="MenuOption">
    <w:name w:val="Menu Option"/>
    <w:basedOn w:val="DefaultParagraphFont"/>
    <w:rsid w:val="00FA6EBB"/>
    <w:rPr>
      <w:b/>
      <w:smallCaps/>
    </w:rPr>
  </w:style>
  <w:style w:type="paragraph" w:customStyle="1" w:styleId="TableListNumber">
    <w:name w:val="Table List Number"/>
    <w:basedOn w:val="ListNumber"/>
    <w:rsid w:val="00FA6EBB"/>
    <w:pPr>
      <w:numPr>
        <w:numId w:val="0"/>
      </w:numPr>
    </w:pPr>
  </w:style>
  <w:style w:type="paragraph" w:styleId="TOC4">
    <w:name w:val="toc 4"/>
    <w:basedOn w:val="TOCBase"/>
    <w:next w:val="Normal"/>
    <w:semiHidden/>
    <w:rsid w:val="00FA6EBB"/>
    <w:pPr>
      <w:tabs>
        <w:tab w:val="right" w:leader="dot" w:pos="9071"/>
      </w:tabs>
      <w:ind w:left="1701"/>
    </w:pPr>
  </w:style>
  <w:style w:type="paragraph" w:customStyle="1" w:styleId="ListAlpha">
    <w:name w:val="List Alpha"/>
    <w:basedOn w:val="List"/>
    <w:rsid w:val="00FA6EBB"/>
    <w:pPr>
      <w:numPr>
        <w:numId w:val="9"/>
      </w:numPr>
    </w:pPr>
  </w:style>
  <w:style w:type="paragraph" w:customStyle="1" w:styleId="ListAlpha2">
    <w:name w:val="List Alpha 2"/>
    <w:basedOn w:val="List2"/>
    <w:rsid w:val="00FA6EBB"/>
    <w:pPr>
      <w:numPr>
        <w:numId w:val="8"/>
      </w:numPr>
    </w:pPr>
  </w:style>
  <w:style w:type="paragraph" w:styleId="List2">
    <w:name w:val="List 2"/>
    <w:basedOn w:val="BodyText"/>
    <w:rsid w:val="00FA6EBB"/>
    <w:pPr>
      <w:tabs>
        <w:tab w:val="left" w:pos="680"/>
      </w:tabs>
      <w:spacing w:before="60" w:after="60"/>
      <w:ind w:left="680" w:hanging="340"/>
    </w:pPr>
  </w:style>
  <w:style w:type="paragraph" w:styleId="List3">
    <w:name w:val="List 3"/>
    <w:basedOn w:val="BodyText"/>
    <w:rsid w:val="00FA6EBB"/>
    <w:pPr>
      <w:tabs>
        <w:tab w:val="left" w:pos="1021"/>
      </w:tabs>
      <w:spacing w:before="60" w:after="60"/>
      <w:ind w:left="1020" w:hanging="340"/>
    </w:pPr>
  </w:style>
  <w:style w:type="paragraph" w:styleId="List4">
    <w:name w:val="List 4"/>
    <w:basedOn w:val="BodyText"/>
    <w:rsid w:val="00FA6EBB"/>
    <w:pPr>
      <w:tabs>
        <w:tab w:val="left" w:pos="1361"/>
      </w:tabs>
      <w:spacing w:before="60" w:after="60"/>
      <w:ind w:left="1361" w:hanging="340"/>
    </w:pPr>
  </w:style>
  <w:style w:type="paragraph" w:styleId="List5">
    <w:name w:val="List 5"/>
    <w:basedOn w:val="BodyText"/>
    <w:rsid w:val="00FA6EBB"/>
    <w:pPr>
      <w:tabs>
        <w:tab w:val="left" w:pos="1701"/>
      </w:tabs>
      <w:spacing w:before="60" w:after="60"/>
      <w:ind w:left="1701" w:hanging="340"/>
    </w:pPr>
  </w:style>
  <w:style w:type="paragraph" w:styleId="ListBullet3">
    <w:name w:val="List Bullet 3"/>
    <w:basedOn w:val="List3"/>
    <w:rsid w:val="00FA6EBB"/>
    <w:pPr>
      <w:numPr>
        <w:numId w:val="15"/>
      </w:numPr>
      <w:tabs>
        <w:tab w:val="clear" w:pos="1021"/>
      </w:tabs>
      <w:ind w:left="1037" w:hanging="357"/>
    </w:pPr>
  </w:style>
  <w:style w:type="paragraph" w:styleId="ListBullet4">
    <w:name w:val="List Bullet 4"/>
    <w:basedOn w:val="List4"/>
    <w:rsid w:val="00FA6EBB"/>
    <w:pPr>
      <w:numPr>
        <w:numId w:val="3"/>
      </w:numPr>
    </w:pPr>
  </w:style>
  <w:style w:type="paragraph" w:styleId="ListBullet5">
    <w:name w:val="List Bullet 5"/>
    <w:basedOn w:val="List5"/>
    <w:rsid w:val="00FA6EBB"/>
    <w:pPr>
      <w:numPr>
        <w:numId w:val="4"/>
      </w:numPr>
    </w:pPr>
  </w:style>
  <w:style w:type="paragraph" w:styleId="ListContinue2">
    <w:name w:val="List Continue 2"/>
    <w:basedOn w:val="List2"/>
    <w:rsid w:val="00FA6EBB"/>
    <w:pPr>
      <w:ind w:firstLine="0"/>
    </w:pPr>
  </w:style>
  <w:style w:type="paragraph" w:styleId="ListContinue3">
    <w:name w:val="List Continue 3"/>
    <w:basedOn w:val="List3"/>
    <w:rsid w:val="00FA6EBB"/>
    <w:pPr>
      <w:ind w:left="1021" w:firstLine="0"/>
    </w:pPr>
  </w:style>
  <w:style w:type="paragraph" w:styleId="ListContinue4">
    <w:name w:val="List Continue 4"/>
    <w:basedOn w:val="List4"/>
    <w:rsid w:val="00FA6EBB"/>
    <w:pPr>
      <w:ind w:firstLine="0"/>
    </w:pPr>
  </w:style>
  <w:style w:type="paragraph" w:styleId="ListContinue5">
    <w:name w:val="List Continue 5"/>
    <w:basedOn w:val="List5"/>
    <w:rsid w:val="00FA6EBB"/>
    <w:pPr>
      <w:ind w:firstLine="0"/>
    </w:pPr>
  </w:style>
  <w:style w:type="paragraph" w:styleId="ListNumber3">
    <w:name w:val="List Number 3"/>
    <w:basedOn w:val="List3"/>
    <w:rsid w:val="00FA6EBB"/>
    <w:pPr>
      <w:numPr>
        <w:numId w:val="5"/>
      </w:numPr>
    </w:pPr>
  </w:style>
  <w:style w:type="paragraph" w:styleId="ListNumber4">
    <w:name w:val="List Number 4"/>
    <w:basedOn w:val="List4"/>
    <w:rsid w:val="00FA6EBB"/>
    <w:pPr>
      <w:numPr>
        <w:numId w:val="6"/>
      </w:numPr>
    </w:pPr>
  </w:style>
  <w:style w:type="paragraph" w:styleId="ListNumber5">
    <w:name w:val="List Number 5"/>
    <w:basedOn w:val="List5"/>
    <w:rsid w:val="00FA6EBB"/>
    <w:pPr>
      <w:numPr>
        <w:numId w:val="7"/>
      </w:numPr>
    </w:pPr>
  </w:style>
  <w:style w:type="paragraph" w:styleId="BlockText">
    <w:name w:val="Block Text"/>
    <w:basedOn w:val="Normal"/>
    <w:rsid w:val="00FA6EBB"/>
    <w:pPr>
      <w:spacing w:after="120"/>
      <w:ind w:left="1440" w:right="1440"/>
    </w:pPr>
  </w:style>
  <w:style w:type="character" w:customStyle="1" w:styleId="Subscript">
    <w:name w:val="Subscript"/>
    <w:basedOn w:val="DefaultParagraphFont"/>
    <w:rsid w:val="00FA6EBB"/>
    <w:rPr>
      <w:sz w:val="16"/>
      <w:vertAlign w:val="subscript"/>
    </w:rPr>
  </w:style>
  <w:style w:type="character" w:customStyle="1" w:styleId="Superscript">
    <w:name w:val="Superscript"/>
    <w:basedOn w:val="DefaultParagraphFont"/>
    <w:rsid w:val="00FA6EBB"/>
    <w:rPr>
      <w:sz w:val="16"/>
      <w:vertAlign w:val="superscript"/>
    </w:rPr>
  </w:style>
  <w:style w:type="character" w:customStyle="1" w:styleId="Symbols">
    <w:name w:val="Symbols"/>
    <w:basedOn w:val="DefaultParagraphFont"/>
    <w:rsid w:val="00FA6EBB"/>
    <w:rPr>
      <w:rFonts w:ascii="Symbol" w:hAnsi="Symbol"/>
    </w:rPr>
  </w:style>
  <w:style w:type="character" w:customStyle="1" w:styleId="MenuOptions">
    <w:name w:val="Menu Options"/>
    <w:basedOn w:val="DefaultParagraphFont"/>
    <w:rsid w:val="00FA6EBB"/>
    <w:rPr>
      <w:rFonts w:ascii="Arial Narrow" w:hAnsi="Arial Narrow"/>
      <w:smallCaps/>
    </w:rPr>
  </w:style>
  <w:style w:type="character" w:customStyle="1" w:styleId="Buttons">
    <w:name w:val="Buttons"/>
    <w:basedOn w:val="DefaultParagraphFont"/>
    <w:rsid w:val="00FA6EBB"/>
    <w:rPr>
      <w:b/>
    </w:rPr>
  </w:style>
  <w:style w:type="character" w:customStyle="1" w:styleId="Underlined">
    <w:name w:val="Underlined"/>
    <w:basedOn w:val="DefaultParagraphFont"/>
    <w:rsid w:val="00FA6EBB"/>
    <w:rPr>
      <w:u w:val="single"/>
    </w:rPr>
  </w:style>
  <w:style w:type="paragraph" w:customStyle="1" w:styleId="TableBodyTextRight">
    <w:name w:val="Table Body Text Right"/>
    <w:basedOn w:val="TableBodyText"/>
    <w:rsid w:val="00FA6EBB"/>
    <w:pPr>
      <w:widowControl w:val="0"/>
      <w:autoSpaceDE w:val="0"/>
      <w:autoSpaceDN w:val="0"/>
      <w:adjustRightInd w:val="0"/>
      <w:jc w:val="right"/>
    </w:pPr>
    <w:rPr>
      <w:rFonts w:cs="Arial"/>
      <w:szCs w:val="18"/>
    </w:rPr>
  </w:style>
  <w:style w:type="paragraph" w:customStyle="1" w:styleId="CopyrightText">
    <w:name w:val="Copyright Text"/>
    <w:basedOn w:val="BodyText"/>
    <w:rsid w:val="00FA6EBB"/>
    <w:rPr>
      <w:sz w:val="18"/>
    </w:rPr>
  </w:style>
  <w:style w:type="paragraph" w:customStyle="1" w:styleId="BodySmallRight">
    <w:name w:val="Body Small Right"/>
    <w:basedOn w:val="BodyTextRight"/>
    <w:rsid w:val="00FA6EBB"/>
    <w:rPr>
      <w:sz w:val="18"/>
      <w:szCs w:val="18"/>
    </w:rPr>
  </w:style>
  <w:style w:type="paragraph" w:customStyle="1" w:styleId="MarginEdition">
    <w:name w:val="Margin Edition"/>
    <w:basedOn w:val="MarginNote"/>
    <w:rsid w:val="00FA6EBB"/>
    <w:pPr>
      <w:spacing w:before="0" w:after="0"/>
    </w:pPr>
    <w:rPr>
      <w:rFonts w:ascii="Times New Roman" w:hAnsi="Times New Roman"/>
      <w:color w:val="999999"/>
    </w:rPr>
  </w:style>
  <w:style w:type="paragraph" w:customStyle="1" w:styleId="Spacer">
    <w:name w:val="Spacer"/>
    <w:basedOn w:val="Normal"/>
    <w:rsid w:val="00FA6EBB"/>
    <w:rPr>
      <w:sz w:val="2"/>
      <w:szCs w:val="2"/>
    </w:rPr>
  </w:style>
  <w:style w:type="character" w:customStyle="1" w:styleId="Small">
    <w:name w:val="Small"/>
    <w:basedOn w:val="DefaultParagraphFont"/>
    <w:rsid w:val="00FA6EBB"/>
    <w:rPr>
      <w:sz w:val="16"/>
    </w:rPr>
  </w:style>
  <w:style w:type="paragraph" w:customStyle="1" w:styleId="WideTable">
    <w:name w:val="Wide Table"/>
    <w:basedOn w:val="Normal"/>
    <w:rsid w:val="00FA6EBB"/>
    <w:pPr>
      <w:ind w:left="-1418"/>
    </w:pPr>
    <w:rPr>
      <w:sz w:val="2"/>
      <w:szCs w:val="2"/>
    </w:rPr>
  </w:style>
  <w:style w:type="character" w:styleId="PageNumber">
    <w:name w:val="page number"/>
    <w:basedOn w:val="DefaultParagraphFont"/>
    <w:rsid w:val="00FA6EBB"/>
  </w:style>
  <w:style w:type="paragraph" w:styleId="Quote">
    <w:name w:val="Quote"/>
    <w:basedOn w:val="Heading1"/>
    <w:link w:val="QuoteChar"/>
    <w:qFormat/>
    <w:rsid w:val="00FA6EBB"/>
    <w:rPr>
      <w:b w:val="0"/>
      <w:sz w:val="72"/>
      <w:szCs w:val="72"/>
      <w:lang w:val="en-NZ"/>
    </w:rPr>
  </w:style>
  <w:style w:type="character" w:customStyle="1" w:styleId="QuoteChar">
    <w:name w:val="Quote Char"/>
    <w:basedOn w:val="DefaultParagraphFont"/>
    <w:link w:val="Quote"/>
    <w:rsid w:val="00FA6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EBB"/>
    <w:pPr>
      <w:pageBreakBefore/>
    </w:pPr>
  </w:style>
  <w:style w:type="paragraph" w:customStyle="1" w:styleId="Border">
    <w:name w:val="Border"/>
    <w:basedOn w:val="Normal"/>
    <w:qFormat/>
    <w:rsid w:val="00FA6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EBB"/>
    <w:rPr>
      <w:b/>
      <w:bCs/>
      <w:i/>
      <w:iCs/>
      <w:color w:val="auto"/>
    </w:rPr>
  </w:style>
  <w:style w:type="paragraph" w:styleId="IntenseQuote">
    <w:name w:val="Intense Quote"/>
    <w:basedOn w:val="Normal"/>
    <w:next w:val="Normal"/>
    <w:link w:val="IntenseQuoteChar"/>
    <w:uiPriority w:val="30"/>
    <w:qFormat/>
    <w:rsid w:val="00FA6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EBB"/>
    <w:rPr>
      <w:smallCaps/>
      <w:color w:val="auto"/>
      <w:u w:val="single"/>
    </w:rPr>
  </w:style>
  <w:style w:type="character" w:styleId="IntenseReference">
    <w:name w:val="Intense Reference"/>
    <w:basedOn w:val="DefaultParagraphFont"/>
    <w:uiPriority w:val="32"/>
    <w:qFormat/>
    <w:rsid w:val="00FA6EBB"/>
    <w:rPr>
      <w:b/>
      <w:bCs/>
      <w:smallCaps/>
      <w:color w:val="auto"/>
      <w:spacing w:val="5"/>
      <w:u w:val="single"/>
    </w:rPr>
  </w:style>
  <w:style w:type="paragraph" w:customStyle="1" w:styleId="2ColumnHeading">
    <w:name w:val="2Column Heading"/>
    <w:basedOn w:val="BodyText"/>
    <w:qFormat/>
    <w:rsid w:val="00FA6EBB"/>
    <w:pPr>
      <w:spacing w:after="60"/>
      <w:ind w:left="-2268"/>
    </w:pPr>
    <w:rPr>
      <w:b/>
    </w:rPr>
  </w:style>
  <w:style w:type="paragraph" w:customStyle="1" w:styleId="Heading1TOC">
    <w:name w:val="Heading1 TOC"/>
    <w:basedOn w:val="Normal"/>
    <w:qFormat/>
    <w:rsid w:val="00FA6EBB"/>
    <w:pPr>
      <w:spacing w:before="240" w:after="120"/>
    </w:pPr>
    <w:rPr>
      <w:rFonts w:ascii="Times New Roman" w:hAnsi="Times New Roman"/>
      <w:b/>
      <w:sz w:val="32"/>
    </w:rPr>
  </w:style>
  <w:style w:type="paragraph" w:customStyle="1" w:styleId="Heading2TOC">
    <w:name w:val="Heading2 TOC"/>
    <w:basedOn w:val="Normal"/>
    <w:qFormat/>
    <w:rsid w:val="00FA6EBB"/>
    <w:pPr>
      <w:spacing w:before="240" w:after="60"/>
    </w:pPr>
    <w:rPr>
      <w:rFonts w:ascii="Times New Roman" w:hAnsi="Times New Roman"/>
      <w:b/>
      <w:sz w:val="28"/>
    </w:rPr>
  </w:style>
  <w:style w:type="character" w:customStyle="1" w:styleId="Underline">
    <w:name w:val="Underline"/>
    <w:basedOn w:val="DefaultParagraphFont"/>
    <w:qFormat/>
    <w:rsid w:val="00FA6EBB"/>
    <w:rPr>
      <w:u w:val="single"/>
    </w:rPr>
  </w:style>
  <w:style w:type="character" w:customStyle="1" w:styleId="BoldandItalics">
    <w:name w:val="Bold and Italics"/>
    <w:qFormat/>
    <w:rsid w:val="00FA6EBB"/>
    <w:rPr>
      <w:b/>
      <w:i/>
      <w:u w:val="none"/>
    </w:rPr>
  </w:style>
  <w:style w:type="paragraph" w:styleId="BalloonText">
    <w:name w:val="Balloon Text"/>
    <w:basedOn w:val="Normal"/>
    <w:link w:val="BalloonTextChar"/>
    <w:rsid w:val="00FA6EBB"/>
    <w:rPr>
      <w:rFonts w:ascii="Tahoma" w:hAnsi="Tahoma" w:cs="Tahoma"/>
      <w:sz w:val="16"/>
      <w:szCs w:val="16"/>
    </w:rPr>
  </w:style>
  <w:style w:type="character" w:customStyle="1" w:styleId="BalloonTextChar">
    <w:name w:val="Balloon Text Char"/>
    <w:basedOn w:val="DefaultParagraphFont"/>
    <w:link w:val="BalloonText"/>
    <w:rsid w:val="00FA6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EBB"/>
    <w:rPr>
      <w:b/>
      <w:color w:val="660033"/>
      <w:spacing w:val="0"/>
    </w:rPr>
  </w:style>
  <w:style w:type="paragraph" w:customStyle="1" w:styleId="Nameditemlist">
    <w:name w:val="Named item list"/>
    <w:basedOn w:val="BodyText"/>
    <w:qFormat/>
    <w:rsid w:val="00FA6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2921</Words>
  <Characters>18243</Characters>
  <Application>Microsoft Office Word</Application>
  <DocSecurity>0</DocSecurity>
  <Lines>757</Lines>
  <Paragraphs>293</Paragraphs>
  <ScaleCrop>false</ScaleCrop>
  <Company>Author-it Software Corporation Ltd.</Company>
  <LinksUpToDate>false</LinksUpToDate>
  <CharactersWithSpaces>20922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UETTDRDP05B Inspect, maintain and restore energised LV overhead distribution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2012-10-10T08:00:00Z</dcterms:created>
  <dcterms:modified xsi:type="dcterms:W3CDTF">2012-10-10T08:00:00Z</dcterms:modified>
</cp:coreProperties>
</file>