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CFB" w:rsidP="00824CFB">
      <w:pPr>
        <w:pStyle w:val="Title"/>
      </w:pPr>
      <w:bookmarkStart w:id="0" w:name="_GoBack"/>
      <w:bookmarkEnd w:id="0"/>
      <w:r>
        <w:fldChar w:fldCharType="begin"/>
      </w:r>
      <w:r>
        <w:instrText xml:space="preserve"> TITLE   \* MERGEFORMAT </w:instrText>
      </w:r>
      <w:r>
        <w:fldChar w:fldCharType="separate"/>
      </w:r>
      <w:r>
        <w:t>UETTDRDP04B Maintain energised high voltage distribution overhead electrical apparatus (glove)</w:t>
      </w:r>
      <w:r>
        <w:fldChar w:fldCharType="end"/>
      </w:r>
    </w:p>
    <w:p w:rsidR="00824CFB" w:rsidP="00824CFB">
      <w:pPr>
        <w:pStyle w:val="Version"/>
        <w:sectPr w:rsidSect="008E72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2F0" w:rsidP="008E72F0">
      <w:pPr>
        <w:pStyle w:val="SuperHeading"/>
      </w:pPr>
      <w:r w:rsidRPr="008E72F0">
        <w:t>UETTDRDP04B Maintain energised high voltage distribution overhead electrical apparatus (glove)</w:t>
      </w:r>
    </w:p>
    <w:p w:rsidR="00000000" w:rsidRPr="008E72F0" w:rsidP="008E72F0">
      <w:pPr>
        <w:pStyle w:val="Heading1"/>
      </w:pPr>
      <w:bookmarkStart w:id="1" w:name="O_275428"/>
      <w:bookmarkEnd w:id="1"/>
      <w:r w:rsidRPr="008E72F0">
        <w:t>Modification History</w:t>
      </w:r>
    </w:p>
    <w:p w:rsidR="00000000" w:rsidRPr="008E72F0" w:rsidP="008E72F0">
      <w:pPr>
        <w:pStyle w:val="BodyText"/>
      </w:pPr>
      <w:r w:rsidRPr="008E72F0">
        <w:t>Not Applicable</w:t>
      </w:r>
    </w:p>
    <w:p w:rsidR="00000000" w:rsidRPr="008E72F0" w:rsidP="008E72F0">
      <w:pPr>
        <w:pStyle w:val="AllowPageBreak"/>
      </w:pPr>
    </w:p>
    <w:p w:rsidR="00000000" w:rsidRPr="008E72F0" w:rsidP="008E72F0">
      <w:pPr>
        <w:pStyle w:val="Heading1"/>
      </w:pPr>
      <w:bookmarkStart w:id="2" w:name="O_231144"/>
      <w:bookmarkEnd w:id="2"/>
      <w:r w:rsidRPr="008E72F0">
        <w:t>Unit Descriptor</w:t>
      </w:r>
    </w:p>
    <w:tbl>
      <w:tblPr>
        <w:tblW w:w="0" w:type="auto"/>
        <w:tblLayout w:type="fixed"/>
        <w:tblCellMar>
          <w:left w:w="62" w:type="dxa"/>
          <w:right w:w="62" w:type="dxa"/>
        </w:tblCellMar>
        <w:tblLook w:val="0000"/>
      </w:tblPr>
      <w:tblGrid>
        <w:gridCol w:w="2758"/>
        <w:gridCol w:w="5882"/>
      </w:tblGrid>
      <w:tr w:rsidTr="00824CF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1</w:t>
            </w:r>
            <w:r w:rsidRPr="008E72F0">
              <w:t xml:space="preserve">) </w:t>
            </w:r>
          </w:p>
          <w:p w:rsidR="00000000" w:rsidP="008E72F0">
            <w:pPr>
              <w:pStyle w:val="BodyText"/>
              <w:rPr>
                <w:lang w:val="en-NZ"/>
              </w:rPr>
            </w:pPr>
            <w:r w:rsidRPr="008E72F0">
              <w:rPr>
                <w:rStyle w:val="SpecialBold"/>
              </w:rPr>
              <w:t>1</w:t>
            </w:r>
            <w:r w:rsidRPr="008E72F0">
              <w:t>.</w:t>
            </w:r>
            <w:r w:rsidRPr="008E72F0">
              <w:rPr>
                <w:rStyle w:val="SpecialBold"/>
              </w:rPr>
              <w:t>1</w:t>
            </w:r>
            <w:r w:rsidRPr="008E72F0">
              <w:t xml:space="preserve">) </w:t>
            </w:r>
            <w:r w:rsidRPr="008E72F0">
              <w:rPr>
                <w:rStyle w:val="SpecialBold"/>
              </w:rPr>
              <w:t>Descriptor</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 xml:space="preserve">This Competency Standard Unit covers the maintenance of energised high voltage distribution overhead electrical apparatus using high voltage live line glove and barrier method and includes the verification of the site conditions and the potential hazards, </w:t>
            </w:r>
            <w:r w:rsidRPr="008E72F0">
              <w:t>the conformation and calculation of physical loads and the selection of appropriate and authorised work method. It includes the preparation and cleaning of specialist material and tools in accordance with authorised technical instructions. It also encompas</w:t>
            </w:r>
            <w:r w:rsidRPr="008E72F0">
              <w:t>ses the undertaking of OHS and safe working practices and the rendering inoperative of the automatic re-closing device including its restoration in accordance with the work plan and the procedure of issuing/accepting electrical access permits and or releva</w:t>
            </w:r>
            <w:r w:rsidRPr="008E72F0">
              <w:t>nt working documents.</w:t>
            </w:r>
          </w:p>
        </w:tc>
      </w:tr>
    </w:tbl>
    <w:p w:rsidR="00824CFB" w:rsidP="008E72F0">
      <w:pPr>
        <w:pStyle w:val="BodyText"/>
      </w:pPr>
    </w:p>
    <w:p w:rsidR="00824CFB" w:rsidP="008E72F0">
      <w:pPr>
        <w:pStyle w:val="BodyText"/>
      </w:pPr>
    </w:p>
    <w:p w:rsidR="00000000" w:rsidRPr="008E72F0" w:rsidP="008E72F0">
      <w:pPr>
        <w:pStyle w:val="Heading1"/>
      </w:pPr>
      <w:bookmarkStart w:id="3" w:name="O_231149"/>
      <w:bookmarkEnd w:id="3"/>
      <w:r w:rsidRPr="008E72F0">
        <w:t>Application of the Unit</w:t>
      </w:r>
    </w:p>
    <w:tbl>
      <w:tblPr>
        <w:tblW w:w="0" w:type="auto"/>
        <w:tblLayout w:type="fixed"/>
        <w:tblCellMar>
          <w:left w:w="62" w:type="dxa"/>
          <w:right w:w="62" w:type="dxa"/>
        </w:tblCellMar>
        <w:tblLook w:val="0000"/>
      </w:tblPr>
      <w:tblGrid>
        <w:gridCol w:w="2758"/>
        <w:gridCol w:w="5882"/>
      </w:tblGrid>
      <w:tr w:rsidTr="00824CF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4</w:t>
            </w:r>
            <w:r w:rsidRPr="008E72F0">
              <w:t>)</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This Competency Standard Unit is intended to augment formally acquired competencies. It is suitable for employment-based programs under an approved contract of t</w:t>
            </w:r>
            <w:r w:rsidRPr="008E72F0">
              <w:t>raining.</w:t>
            </w:r>
          </w:p>
        </w:tc>
      </w:tr>
    </w:tbl>
    <w:p w:rsidR="00824CFB" w:rsidP="008E72F0">
      <w:pPr>
        <w:pStyle w:val="BodyText"/>
      </w:pPr>
    </w:p>
    <w:p w:rsidR="00824CFB" w:rsidP="008E72F0">
      <w:pPr>
        <w:pStyle w:val="BodyText"/>
      </w:pPr>
    </w:p>
    <w:p w:rsidR="00000000" w:rsidRPr="008E72F0" w:rsidP="008E72F0">
      <w:pPr>
        <w:pStyle w:val="Heading1"/>
      </w:pPr>
      <w:bookmarkStart w:id="4" w:name="O_231145"/>
      <w:bookmarkEnd w:id="4"/>
      <w:r w:rsidRPr="008E72F0">
        <w:t>Licensing/Regulatory Information</w:t>
      </w:r>
    </w:p>
    <w:tbl>
      <w:tblPr>
        <w:tblW w:w="0" w:type="auto"/>
        <w:tblLayout w:type="fixed"/>
        <w:tblCellMar>
          <w:left w:w="62" w:type="dxa"/>
          <w:right w:w="62" w:type="dxa"/>
        </w:tblCellMar>
        <w:tblLook w:val="0000"/>
      </w:tblPr>
      <w:tblGrid>
        <w:gridCol w:w="8640"/>
      </w:tblGrid>
      <w:tr w:rsidTr="00824CF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1</w:t>
            </w:r>
            <w:r w:rsidRPr="008E72F0">
              <w:t>.</w:t>
            </w:r>
            <w:r w:rsidRPr="008E72F0">
              <w:rPr>
                <w:rStyle w:val="SpecialBold"/>
              </w:rPr>
              <w:t>2</w:t>
            </w:r>
            <w:r w:rsidRPr="008E72F0">
              <w:t xml:space="preserve">) </w:t>
            </w:r>
            <w:r w:rsidRPr="008E72F0">
              <w:rPr>
                <w:rStyle w:val="SpecialBold"/>
              </w:rPr>
              <w:t>License to practice</w:t>
            </w:r>
          </w:p>
        </w:tc>
      </w:tr>
      <w:tr w:rsidTr="00824C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 xml:space="preserve">The skills and knowledge described in this unit may require a licence/registration to practice in the work place subject to regulations for </w:t>
            </w:r>
            <w:r w:rsidRPr="008E72F0">
              <w:t>undertaking of electrical work. Practice in workplace and during training is also subject to regulations directly related to Occupational Health and Safety, electricity/telecommunications/gas/water industry safety and compliance, industrial relations, envi</w:t>
            </w:r>
            <w:r w:rsidRPr="008E72F0">
              <w:t>ronmental protection, anti discrimination and training. Commonwealth, State/Territory or Local Government legislation and regulations may exist that limits the age of operating certain equipment.</w:t>
            </w:r>
          </w:p>
        </w:tc>
      </w:tr>
    </w:tbl>
    <w:p w:rsidR="00824CFB" w:rsidP="008E72F0">
      <w:pPr>
        <w:pStyle w:val="BodyText"/>
      </w:pPr>
    </w:p>
    <w:p w:rsidR="00824CFB" w:rsidP="008E72F0">
      <w:pPr>
        <w:pStyle w:val="BodyText"/>
      </w:pPr>
    </w:p>
    <w:p w:rsidR="00000000" w:rsidRPr="008E72F0" w:rsidP="008E72F0">
      <w:pPr>
        <w:pStyle w:val="Heading1"/>
      </w:pPr>
      <w:bookmarkStart w:id="5" w:name="O_231146"/>
      <w:bookmarkEnd w:id="5"/>
      <w:r w:rsidRPr="008E72F0">
        <w:t>Pre-Requisites</w:t>
      </w:r>
    </w:p>
    <w:tbl>
      <w:tblPr>
        <w:tblW w:w="0" w:type="auto"/>
        <w:tblLayout w:type="fixed"/>
        <w:tblCellMar>
          <w:left w:w="62" w:type="dxa"/>
          <w:right w:w="62" w:type="dxa"/>
        </w:tblCellMar>
        <w:tblLook w:val="0000"/>
      </w:tblPr>
      <w:tblGrid>
        <w:gridCol w:w="2758"/>
        <w:gridCol w:w="735"/>
        <w:gridCol w:w="2022"/>
        <w:gridCol w:w="3125"/>
      </w:tblGrid>
      <w:tr w:rsidTr="00824CF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Prerequisite Unit</w:t>
            </w:r>
            <w:r w:rsidRPr="008E72F0">
              <w:t>(</w:t>
            </w:r>
            <w:r w:rsidRPr="008E72F0">
              <w:rPr>
                <w:rStyle w:val="SpecialBold"/>
              </w:rPr>
              <w:t>s</w:t>
            </w:r>
            <w:r w:rsidRPr="008E72F0">
              <w:t>)</w:t>
            </w:r>
          </w:p>
        </w:tc>
        <w:tc>
          <w:tcPr>
            <w:tcW w:w="5882" w:type="dxa"/>
            <w:gridSpan w:val="3"/>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2</w:t>
            </w:r>
            <w:r w:rsidRPr="008E72F0">
              <w:t xml:space="preserve">) </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8E72F0">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2</w:t>
            </w:r>
            <w:r w:rsidRPr="008E72F0">
              <w:t>.</w:t>
            </w:r>
            <w:r w:rsidRPr="008E72F0">
              <w:rPr>
                <w:rStyle w:val="SpecialBold"/>
              </w:rPr>
              <w:t>1</w:t>
            </w:r>
            <w:r w:rsidRPr="008E72F0">
              <w:t xml:space="preserve">) </w:t>
            </w:r>
            <w:r w:rsidRPr="008E72F0">
              <w:rPr>
                <w:rStyle w:val="SpecialBold"/>
              </w:rPr>
              <w:t>Competencies</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Granting of competency in this unit shall be made only after competency in the following unit(s) has/have been confirmed:.</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BSBWOR402A</w:t>
            </w:r>
          </w:p>
        </w:tc>
        <w:tc>
          <w:tcPr>
            <w:tcW w:w="3125"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Promote team effectiveness</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and</w:t>
            </w:r>
          </w:p>
        </w:tc>
        <w:tc>
          <w:tcPr>
            <w:tcW w:w="2022"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UETTDRDP02B</w:t>
            </w:r>
          </w:p>
        </w:tc>
        <w:tc>
          <w:tcPr>
            <w:tcW w:w="3125"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Maintain overhead energised low voltage conductors and cables</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and</w:t>
            </w:r>
          </w:p>
        </w:tc>
        <w:tc>
          <w:tcPr>
            <w:tcW w:w="2022"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UETTDRIS02B</w:t>
            </w:r>
          </w:p>
        </w:tc>
        <w:tc>
          <w:tcPr>
            <w:tcW w:w="3125"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Maintain electrical equipment (network Infrastructure).</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and</w:t>
            </w:r>
          </w:p>
        </w:tc>
        <w:tc>
          <w:tcPr>
            <w:tcW w:w="2022"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UETTDRIS25B</w:t>
            </w:r>
          </w:p>
        </w:tc>
        <w:tc>
          <w:tcPr>
            <w:tcW w:w="3125"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Contribute to coordinated HV live vine</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 xml:space="preserve">For the full prerequisite chain details for this unit please </w:t>
            </w:r>
            <w:r w:rsidRPr="008E72F0">
              <w:t>refer to Table 3 in Volume 1, Part 2</w:t>
            </w:r>
          </w:p>
        </w:tc>
      </w:tr>
    </w:tbl>
    <w:p w:rsidR="00824CFB" w:rsidP="008E72F0">
      <w:pPr>
        <w:pStyle w:val="BodyText"/>
      </w:pPr>
    </w:p>
    <w:p w:rsidR="00824CFB" w:rsidP="008E72F0">
      <w:pPr>
        <w:pStyle w:val="BodyText"/>
      </w:pPr>
    </w:p>
    <w:p w:rsidR="00000000" w:rsidRPr="008E72F0" w:rsidP="008E72F0">
      <w:pPr>
        <w:pStyle w:val="Heading1"/>
      </w:pPr>
      <w:bookmarkStart w:id="6" w:name="O_231148"/>
      <w:bookmarkEnd w:id="6"/>
      <w:r w:rsidRPr="008E72F0">
        <w:t>Employability Skills Information</w:t>
      </w:r>
    </w:p>
    <w:tbl>
      <w:tblPr>
        <w:tblW w:w="0" w:type="auto"/>
        <w:tblLayout w:type="fixed"/>
        <w:tblCellMar>
          <w:left w:w="62" w:type="dxa"/>
          <w:right w:w="62" w:type="dxa"/>
        </w:tblCellMar>
        <w:tblLook w:val="0000"/>
      </w:tblPr>
      <w:tblGrid>
        <w:gridCol w:w="2758"/>
        <w:gridCol w:w="5882"/>
      </w:tblGrid>
      <w:tr w:rsidTr="00824CF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3</w:t>
            </w:r>
            <w:r w:rsidRPr="008E72F0">
              <w:t>)</w:t>
            </w:r>
          </w:p>
          <w:p w:rsidR="00000000" w:rsidRPr="008E72F0" w:rsidP="008E72F0">
            <w:pPr>
              <w:pStyle w:val="BodyText"/>
            </w:pPr>
            <w:r w:rsidRPr="008E72F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E72F0">
              <w:t>requirements.</w:t>
            </w:r>
          </w:p>
        </w:tc>
      </w:tr>
    </w:tbl>
    <w:p w:rsidR="00824CFB" w:rsidP="008E72F0">
      <w:pPr>
        <w:pStyle w:val="BodyText"/>
      </w:pPr>
    </w:p>
    <w:p w:rsidR="00824CFB" w:rsidP="008E72F0">
      <w:pPr>
        <w:pStyle w:val="BodyText"/>
      </w:pPr>
    </w:p>
    <w:p w:rsidR="00000000" w:rsidRPr="008E72F0" w:rsidP="008E72F0">
      <w:pPr>
        <w:pStyle w:val="Heading1"/>
      </w:pPr>
      <w:bookmarkStart w:id="7" w:name="O_293474"/>
      <w:bookmarkEnd w:id="7"/>
      <w:r w:rsidRPr="008E72F0">
        <w:t>Elements and Performance Criteria Pre-Content</w:t>
      </w:r>
    </w:p>
    <w:tbl>
      <w:tblPr>
        <w:tblW w:w="0" w:type="auto"/>
        <w:tblLayout w:type="fixed"/>
        <w:tblCellMar>
          <w:left w:w="62" w:type="dxa"/>
          <w:right w:w="62" w:type="dxa"/>
        </w:tblCellMar>
        <w:tblLook w:val="0000"/>
      </w:tblPr>
      <w:tblGrid>
        <w:gridCol w:w="2758"/>
        <w:gridCol w:w="5882"/>
      </w:tblGrid>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6</w:t>
            </w:r>
            <w:r w:rsidRPr="008E72F0">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Performance criteria describe the required performance needed to demonstrate achievement of the element. Ass</w:t>
            </w:r>
            <w:r w:rsidRPr="008E72F0">
              <w:t>essment of performance is to be consistent with the evidence guide.</w:t>
            </w:r>
          </w:p>
        </w:tc>
      </w:tr>
    </w:tbl>
    <w:p w:rsidR="00000000" w:rsidRPr="008E72F0" w:rsidP="008E72F0">
      <w:pPr>
        <w:pStyle w:val="BodyText"/>
      </w:pPr>
    </w:p>
    <w:p w:rsidR="00000000" w:rsidRPr="008E72F0" w:rsidP="008E72F0">
      <w:pPr>
        <w:pStyle w:val="AllowPageBreak"/>
      </w:pPr>
    </w:p>
    <w:p w:rsidR="00000000" w:rsidRPr="008E72F0" w:rsidP="008E72F0">
      <w:pPr>
        <w:pStyle w:val="Heading1"/>
      </w:pPr>
      <w:bookmarkStart w:id="8" w:name="O_240142"/>
      <w:bookmarkEnd w:id="8"/>
      <w:r w:rsidRPr="008E72F0">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824CFB">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PERFORMANCE CRITERIA</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w:t>
            </w:r>
          </w:p>
        </w:tc>
        <w:tc>
          <w:tcPr>
            <w:tcW w:w="2344" w:type="dxa"/>
            <w:vMerge w:val="restart"/>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Plan to maintain energised high voltage distribution overhead electrical apparatus (glove and barrier)</w:t>
            </w: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1.1</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Works schedule(s), including drawings, plans, requirements, established procedures, and material lists, are obtained, analysed, if necessary, by site</w:t>
            </w:r>
            <w:r w:rsidRPr="008E72F0">
              <w:t xml:space="preserve"> inspection and the extent of the preparation of the work determined for planning and coordination.</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1.2</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Work is prioritised and sequenced for the most efficient and effective outcome following consultation with others for completion within acceptable </w:t>
            </w:r>
            <w:r w:rsidRPr="008E72F0">
              <w:t>timeframes, to a quality standard and in accordance with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1.3</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Risk control measures are identified, prioritised and evaluated against the work schedule.</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1.4</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Relevant requirements and established procedures for the work are communicated to all personnel and identified for all work sites.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1.5</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Hazards are identified, OHS risks assessed and control measures are prioritised, implemented and monitored including e</w:t>
            </w:r>
            <w:r w:rsidRPr="008E72F0">
              <w:t>mergency exits kept clear, to ensure safe systems of work are followed and according to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1.6</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Relevant work permits are secured to coordinate the performance of work according to requirements and/or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1.7</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R</w:t>
            </w:r>
            <w:r w:rsidRPr="008E72F0">
              <w:t>esources including personnel, equipment, tools and personal protective equipment required for the job are identified, scheduled and coordinated and confirmed in a safe and technical working order.</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1.8</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Clients/Customers are provided with possible solutions and/or options within the scope, acceptable cost and requirements.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1.9</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Liaison and communication issues with other/authorised personnel, authorities, clients and land owners are resolved and activit</w:t>
            </w:r>
            <w:r w:rsidRPr="008E72F0">
              <w:t>ies coordinated to carry out work.</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1.10</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Site is prepared according to the work schedule and to minimise risk and damage to property, commerce, and individuals in accordance with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1.11</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Personnel participating in the work, includ</w:t>
            </w:r>
            <w:r w:rsidRPr="008E72F0">
              <w:t>ing plant operators and contractors, are fully briefed and respective responsibilities coordinated and authorised where applicable in accordance with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1.12</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Positioning of road signs, barriers and warning devices is planned and coo</w:t>
            </w:r>
            <w:r w:rsidRPr="008E72F0">
              <w:t>rdinated in accordance with requirements.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w:t>
            </w:r>
          </w:p>
        </w:tc>
        <w:tc>
          <w:tcPr>
            <w:tcW w:w="2344" w:type="dxa"/>
            <w:vMerge w:val="restart"/>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Carry out maintenance of energised high voltage distribution overhead electrical apparatus (glove and barrier)</w:t>
            </w: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2.1</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OHS and sustainable energy principles and practices to reduce the incidents of accidents and minimise waste are monitored and actioned in accordance with requirements and/or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2.2</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First Aid, Rescue and other related work procedures</w:t>
            </w:r>
            <w:r w:rsidRPr="008E72F0">
              <w:t xml:space="preserve"> are performed according to requirements and/or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2.3</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Lifting, climbing, working aloft, and use of power tools/equipment, techniques and practices are safely exercised according to requirements and i</w:t>
            </w:r>
            <w:r w:rsidRPr="008E72F0">
              <w:t>ncluding the use of high voltage live line sticks.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2.4</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Auto-reclose devices associated with the circuits being worked on have been rendered inoperative and necessary work documentation acquired in accordance with enterprise requirements.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2.5</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Hazard w</w:t>
            </w:r>
            <w:r w:rsidRPr="008E72F0">
              <w:t>arnings and safety signs are recognised and hazards and assessed OHS risks are reported to the immediate authorised persons for directions according to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2.6</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Remedial actions are taken to overcome any shortfalls encountered in the work schedule according to requirements and/or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2.7</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Maintenance of energised high voltage distribution overhead electrical apparatus is carried out, in accor</w:t>
            </w:r>
            <w:r w:rsidRPr="008E72F0">
              <w:t>dance with the work schedule and requirements and/or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2.8</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Essential knowledge and associated skills are applied in the safe maintenance of energised high voltage distribution overhead electrical apparatus  to ensure completion in </w:t>
            </w:r>
            <w:r w:rsidRPr="008E72F0">
              <w:t>an agreed timeframe and, to quality standards with a minimum of waste according to requirements.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2.9</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Solutions to non-routine problems are identified and actioned using acquired essential knowledge and associated skills according to requirements.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2.10</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On going checks of quality of the work are undertaken in accordance with requirements and established procedures to ensure a quality like outcome is achieved for the client/customer and to a community/industry standard.</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3</w:t>
            </w:r>
          </w:p>
        </w:tc>
        <w:tc>
          <w:tcPr>
            <w:tcW w:w="2344" w:type="dxa"/>
            <w:vMerge w:val="restart"/>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Complete the maintenance of </w:t>
            </w:r>
            <w:r w:rsidRPr="008E72F0">
              <w:t>energised high voltage distribution overhead electrical apparatus (glove and barrier)</w:t>
            </w: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3.1</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Work undertaken is checked against works schedule for conformance with requirements, anomalies reported and solutions identified in accordance with established proced</w:t>
            </w:r>
            <w:r w:rsidRPr="008E72F0">
              <w:t>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3.2</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Accidents and/or injuries are reported and followed up in accordance with requirements/established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3.3</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Work site is rehabilitated, cleaned up and confirmed safe in accordance with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3.4</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To</w:t>
            </w:r>
            <w:r w:rsidRPr="008E72F0">
              <w:t>ols, equipment and any surplus resources and materials are, where appropriate, cleaned, checked and returned to storage in accordance with established procedures.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3.5</w:t>
            </w:r>
          </w:p>
        </w:tc>
        <w:tc>
          <w:tcPr>
            <w:tcW w:w="496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Relevant work permit(s) are signed off and, energised high voltage apparatus is return</w:t>
            </w:r>
            <w:r w:rsidRPr="008E72F0">
              <w:t>ed to service and advised to client/customer in accordance with requirements.</w:t>
            </w:r>
          </w:p>
        </w:tc>
      </w:tr>
      <w:tr w:rsidTr="00824CF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3.6</w:t>
            </w:r>
          </w:p>
        </w:tc>
        <w:tc>
          <w:tcPr>
            <w:tcW w:w="4963"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Works completion records, reports, as installed /modified drawing(s) and/or documentation and information are confirmed, processed and appropriate personnel notified.</w:t>
            </w:r>
          </w:p>
        </w:tc>
      </w:tr>
    </w:tbl>
    <w:p w:rsidR="00824CFB" w:rsidP="008E72F0">
      <w:pPr>
        <w:pStyle w:val="BodyText"/>
      </w:pPr>
    </w:p>
    <w:p w:rsidR="00824CFB" w:rsidP="008E72F0">
      <w:pPr>
        <w:pStyle w:val="BodyText"/>
      </w:pPr>
    </w:p>
    <w:p w:rsidR="00000000" w:rsidRPr="008E72F0" w:rsidP="008E72F0">
      <w:pPr>
        <w:pStyle w:val="Heading1"/>
      </w:pPr>
      <w:bookmarkStart w:id="9" w:name="O_263933"/>
      <w:bookmarkEnd w:id="9"/>
      <w:r w:rsidRPr="008E72F0">
        <w:t>Required Skills and Knowledge</w:t>
      </w:r>
    </w:p>
    <w:tbl>
      <w:tblPr>
        <w:tblW w:w="0" w:type="auto"/>
        <w:tblLayout w:type="fixed"/>
        <w:tblCellMar>
          <w:left w:w="62" w:type="dxa"/>
          <w:right w:w="62" w:type="dxa"/>
        </w:tblCellMar>
        <w:tblLook w:val="0000"/>
      </w:tblPr>
      <w:tblGrid>
        <w:gridCol w:w="2758"/>
        <w:gridCol w:w="1103"/>
        <w:gridCol w:w="4779"/>
      </w:tblGrid>
      <w:tr w:rsidTr="00824CF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REQUIRED SKILLS AND KNOWLEDGE</w:t>
            </w:r>
          </w:p>
        </w:tc>
      </w:tr>
      <w:tr w:rsidTr="00824CF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7</w:t>
            </w:r>
            <w:r w:rsidRPr="008E72F0">
              <w:t xml:space="preserve">) </w:t>
            </w:r>
            <w:r w:rsidRPr="008E72F0">
              <w:rPr>
                <w:rStyle w:val="SpecialBold"/>
              </w:rPr>
              <w:t>Essential Knowledge and Associated Skills</w:t>
            </w:r>
            <w:r w:rsidRPr="008E72F0">
              <w:t xml:space="preserve"> (</w:t>
            </w:r>
            <w:r w:rsidRPr="008E72F0">
              <w:rPr>
                <w:rStyle w:val="SpecialBold"/>
              </w:rPr>
              <w:t>EKAS</w:t>
            </w:r>
            <w:r w:rsidRPr="008E72F0">
              <w:t>): This describes the essential skills and knowledge and their level, required for this unit.</w:t>
            </w:r>
          </w:p>
        </w:tc>
      </w:tr>
      <w:tr w:rsidTr="00824CF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Evidence shall show that knowledge has been acquired of maintaining energised high voltage distribution overhead electrical apparatus (glove).</w:t>
            </w:r>
          </w:p>
          <w:p w:rsidR="00000000" w:rsidRPr="008E72F0" w:rsidP="008E72F0">
            <w:pPr>
              <w:pStyle w:val="BodyText"/>
            </w:pPr>
            <w:r w:rsidRPr="008E72F0">
              <w:t>All knowledge and skills detailed in this unit should be contextualised to current industry practices and technol</w:t>
            </w:r>
            <w:r w:rsidRPr="008E72F0">
              <w:t>ogies.</w:t>
            </w:r>
          </w:p>
          <w:p w:rsidR="00000000" w:rsidP="008E72F0">
            <w:pPr>
              <w:pStyle w:val="BodyText"/>
              <w:rPr>
                <w:lang w:val="en-NZ"/>
              </w:rPr>
            </w:pPr>
            <w:r w:rsidRPr="008E72F0">
              <w:t>The extent of the essential knowledge and associated skills (EKAS) required is given in Volume 2 - Part 2.2 EKAS. It forms an integral part of this unit.</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T2.2.37</w:t>
            </w:r>
          </w:p>
        </w:tc>
        <w:tc>
          <w:tcPr>
            <w:tcW w:w="477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Live line working up to 33kV with glove and barrier</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T2.2.38 </w:t>
            </w:r>
          </w:p>
        </w:tc>
        <w:tc>
          <w:tcPr>
            <w:tcW w:w="477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Working on live line</w:t>
            </w:r>
            <w:r w:rsidRPr="008E72F0">
              <w:t>s to 33kV with glove and barrier/hotstick combined</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T2.2.39 </w:t>
            </w:r>
          </w:p>
        </w:tc>
        <w:tc>
          <w:tcPr>
            <w:tcW w:w="477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Plant, equipment and tools used for HV live line work</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T2.2.53</w:t>
            </w:r>
          </w:p>
        </w:tc>
        <w:tc>
          <w:tcPr>
            <w:tcW w:w="477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HV principles</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T2.3.1 </w:t>
            </w:r>
          </w:p>
        </w:tc>
        <w:tc>
          <w:tcPr>
            <w:tcW w:w="477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Powerline safety practices</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T2.4.3 </w:t>
            </w:r>
          </w:p>
        </w:tc>
        <w:tc>
          <w:tcPr>
            <w:tcW w:w="477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High voltage switching principles</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T2.4.4 </w:t>
            </w:r>
          </w:p>
        </w:tc>
        <w:tc>
          <w:tcPr>
            <w:tcW w:w="477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High voltage fault switching principles</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T2.4.5 </w:t>
            </w:r>
          </w:p>
        </w:tc>
        <w:tc>
          <w:tcPr>
            <w:tcW w:w="477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High voltage distribution transformer principles</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T2.4.6 </w:t>
            </w:r>
          </w:p>
        </w:tc>
        <w:tc>
          <w:tcPr>
            <w:tcW w:w="4779"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High voltage SWER system</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T2.4.7 </w:t>
            </w:r>
          </w:p>
        </w:tc>
        <w:tc>
          <w:tcPr>
            <w:tcW w:w="4779"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Feeder automation system</w:t>
            </w:r>
          </w:p>
        </w:tc>
      </w:tr>
    </w:tbl>
    <w:p w:rsidR="00824CFB" w:rsidP="008E72F0">
      <w:pPr>
        <w:pStyle w:val="BodyText"/>
      </w:pPr>
    </w:p>
    <w:p w:rsidR="00824CFB" w:rsidP="008E72F0">
      <w:pPr>
        <w:pStyle w:val="BodyText"/>
      </w:pPr>
    </w:p>
    <w:p w:rsidR="00000000" w:rsidRPr="008E72F0" w:rsidP="008E72F0">
      <w:pPr>
        <w:pStyle w:val="Heading1"/>
      </w:pPr>
      <w:bookmarkStart w:id="10" w:name="O_248125"/>
      <w:bookmarkEnd w:id="10"/>
      <w:r w:rsidRPr="008E72F0">
        <w:t>Evidence Guide</w:t>
      </w:r>
    </w:p>
    <w:tbl>
      <w:tblPr>
        <w:tblW w:w="0" w:type="auto"/>
        <w:tblLayout w:type="fixed"/>
        <w:tblCellMar>
          <w:left w:w="62" w:type="dxa"/>
          <w:right w:w="62" w:type="dxa"/>
        </w:tblCellMar>
        <w:tblLook w:val="0000"/>
      </w:tblPr>
      <w:tblGrid>
        <w:gridCol w:w="2207"/>
        <w:gridCol w:w="735"/>
        <w:gridCol w:w="968"/>
        <w:gridCol w:w="1592"/>
        <w:gridCol w:w="3138"/>
      </w:tblGrid>
      <w:tr w:rsidTr="00824CF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EVIDENCE GUIDE</w:t>
            </w:r>
          </w:p>
        </w:tc>
      </w:tr>
      <w:tr w:rsidTr="00824CF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9</w:t>
            </w:r>
            <w:r w:rsidRPr="008E72F0">
              <w:t>) This provides essential advice for assessment of the unit of competency and must be read in conjunction with the performance criteria and the range statement of the unit of competency and the Training Package Assessment Guidelines.</w:t>
            </w:r>
          </w:p>
          <w:p w:rsidR="00000000" w:rsidP="008E72F0">
            <w:pPr>
              <w:pStyle w:val="BodyText"/>
              <w:rPr>
                <w:lang w:val="en-NZ"/>
              </w:rPr>
            </w:pPr>
            <w:r w:rsidRPr="008E72F0">
              <w:t>The Evidence Guide for</w:t>
            </w:r>
            <w:r w:rsidRPr="008E72F0">
              <w:t>ms an integral part of this Competency Standard Unit and shall be used in conjunction with all component parts of this unit and, performed in accordance with the Assessment Guidelines of this Training Package.</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9</w:t>
            </w:r>
            <w:r w:rsidRPr="008E72F0">
              <w:t>.</w:t>
            </w:r>
            <w:r w:rsidRPr="008E72F0">
              <w:rPr>
                <w:rStyle w:val="SpecialBold"/>
              </w:rPr>
              <w:t>1</w:t>
            </w:r>
            <w:r w:rsidRPr="008E72F0">
              <w:t xml:space="preserve">) </w:t>
            </w:r>
          </w:p>
          <w:p w:rsidR="00000000" w:rsidRPr="008E72F0" w:rsidP="008E72F0">
            <w:pPr>
              <w:pStyle w:val="BodyText"/>
            </w:pPr>
            <w:r w:rsidRPr="008E72F0">
              <w:t>Longitudinal</w:t>
            </w:r>
            <w:r w:rsidRPr="008E72F0">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8E72F0">
              <w:t>n. It is the Industry's preferred model for apprenticeships. However, where summative (or final) assessment is used it is to include the application of the competency in the normal work environment or, at a minimum, the application of the competency in a r</w:t>
            </w:r>
            <w:r w:rsidRPr="008E72F0">
              <w:t>ealistically simulated work environment. It is recognised that, in some circumstances, assessment in part or full can occur outside the workplace. However, it must be in accord with Industry and, Regulatory policy in this regard.</w:t>
            </w:r>
          </w:p>
          <w:p w:rsidR="00000000" w:rsidRPr="008E72F0" w:rsidP="008E72F0">
            <w:pPr>
              <w:pStyle w:val="BodyText"/>
            </w:pPr>
            <w:r w:rsidRPr="008E72F0">
              <w:t>Methods chosen for a parti</w:t>
            </w:r>
            <w:r w:rsidRPr="008E72F0">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8E72F0">
              <w:t>the critical nature of the competencies being assessed.</w:t>
            </w:r>
          </w:p>
          <w:p w:rsidR="00000000" w:rsidRPr="008E72F0" w:rsidP="008E72F0">
            <w:pPr>
              <w:pStyle w:val="BodyText"/>
            </w:pPr>
            <w:r w:rsidRPr="008E72F0">
              <w:t xml:space="preserve">The critical safety nature of working with electricity, electrical equipment, gas or any other hazardous substance/material carries risk in deeming a person competent. Hence, sources of evidence need </w:t>
            </w:r>
            <w:r w:rsidRPr="008E72F0">
              <w:t>to be 'rich' in nature so as to minimise error in judgment.</w:t>
            </w:r>
          </w:p>
          <w:p w:rsidR="00000000" w:rsidP="008E72F0">
            <w:pPr>
              <w:pStyle w:val="BodyText"/>
              <w:rPr>
                <w:lang w:val="en-NZ"/>
              </w:rPr>
            </w:pPr>
            <w:r w:rsidRPr="008E72F0">
              <w:t>Activities associated with normal every day work have a bearing on the decision as to how much and how detailed the data gathered will contribute to its 'richness'. Some skills are more critical t</w:t>
            </w:r>
            <w:r w:rsidRPr="008E72F0">
              <w:t>o safety and operational requirements while the same skills may be more or less frequently practiced. These points are raised for the assessors to consider when choosing an assessment method and developing assessment instruments. Sample assessment instrume</w:t>
            </w:r>
            <w:r w:rsidRPr="008E72F0">
              <w:t>nts are included for Assessors in the Assessment Guidelines of this Training Package.</w:t>
            </w:r>
          </w:p>
        </w:tc>
      </w:tr>
      <w:tr w:rsidTr="00824CFB">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9</w:t>
            </w:r>
            <w:r w:rsidRPr="008E72F0">
              <w:t>.</w:t>
            </w:r>
            <w:r w:rsidRPr="008E72F0">
              <w:rPr>
                <w:rStyle w:val="SpecialBold"/>
              </w:rPr>
              <w:t>2</w:t>
            </w:r>
            <w:r w:rsidRPr="008E72F0">
              <w:t xml:space="preserve">) </w:t>
            </w:r>
          </w:p>
          <w:p w:rsidR="00000000" w:rsidP="008E72F0">
            <w:pPr>
              <w:pStyle w:val="BodyText"/>
              <w:rPr>
                <w:lang w:val="en-NZ"/>
              </w:rPr>
            </w:pPr>
            <w:r w:rsidRPr="008E72F0">
              <w:t>Before the critical aspects of evidence are considered all prerequisites shall be met.</w:t>
            </w:r>
          </w:p>
        </w:tc>
      </w:tr>
      <w:tr w:rsidTr="00824CFB">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Evidence for competence in this unit shall be considered holistically. Each element and associated performance criteria shall be demonstrated on at least two occasi</w:t>
            </w:r>
            <w:r w:rsidRPr="008E72F0">
              <w:t>ons in accordance with the "Assessment Guidelines - UET09". Evidence shall also comprise:</w:t>
            </w:r>
          </w:p>
          <w:p w:rsidR="00000000" w:rsidP="008E72F0">
            <w:pPr>
              <w:pStyle w:val="ListBullet"/>
              <w:rPr>
                <w:lang w:val="en-NZ"/>
              </w:rPr>
            </w:pPr>
            <w:r w:rsidRPr="008E72F0">
              <w:t>A representative body of performance criteria demonstrated within the timeframes typically expected of the discipline, work function and industrial environment. In pa</w:t>
            </w:r>
            <w:r w:rsidRPr="008E72F0">
              <w:t>rticular this shall incorporate evidence that shows a candidate is able to:</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E72F0" w:rsidP="008E72F0">
            <w:pPr>
              <w:pStyle w:val="ListBullet2"/>
            </w:pPr>
            <w:r w:rsidRPr="008E72F0">
              <w:t>Implement Occupational Health and Safety workplace procedures and practices including the use of risk control measures as specified in the performance criteria and range; and</w:t>
            </w:r>
          </w:p>
          <w:p w:rsidR="00000000" w:rsidRPr="008E72F0" w:rsidP="008E72F0">
            <w:pPr>
              <w:pStyle w:val="ListBullet2"/>
            </w:pPr>
            <w:r w:rsidRPr="008E72F0">
              <w:t>Apply sustainable energy principles and practices as specified in the performance criteria and range; and</w:t>
            </w:r>
          </w:p>
          <w:p w:rsidR="00000000" w:rsidRPr="008E72F0" w:rsidP="008E72F0">
            <w:pPr>
              <w:pStyle w:val="ListBullet2"/>
            </w:pPr>
            <w:r w:rsidRPr="008E72F0">
              <w:t>Demonstrate an understanding of the essential knowledge and associated skills as described in this unit to such an extent that the learner's performa</w:t>
            </w:r>
            <w:r w:rsidRPr="008E72F0">
              <w:t>nce outcome is reported in accordance with the preferred approach; namely a percentile graded result, where required by the regulated environment; and</w:t>
            </w:r>
          </w:p>
          <w:p w:rsidR="00000000" w:rsidRPr="008E72F0" w:rsidP="008E72F0">
            <w:pPr>
              <w:pStyle w:val="ListBullet2"/>
            </w:pPr>
            <w:r w:rsidRPr="008E72F0">
              <w:t>Demonstrate an appropriate level of employability skills; and</w:t>
            </w:r>
          </w:p>
          <w:p w:rsidR="00000000" w:rsidP="008E72F0">
            <w:pPr>
              <w:pStyle w:val="ListBullet2"/>
              <w:rPr>
                <w:lang w:val="en-NZ"/>
              </w:rPr>
            </w:pPr>
            <w:r w:rsidRPr="008E72F0">
              <w:t>Conduct work observing the relevant Anti Di</w:t>
            </w:r>
            <w:r w:rsidRPr="008E72F0">
              <w:t>scrimination legislation, regulations, policies and workplace procedures; and</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E72F0">
            <w:pPr>
              <w:pStyle w:val="ListBullet"/>
              <w:rPr>
                <w:lang w:val="en-NZ"/>
              </w:rPr>
            </w:pPr>
            <w:r w:rsidRPr="008E72F0">
              <w:t>Demonstrated performance across a representative range of contexts from the prescribed items below:</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E72F0">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rPr>
                <w:rStyle w:val="SpecialBold"/>
              </w:rPr>
              <w:t>Range of tools</w:t>
            </w:r>
            <w:r w:rsidRPr="008E72F0">
              <w:t>/</w:t>
            </w:r>
            <w:r w:rsidRPr="008E72F0">
              <w:rPr>
                <w:rStyle w:val="SpecialBold"/>
              </w:rPr>
              <w:t>equipment</w:t>
            </w:r>
            <w:r w:rsidRPr="008E72F0">
              <w:t>/</w:t>
            </w:r>
            <w:r w:rsidRPr="008E72F0">
              <w:rPr>
                <w:rStyle w:val="SpecialBold"/>
              </w:rPr>
              <w:t>materials</w:t>
            </w:r>
            <w:r w:rsidRPr="008E72F0">
              <w:t>/</w:t>
            </w:r>
            <w:r w:rsidRPr="008E72F0">
              <w:rPr>
                <w:rStyle w:val="SpecialBold"/>
              </w:rPr>
              <w:t>procedures</w:t>
            </w:r>
            <w:r w:rsidRPr="008E72F0">
              <w:t>/</w:t>
            </w:r>
            <w:r w:rsidRPr="008E72F0">
              <w:rPr>
                <w:rStyle w:val="SpecialBold"/>
              </w:rPr>
              <w:t>workplaces</w:t>
            </w:r>
            <w:r w:rsidRPr="008E72F0">
              <w:t>/</w:t>
            </w:r>
            <w:r w:rsidRPr="008E72F0">
              <w:rPr>
                <w:rStyle w:val="SpecialBold"/>
              </w:rPr>
              <w:t>other variables</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E72F0">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F0" w:rsidP="008E72F0">
            <w:pPr>
              <w:pStyle w:val="BodyText"/>
            </w:pPr>
            <w:r w:rsidRPr="008E72F0">
              <w:rPr>
                <w:rStyle w:val="SpecialBold"/>
              </w:rPr>
              <w:t>Group No</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F0" w:rsidP="008E72F0">
            <w:pPr>
              <w:pStyle w:val="BodyText"/>
            </w:pPr>
            <w:r w:rsidRPr="008E72F0">
              <w:rPr>
                <w:rStyle w:val="SpecialBold"/>
              </w:rPr>
              <w:t>The minimum number of items on which skill is to be demonstrated</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rPr>
                <w:rStyle w:val="SpecialBold"/>
              </w:rPr>
              <w:t>Item List</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A</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All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F0" w:rsidP="008E72F0">
            <w:pPr>
              <w:pStyle w:val="BodyText"/>
            </w:pPr>
            <w:r w:rsidRPr="008E72F0">
              <w:t>Install/replace structures</w:t>
            </w:r>
          </w:p>
          <w:p w:rsidR="00000000" w:rsidRPr="008E72F0" w:rsidP="008E72F0">
            <w:pPr>
              <w:pStyle w:val="BodyText"/>
            </w:pPr>
            <w:r w:rsidRPr="008E72F0">
              <w:t>Install/replace hardware (e.g. crossarm and insulator)</w:t>
            </w:r>
          </w:p>
          <w:p w:rsidR="00000000" w:rsidRPr="008E72F0" w:rsidP="008E72F0">
            <w:pPr>
              <w:pStyle w:val="BodyText"/>
            </w:pPr>
            <w:r w:rsidRPr="008E72F0">
              <w:t>Repair conductors</w:t>
            </w:r>
          </w:p>
          <w:p w:rsidR="00000000" w:rsidP="008E72F0">
            <w:pPr>
              <w:pStyle w:val="BodyText"/>
              <w:rPr>
                <w:lang w:val="en-NZ"/>
              </w:rPr>
            </w:pPr>
            <w:r w:rsidRPr="008E72F0">
              <w:t>Install/replace/connect bridge/bonding connections</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B</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At least two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F0" w:rsidP="008E72F0">
            <w:pPr>
              <w:pStyle w:val="BodyText"/>
            </w:pPr>
            <w:r w:rsidRPr="008E72F0">
              <w:t>Install/replace pole mounted reclosers</w:t>
            </w:r>
          </w:p>
          <w:p w:rsidR="00000000" w:rsidRPr="008E72F0" w:rsidP="008E72F0">
            <w:pPr>
              <w:pStyle w:val="BodyText"/>
            </w:pPr>
            <w:r w:rsidRPr="008E72F0">
              <w:t>Install/repair/replace air brake switches</w:t>
            </w:r>
          </w:p>
          <w:p w:rsidR="00000000" w:rsidRPr="008E72F0" w:rsidP="008E72F0">
            <w:pPr>
              <w:pStyle w:val="BodyText"/>
            </w:pPr>
            <w:r w:rsidRPr="008E72F0">
              <w:t>Install/repair/replace high voltage links/disconnects</w:t>
            </w:r>
          </w:p>
          <w:p w:rsidR="00000000" w:rsidRPr="008E72F0" w:rsidP="008E72F0">
            <w:pPr>
              <w:pStyle w:val="BodyText"/>
            </w:pPr>
            <w:r w:rsidRPr="008E72F0">
              <w:t>Install/remove temporary high volt</w:t>
            </w:r>
            <w:r w:rsidRPr="008E72F0">
              <w:t>age links/high voltage fuses</w:t>
            </w:r>
          </w:p>
          <w:p w:rsidR="00000000" w:rsidRPr="008E72F0" w:rsidP="008E72F0">
            <w:pPr>
              <w:pStyle w:val="BodyText"/>
            </w:pPr>
            <w:r w:rsidRPr="008E72F0">
              <w:t>Install/repair/replace expulsion drop-out fuses</w:t>
            </w:r>
          </w:p>
          <w:p w:rsidR="00000000" w:rsidRPr="008E72F0" w:rsidP="008E72F0">
            <w:pPr>
              <w:pStyle w:val="BodyText"/>
            </w:pPr>
            <w:r w:rsidRPr="008E72F0">
              <w:t>Install/replace lightning arrestors</w:t>
            </w:r>
          </w:p>
          <w:p w:rsidR="00000000" w:rsidP="008E72F0">
            <w:pPr>
              <w:pStyle w:val="BodyText"/>
              <w:rPr>
                <w:lang w:val="en-NZ"/>
              </w:rPr>
            </w:pPr>
            <w:r w:rsidRPr="008E72F0">
              <w:t>Install/replace vibration dampers or aircraft warning markers</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C</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At least two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F0" w:rsidP="008E72F0">
            <w:pPr>
              <w:pStyle w:val="BodyText"/>
            </w:pPr>
            <w:r w:rsidRPr="008E72F0">
              <w:t>EWP</w:t>
            </w:r>
          </w:p>
          <w:p w:rsidR="00000000" w:rsidRPr="008E72F0" w:rsidP="008E72F0">
            <w:pPr>
              <w:pStyle w:val="BodyText"/>
            </w:pPr>
            <w:r w:rsidRPr="008E72F0">
              <w:t>Ladder</w:t>
            </w:r>
          </w:p>
          <w:p w:rsidR="00000000" w:rsidRPr="008E72F0" w:rsidP="008E72F0">
            <w:pPr>
              <w:pStyle w:val="BodyText"/>
            </w:pPr>
            <w:r w:rsidRPr="008E72F0">
              <w:t>Pole platform</w:t>
            </w:r>
          </w:p>
          <w:p w:rsidR="00000000" w:rsidP="008E72F0">
            <w:pPr>
              <w:pStyle w:val="BodyText"/>
              <w:rPr>
                <w:lang w:val="en-NZ"/>
              </w:rPr>
            </w:pPr>
            <w:r w:rsidRPr="008E72F0">
              <w:t>Insulated structured</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D</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At least one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F0" w:rsidP="008E72F0">
            <w:pPr>
              <w:pStyle w:val="BodyText"/>
            </w:pPr>
            <w:r w:rsidRPr="008E72F0">
              <w:t>Voltage detector</w:t>
            </w:r>
          </w:p>
          <w:p w:rsidR="00000000" w:rsidRPr="008E72F0" w:rsidP="008E72F0">
            <w:pPr>
              <w:pStyle w:val="BodyText"/>
            </w:pPr>
            <w:r w:rsidRPr="008E72F0">
              <w:t>Leakage detector</w:t>
            </w:r>
          </w:p>
          <w:p w:rsidR="00000000" w:rsidP="008E72F0">
            <w:pPr>
              <w:pStyle w:val="BodyText"/>
              <w:rPr>
                <w:lang w:val="en-NZ"/>
              </w:rPr>
            </w:pPr>
            <w:r w:rsidRPr="008E72F0">
              <w:t>Insulation test equipment</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E</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At least one occasion</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F0">
            <w:pPr>
              <w:pStyle w:val="BodyText"/>
              <w:rPr>
                <w:lang w:val="en-NZ"/>
              </w:rPr>
            </w:pPr>
            <w:r w:rsidRPr="008E72F0">
              <w:t>Dealing with an unplanned event by drawing on essential knowledge and associated skills to provide appropriate solutions incorporated in the holistic assessment with the above listed items.</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9</w:t>
            </w:r>
            <w:r w:rsidRPr="008E72F0">
              <w:t>.</w:t>
            </w:r>
            <w:r w:rsidRPr="008E72F0">
              <w:rPr>
                <w:rStyle w:val="SpecialBold"/>
              </w:rPr>
              <w:t>3</w:t>
            </w:r>
            <w:r w:rsidRPr="008E72F0">
              <w:t xml:space="preserve">) </w:t>
            </w:r>
          </w:p>
          <w:p w:rsidR="00000000" w:rsidRPr="008E72F0" w:rsidP="008E72F0">
            <w:pPr>
              <w:pStyle w:val="BodyText"/>
            </w:pPr>
            <w:r w:rsidRPr="008E72F0">
              <w:t xml:space="preserve">This unit </w:t>
            </w:r>
            <w:r w:rsidRPr="008E72F0">
              <w:t>should be assessed as it relates to normal work practice using procedures, information and resources typical of a workplace. This should include:</w:t>
            </w:r>
          </w:p>
          <w:p w:rsidR="00000000" w:rsidRPr="008E72F0" w:rsidP="008E72F0">
            <w:pPr>
              <w:pStyle w:val="ListBullet"/>
            </w:pPr>
            <w:r w:rsidRPr="008E72F0">
              <w:t>OHS policy and work procedures and instructions.</w:t>
            </w:r>
          </w:p>
          <w:p w:rsidR="00000000" w:rsidP="008E72F0">
            <w:pPr>
              <w:pStyle w:val="ListBullet"/>
              <w:rPr>
                <w:lang w:val="en-NZ"/>
              </w:rPr>
            </w:pPr>
            <w:r w:rsidRPr="008E72F0">
              <w:t>Suitable work environment, facilities, equipment and material</w:t>
            </w:r>
            <w:r w:rsidRPr="008E72F0">
              <w:t>s to undertake actual installation and maintenance of energised high voltage overhead electrical apparatus.</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In addition to the resources listed above, in Context of and specific resources for assessment, evidence should show demonstrated competency </w:t>
            </w:r>
            <w:r w:rsidRPr="008E72F0">
              <w:t xml:space="preserve">working at realistic heights above ground i.e. above 3 metres, in limited spaces, with different structural/construction types and method and in a variety of environments. </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9</w:t>
            </w:r>
            <w:r w:rsidRPr="008E72F0">
              <w:t>.</w:t>
            </w:r>
            <w:r w:rsidRPr="008E72F0">
              <w:rPr>
                <w:rStyle w:val="SpecialBold"/>
              </w:rPr>
              <w:t>4</w:t>
            </w:r>
            <w:r w:rsidRPr="008E72F0">
              <w:t xml:space="preserve">) </w:t>
            </w:r>
          </w:p>
          <w:p w:rsidR="00000000" w:rsidRPr="008E72F0" w:rsidP="008E72F0">
            <w:pPr>
              <w:pStyle w:val="BodyText"/>
            </w:pPr>
            <w:r w:rsidRPr="008E72F0">
              <w:t>This Competency Standard Unit shall be assessed by m</w:t>
            </w:r>
            <w:r w:rsidRPr="008E72F0">
              <w:t>ethods given in Volume 1, Part 3 "Assessment Guidelines".</w:t>
            </w:r>
          </w:p>
          <w:p w:rsidR="00000000" w:rsidP="008E72F0">
            <w:pPr>
              <w:pStyle w:val="BodyText"/>
              <w:rPr>
                <w:lang w:val="en-NZ"/>
              </w:rPr>
            </w:pPr>
            <w:r w:rsidRPr="008E72F0">
              <w:t>Note:</w:t>
            </w:r>
            <w:r w:rsidRPr="008E72F0">
              <w:br/>
              <w:t xml:space="preserve">Competent performance with inherent safe working practices is expected in the Industry to which this Competency Standard Unit applies. This requires that the specified essential knowledge and </w:t>
            </w:r>
            <w:r w:rsidRPr="008E72F0">
              <w:t>associated skills are assessed in a structured environment which is primarily intended for learning/assessment and incorporates all necessary equipment and facilities for learners to develop and demonstrate the essential knowledge and associated skills des</w:t>
            </w:r>
            <w:r w:rsidRPr="008E72F0">
              <w:t>cribed in this unit.</w:t>
            </w:r>
          </w:p>
        </w:tc>
      </w:tr>
      <w:tr w:rsidTr="00824CFB">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9</w:t>
            </w:r>
            <w:r w:rsidRPr="008E72F0">
              <w:t>.</w:t>
            </w:r>
            <w:r w:rsidRPr="008E72F0">
              <w:rPr>
                <w:rStyle w:val="SpecialBold"/>
              </w:rPr>
              <w:t>5</w:t>
            </w:r>
            <w:r w:rsidRPr="008E72F0">
              <w:t>)</w:t>
            </w:r>
          </w:p>
        </w:tc>
      </w:tr>
      <w:tr w:rsidTr="00824CFB">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 xml:space="preserve">For optimisation of training and assessment effort, competence in this unit may be assessed concurrently with the following units: </w:t>
            </w:r>
          </w:p>
        </w:tc>
      </w:tr>
      <w:tr w:rsidTr="00824CFB">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There are no recommended concurrencies for this unit.</w:t>
            </w:r>
          </w:p>
        </w:tc>
      </w:tr>
    </w:tbl>
    <w:p w:rsidR="00824CFB" w:rsidP="008E72F0">
      <w:pPr>
        <w:pStyle w:val="BodyText"/>
      </w:pPr>
    </w:p>
    <w:p w:rsidR="00824CFB" w:rsidP="008E72F0">
      <w:pPr>
        <w:pStyle w:val="BodyText"/>
      </w:pPr>
    </w:p>
    <w:p w:rsidR="00000000" w:rsidRPr="008E72F0" w:rsidP="008E72F0">
      <w:pPr>
        <w:pStyle w:val="Heading1"/>
      </w:pPr>
      <w:bookmarkStart w:id="11" w:name="O_256109"/>
      <w:bookmarkEnd w:id="11"/>
      <w:r w:rsidRPr="008E72F0">
        <w:t>Range Statement</w:t>
      </w:r>
    </w:p>
    <w:tbl>
      <w:tblPr>
        <w:tblW w:w="0" w:type="auto"/>
        <w:tblLayout w:type="fixed"/>
        <w:tblCellMar>
          <w:left w:w="62" w:type="dxa"/>
          <w:right w:w="62" w:type="dxa"/>
        </w:tblCellMar>
        <w:tblLook w:val="0000"/>
      </w:tblPr>
      <w:tblGrid>
        <w:gridCol w:w="2207"/>
        <w:gridCol w:w="6433"/>
      </w:tblGrid>
      <w:tr w:rsidTr="00824CF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RANGE STATEMENT</w:t>
            </w:r>
          </w:p>
        </w:tc>
      </w:tr>
      <w:tr w:rsidTr="00824CF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8</w:t>
            </w:r>
            <w:r w:rsidRPr="008E72F0">
              <w:t xml:space="preserve">) This relates to the unit of competency as a whole providing the range of contexts and conditions </w:t>
            </w:r>
            <w:r w:rsidRPr="008E72F0">
              <w:t>to which the performance criteria apply. It allows for different work environments and situations that will affect performance.</w:t>
            </w:r>
          </w:p>
        </w:tc>
      </w:tr>
      <w:tr w:rsidTr="00824CF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This Competency Standard Unit shall/may be demonstrated in relation to the maintenance of energised HV distribution overhead e</w:t>
            </w:r>
            <w:r w:rsidRPr="008E72F0">
              <w:t>lectrical apparatus and may include the following:</w:t>
            </w:r>
          </w:p>
          <w:p w:rsidR="00000000" w:rsidRPr="008E72F0" w:rsidP="008E72F0">
            <w:pPr>
              <w:pStyle w:val="BodyText"/>
            </w:pPr>
            <w:r w:rsidRPr="008E72F0">
              <w:t>Types of conductor may include bare aluminium; steel cored aluminium, steel and copper conductors and insulated unscreened conductor (IUC) systems.</w:t>
            </w:r>
          </w:p>
          <w:p w:rsidR="00000000" w:rsidRPr="008E72F0" w:rsidP="008E72F0">
            <w:pPr>
              <w:pStyle w:val="BodyText"/>
            </w:pPr>
            <w:r w:rsidRPr="008E72F0">
              <w:t>Maintenance work may include -</w:t>
            </w:r>
          </w:p>
          <w:p w:rsidR="00000000" w:rsidRPr="008E72F0" w:rsidP="008E72F0">
            <w:pPr>
              <w:pStyle w:val="BodyText"/>
            </w:pPr>
            <w:r w:rsidRPr="008E72F0">
              <w:t>The replacement and repair</w:t>
            </w:r>
            <w:r w:rsidRPr="008E72F0">
              <w:t xml:space="preserve"> or installation of structures, associated hardware and conductors, and the installation, repair, replacement or connection of bridges/bonding connections.</w:t>
            </w:r>
          </w:p>
          <w:p w:rsidR="00000000" w:rsidRPr="008E72F0" w:rsidP="008E72F0">
            <w:pPr>
              <w:pStyle w:val="BodyText"/>
            </w:pPr>
            <w:r w:rsidRPr="008E72F0">
              <w:t>The repair/replacement/installation of electrical equipment and associated components whose current carrying parts are exposed, e.g. air break switches, High Voltage links or disconnects and expulsion drop-out fuses. Pole mounted reclosers, transformers, s</w:t>
            </w:r>
            <w:r w:rsidRPr="008E72F0">
              <w:t>ectionalisers, lightning arresters and High Voltage cables.</w:t>
            </w:r>
          </w:p>
          <w:p w:rsidR="00000000" w:rsidRPr="008E72F0" w:rsidP="008E72F0">
            <w:pPr>
              <w:pStyle w:val="BodyText"/>
            </w:pPr>
            <w:r w:rsidRPr="008E72F0">
              <w:t>The commissioning of High Voltage electrical apparatus</w:t>
            </w:r>
          </w:p>
          <w:p w:rsidR="00000000" w:rsidRPr="008E72F0" w:rsidP="008E72F0">
            <w:pPr>
              <w:pStyle w:val="BodyText"/>
            </w:pPr>
            <w:r w:rsidRPr="008E72F0">
              <w:t>Distribution structures may be wood, steel, concrete or composite.</w:t>
            </w:r>
          </w:p>
          <w:p w:rsidR="00000000" w:rsidRPr="008E72F0" w:rsidP="008E72F0">
            <w:pPr>
              <w:pStyle w:val="BodyText"/>
            </w:pPr>
            <w:r w:rsidRPr="008E72F0">
              <w:t>Conductor voltage will not exceed 33kV.</w:t>
            </w:r>
          </w:p>
          <w:p w:rsidR="00000000" w:rsidRPr="008E72F0" w:rsidP="008E72F0">
            <w:pPr>
              <w:pStyle w:val="BodyText"/>
            </w:pPr>
            <w:r w:rsidRPr="008E72F0">
              <w:t>Work may be performed from elevati</w:t>
            </w:r>
            <w:r w:rsidRPr="008E72F0">
              <w:t xml:space="preserve">ng work platform, ladder, portable pole platform or insulated scaffold and may include the use of a gin pole. </w:t>
            </w:r>
          </w:p>
          <w:p w:rsidR="00000000" w:rsidRPr="008E72F0" w:rsidP="008E72F0">
            <w:pPr>
              <w:pStyle w:val="BodyText"/>
            </w:pPr>
            <w:r w:rsidRPr="008E72F0">
              <w:t>Testing and recording equipment includes phasing sticks, fault indicators, voltage detectors, leakage detectors insulation testers and test equip</w:t>
            </w:r>
            <w:r w:rsidRPr="008E72F0">
              <w:t>ment for live-line tools.</w:t>
            </w:r>
          </w:p>
          <w:p w:rsidR="00000000" w:rsidP="008E72F0">
            <w:pPr>
              <w:pStyle w:val="BodyText"/>
              <w:rPr>
                <w:lang w:val="en-NZ"/>
              </w:rPr>
            </w:pPr>
            <w:r w:rsidRPr="008E72F0">
              <w:t>The following constants and variables included in the element/performance criteria in this unit are fully described in the Definitions Section 1 of this volume and form an integral part of the Range Statement of this unit:</w:t>
            </w:r>
          </w:p>
        </w:tc>
      </w:tr>
      <w:tr w:rsidTr="00824CF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8E72F0" w:rsidP="008E72F0">
            <w:pPr>
              <w:pStyle w:val="ListBullet"/>
            </w:pPr>
            <w:r w:rsidRPr="008E72F0">
              <w:t>Appr</w:t>
            </w:r>
            <w:r w:rsidRPr="008E72F0">
              <w:t>opriate and relevant persons (see Personnel)</w:t>
            </w:r>
          </w:p>
          <w:p w:rsidR="00000000" w:rsidRPr="008E72F0" w:rsidP="008E72F0">
            <w:pPr>
              <w:pStyle w:val="ListBullet"/>
            </w:pPr>
            <w:r w:rsidRPr="008E72F0">
              <w:t>Appropriate authorities</w:t>
            </w:r>
          </w:p>
          <w:p w:rsidR="00000000" w:rsidRPr="008E72F0" w:rsidP="008E72F0">
            <w:pPr>
              <w:pStyle w:val="ListBullet"/>
            </w:pPr>
            <w:r w:rsidRPr="008E72F0">
              <w:t>Appropriate work platform</w:t>
            </w:r>
          </w:p>
          <w:p w:rsidR="00000000" w:rsidRPr="008E72F0" w:rsidP="008E72F0">
            <w:pPr>
              <w:pStyle w:val="ListBullet"/>
            </w:pPr>
            <w:r w:rsidRPr="008E72F0">
              <w:t>Assessing risk</w:t>
            </w:r>
          </w:p>
          <w:p w:rsidR="00000000" w:rsidRPr="008E72F0" w:rsidP="008E72F0">
            <w:pPr>
              <w:pStyle w:val="ListBullet"/>
            </w:pPr>
            <w:r w:rsidRPr="008E72F0">
              <w:t>Assessment</w:t>
            </w:r>
          </w:p>
          <w:p w:rsidR="00000000" w:rsidRPr="008E72F0" w:rsidP="008E72F0">
            <w:pPr>
              <w:pStyle w:val="ListBullet"/>
            </w:pPr>
            <w:r w:rsidRPr="008E72F0">
              <w:t>Authorisation</w:t>
            </w:r>
          </w:p>
          <w:p w:rsidR="00000000" w:rsidRPr="008E72F0" w:rsidP="008E72F0">
            <w:pPr>
              <w:pStyle w:val="ListBullet"/>
            </w:pPr>
            <w:r w:rsidRPr="008E72F0">
              <w:t>Diagnostic, testing and restoration</w:t>
            </w:r>
          </w:p>
          <w:p w:rsidR="00000000" w:rsidRPr="008E72F0" w:rsidP="008E72F0">
            <w:pPr>
              <w:pStyle w:val="ListBullet"/>
            </w:pPr>
            <w:r w:rsidRPr="008E72F0">
              <w:t>Documenting detail work events, record keeping and or storage of information</w:t>
            </w:r>
          </w:p>
          <w:p w:rsidR="00000000" w:rsidRPr="008E72F0" w:rsidP="008E72F0">
            <w:pPr>
              <w:pStyle w:val="ListBullet"/>
            </w:pPr>
            <w:r w:rsidRPr="008E72F0">
              <w:t>Drawings</w:t>
            </w:r>
            <w:r w:rsidRPr="008E72F0">
              <w:t xml:space="preserve"> and specifications</w:t>
            </w:r>
          </w:p>
          <w:p w:rsidR="00000000" w:rsidRPr="008E72F0" w:rsidP="008E72F0">
            <w:pPr>
              <w:pStyle w:val="ListBullet"/>
            </w:pPr>
            <w:r w:rsidRPr="008E72F0">
              <w:t>Emergency</w:t>
            </w:r>
          </w:p>
          <w:p w:rsidR="00000000" w:rsidRPr="008E72F0" w:rsidP="008E72F0">
            <w:pPr>
              <w:pStyle w:val="ListBullet"/>
            </w:pPr>
            <w:r w:rsidRPr="008E72F0">
              <w:t>Environmental and sustainable energy procedures</w:t>
            </w:r>
          </w:p>
          <w:p w:rsidR="00000000" w:rsidRPr="008E72F0" w:rsidP="008E72F0">
            <w:pPr>
              <w:pStyle w:val="ListBullet"/>
            </w:pPr>
            <w:r w:rsidRPr="008E72F0">
              <w:t>Environmental legislation</w:t>
            </w:r>
          </w:p>
          <w:p w:rsidR="00000000" w:rsidRPr="008E72F0" w:rsidP="008E72F0">
            <w:pPr>
              <w:pStyle w:val="ListBullet"/>
            </w:pPr>
            <w:r w:rsidRPr="008E72F0">
              <w:t>Environmental management documentation</w:t>
            </w:r>
          </w:p>
          <w:p w:rsidR="00000000" w:rsidRPr="008E72F0" w:rsidP="008E72F0">
            <w:pPr>
              <w:pStyle w:val="ListBullet"/>
            </w:pPr>
            <w:r w:rsidRPr="008E72F0">
              <w:t>Established procedures</w:t>
            </w:r>
          </w:p>
          <w:p w:rsidR="00000000" w:rsidRPr="008E72F0" w:rsidP="008E72F0">
            <w:pPr>
              <w:pStyle w:val="ListBullet"/>
            </w:pPr>
            <w:r w:rsidRPr="008E72F0">
              <w:t>Fall prevention</w:t>
            </w:r>
          </w:p>
          <w:p w:rsidR="00000000" w:rsidRPr="008E72F0" w:rsidP="008E72F0">
            <w:pPr>
              <w:pStyle w:val="ListBullet"/>
            </w:pPr>
            <w:r w:rsidRPr="008E72F0">
              <w:t>Hazards</w:t>
            </w:r>
          </w:p>
          <w:p w:rsidR="00000000" w:rsidRPr="008E72F0" w:rsidP="008E72F0">
            <w:pPr>
              <w:pStyle w:val="ListBullet"/>
            </w:pPr>
            <w:r w:rsidRPr="008E72F0">
              <w:t>Identifying hazards</w:t>
            </w:r>
          </w:p>
          <w:p w:rsidR="00000000" w:rsidRPr="008E72F0" w:rsidP="008E72F0">
            <w:pPr>
              <w:pStyle w:val="ListBullet"/>
            </w:pPr>
            <w:r w:rsidRPr="008E72F0">
              <w:t>Inspect</w:t>
            </w:r>
          </w:p>
          <w:p w:rsidR="00000000" w:rsidRPr="008E72F0" w:rsidP="008E72F0">
            <w:pPr>
              <w:pStyle w:val="ListBullet"/>
            </w:pPr>
            <w:r w:rsidRPr="008E72F0">
              <w:t>Legislation</w:t>
            </w:r>
          </w:p>
          <w:p w:rsidR="00000000" w:rsidRPr="008E72F0" w:rsidP="008E72F0">
            <w:pPr>
              <w:pStyle w:val="ListBullet"/>
            </w:pPr>
            <w:r w:rsidRPr="008E72F0">
              <w:t>MSDS</w:t>
            </w:r>
          </w:p>
          <w:p w:rsidR="00000000" w:rsidRPr="008E72F0" w:rsidP="008E72F0">
            <w:pPr>
              <w:pStyle w:val="ListBullet"/>
            </w:pPr>
            <w:r w:rsidRPr="008E72F0">
              <w:t>Notification</w:t>
            </w:r>
          </w:p>
          <w:p w:rsidR="00000000" w:rsidRPr="008E72F0" w:rsidP="008E72F0">
            <w:pPr>
              <w:pStyle w:val="ListBullet"/>
            </w:pPr>
            <w:r w:rsidRPr="008E72F0">
              <w:t>OHS practices</w:t>
            </w:r>
          </w:p>
          <w:p w:rsidR="00000000" w:rsidRPr="008E72F0" w:rsidP="008E72F0">
            <w:pPr>
              <w:pStyle w:val="ListBullet"/>
            </w:pPr>
            <w:r w:rsidRPr="008E72F0">
              <w:t>OHS issues</w:t>
            </w:r>
          </w:p>
          <w:p w:rsidR="00000000" w:rsidRPr="008E72F0" w:rsidP="008E72F0">
            <w:pPr>
              <w:pStyle w:val="ListBullet"/>
            </w:pPr>
            <w:r w:rsidRPr="008E72F0">
              <w:t>Permits and/or permits to work</w:t>
            </w:r>
          </w:p>
          <w:p w:rsidR="00000000" w:rsidRPr="008E72F0" w:rsidP="008E72F0">
            <w:pPr>
              <w:pStyle w:val="ListBullet"/>
            </w:pPr>
            <w:r w:rsidRPr="008E72F0">
              <w:t>Personnel</w:t>
            </w:r>
          </w:p>
          <w:p w:rsidR="00000000" w:rsidRPr="008E72F0" w:rsidP="008E72F0">
            <w:pPr>
              <w:pStyle w:val="ListBullet"/>
            </w:pPr>
            <w:r w:rsidRPr="008E72F0">
              <w:t>Quality assurance systems</w:t>
            </w:r>
          </w:p>
          <w:p w:rsidR="00000000" w:rsidRPr="008E72F0" w:rsidP="008E72F0">
            <w:pPr>
              <w:pStyle w:val="ListBullet"/>
            </w:pPr>
            <w:r w:rsidRPr="008E72F0">
              <w:t>Requirements</w:t>
            </w:r>
          </w:p>
          <w:p w:rsidR="00000000" w:rsidRPr="008E72F0" w:rsidP="008E72F0">
            <w:pPr>
              <w:pStyle w:val="ListBullet"/>
            </w:pPr>
            <w:r w:rsidRPr="008E72F0">
              <w:t>Testing procedures</w:t>
            </w:r>
          </w:p>
          <w:p w:rsidR="00000000" w:rsidRPr="008E72F0" w:rsidP="008E72F0">
            <w:pPr>
              <w:pStyle w:val="ListBullet"/>
            </w:pPr>
            <w:r w:rsidRPr="008E72F0">
              <w:t>Work clearance systems</w:t>
            </w:r>
          </w:p>
        </w:tc>
      </w:tr>
    </w:tbl>
    <w:p w:rsidR="00824CFB" w:rsidP="008E72F0">
      <w:pPr>
        <w:pStyle w:val="BodyText"/>
      </w:pPr>
    </w:p>
    <w:p w:rsidR="00824CFB" w:rsidP="008E72F0">
      <w:pPr>
        <w:pStyle w:val="BodyText"/>
      </w:pPr>
    </w:p>
    <w:p w:rsidR="00000000" w:rsidRPr="008E72F0" w:rsidP="008E72F0">
      <w:pPr>
        <w:pStyle w:val="Heading1"/>
      </w:pPr>
      <w:bookmarkStart w:id="12" w:name="O_297122"/>
      <w:bookmarkEnd w:id="12"/>
      <w:r w:rsidRPr="008E72F0">
        <w:t>Unit Sector(s)</w:t>
      </w:r>
    </w:p>
    <w:p w:rsidR="00000000" w:rsidRPr="008E72F0" w:rsidP="008E72F0">
      <w:pPr>
        <w:pStyle w:val="BodyText"/>
      </w:pPr>
      <w:r w:rsidRPr="008E72F0">
        <w:t>Not Applicable</w:t>
      </w:r>
    </w:p>
    <w:p w:rsidR="00000000" w:rsidRPr="008E72F0" w:rsidP="008E72F0">
      <w:pPr>
        <w:pStyle w:val="AllowPageBreak"/>
      </w:pPr>
    </w:p>
    <w:p w:rsidR="00000000" w:rsidRPr="008E72F0" w:rsidP="008E72F0">
      <w:pPr>
        <w:pStyle w:val="Heading1"/>
      </w:pPr>
      <w:bookmarkStart w:id="13" w:name="O_231147"/>
      <w:bookmarkEnd w:id="13"/>
      <w:r w:rsidRPr="008E72F0">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824CF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2</w:t>
            </w:r>
            <w:r w:rsidRPr="008E72F0">
              <w:t>.</w:t>
            </w:r>
            <w:r w:rsidRPr="008E72F0">
              <w:rPr>
                <w:rStyle w:val="SpecialBold"/>
              </w:rPr>
              <w:t>2</w:t>
            </w:r>
            <w:r w:rsidRPr="008E72F0">
              <w:t xml:space="preserve">) </w:t>
            </w:r>
            <w:r w:rsidRPr="008E72F0">
              <w:rPr>
                <w:rStyle w:val="SpecialBold"/>
              </w:rPr>
              <w:t>Literacy and numeracy skills</w:t>
            </w:r>
          </w:p>
          <w:p w:rsidR="00000000" w:rsidP="008E72F0">
            <w:pPr>
              <w:pStyle w:val="BodyText"/>
              <w:rPr>
                <w:lang w:val="en-NZ"/>
              </w:rPr>
            </w:pPr>
            <w:r w:rsidRPr="008E72F0">
              <w:t>Participants are best equipped to achieve this unit if they have reading, writing and numeracy skills indicated by the following scales. Description of each scale is given in Volume 2, Part 3 "Literacy and Numeracy"</w:t>
            </w:r>
          </w:p>
        </w:tc>
      </w:tr>
      <w:tr w:rsidTr="00824CFB">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Reading</w:t>
            </w:r>
          </w:p>
        </w:tc>
        <w:tc>
          <w:tcPr>
            <w:tcW w:w="1207"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4</w:t>
            </w:r>
          </w:p>
        </w:tc>
        <w:tc>
          <w:tcPr>
            <w:tcW w:w="1776"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Writing</w:t>
            </w:r>
          </w:p>
        </w:tc>
        <w:tc>
          <w:tcPr>
            <w:tcW w:w="1207"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4</w:t>
            </w:r>
          </w:p>
        </w:tc>
        <w:tc>
          <w:tcPr>
            <w:tcW w:w="1758"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t>Numeracy</w:t>
            </w:r>
          </w:p>
        </w:tc>
        <w:tc>
          <w:tcPr>
            <w:tcW w:w="1207"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4</w:t>
            </w:r>
          </w:p>
        </w:tc>
      </w:tr>
    </w:tbl>
    <w:p w:rsidR="00824CFB" w:rsidP="008E72F0">
      <w:pPr>
        <w:pStyle w:val="BodyText"/>
      </w:pPr>
    </w:p>
    <w:p w:rsidR="00824CFB" w:rsidP="008E72F0">
      <w:pPr>
        <w:pStyle w:val="BodyText"/>
      </w:pPr>
    </w:p>
    <w:p w:rsidR="00000000" w:rsidRPr="008E72F0" w:rsidP="008E72F0">
      <w:pPr>
        <w:pStyle w:val="Heading1"/>
      </w:pPr>
      <w:bookmarkStart w:id="14" w:name="O_231150"/>
      <w:bookmarkEnd w:id="14"/>
      <w:r w:rsidRPr="008E72F0">
        <w:t>Competency Field</w:t>
      </w:r>
    </w:p>
    <w:tbl>
      <w:tblPr>
        <w:tblW w:w="0" w:type="auto"/>
        <w:tblLayout w:type="fixed"/>
        <w:tblCellMar>
          <w:left w:w="62" w:type="dxa"/>
          <w:right w:w="62" w:type="dxa"/>
        </w:tblCellMar>
        <w:tblLook w:val="0000"/>
      </w:tblPr>
      <w:tblGrid>
        <w:gridCol w:w="2758"/>
        <w:gridCol w:w="5882"/>
      </w:tblGrid>
      <w:tr w:rsidTr="00824CF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8E72F0">
            <w:pPr>
              <w:pStyle w:val="BodyText"/>
              <w:rPr>
                <w:lang w:val="en-NZ"/>
              </w:rPr>
            </w:pPr>
            <w:r w:rsidRPr="008E72F0">
              <w:rPr>
                <w:rStyle w:val="SpecialBold"/>
              </w:rPr>
              <w:t>5</w:t>
            </w:r>
            <w:r w:rsidRPr="008E72F0">
              <w:t>)</w:t>
            </w:r>
          </w:p>
        </w:tc>
      </w:tr>
      <w:tr w:rsidTr="00824CF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E72F0" w:rsidP="008E72F0">
            <w:pPr>
              <w:pStyle w:val="BodyText"/>
            </w:pPr>
            <w:r w:rsidRPr="008E72F0">
              <w:t>Distribution.</w:t>
            </w:r>
          </w:p>
        </w:tc>
      </w:tr>
    </w:tbl>
    <w:p w:rsidR="00824CFB" w:rsidP="008E72F0">
      <w:pPr>
        <w:pStyle w:val="BodyText"/>
      </w:pPr>
    </w:p>
    <w:p w:rsidR="00824CFB" w:rsidP="008E72F0">
      <w:pPr>
        <w:pStyle w:val="BodyText"/>
      </w:pPr>
    </w:p>
    <w:p w:rsidR="00000000" w:rsidRPr="008E72F0" w:rsidP="008E72F0"/>
    <w:sectPr w:rsidSect="008E72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CFB" w:rsidP="00824C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FB" w:rsidP="008E72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24CFB" w:rsidP="008E72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24CFB" w:rsidP="008E72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F0" w:rsidRPr="00824CFB" w:rsidP="00824C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FB" w:rsidRPr="002D2AF8" w:rsidP="008E72F0">
    <w:pPr>
      <w:pStyle w:val="Header"/>
      <w:framePr w:wrap="around"/>
    </w:pPr>
    <w:r>
      <w:fldChar w:fldCharType="begin"/>
    </w:r>
    <w:r>
      <w:instrText xml:space="preserve"> TITLE   \* MERGEFORMAT </w:instrText>
    </w:r>
    <w:r>
      <w:fldChar w:fldCharType="separate"/>
    </w:r>
    <w:r>
      <w:t>UETTDRDP04B Maintain energised high voltage distribution overhead electrical apparatus (glove)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24CFB" w:rsidP="008E7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7E5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E24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6C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2F0"/>
    <w:pPr>
      <w:spacing w:before="360" w:after="60"/>
      <w:outlineLvl w:val="0"/>
    </w:pPr>
    <w:rPr>
      <w:sz w:val="32"/>
    </w:rPr>
  </w:style>
  <w:style w:type="paragraph" w:styleId="Heading2">
    <w:name w:val="heading 2"/>
    <w:basedOn w:val="HeadingBase"/>
    <w:next w:val="BodyText"/>
    <w:link w:val="Heading2Char"/>
    <w:qFormat/>
    <w:rsid w:val="008E72F0"/>
    <w:pPr>
      <w:keepLines/>
      <w:spacing w:before="240" w:after="120"/>
      <w:outlineLvl w:val="1"/>
    </w:pPr>
    <w:rPr>
      <w:sz w:val="28"/>
      <w:szCs w:val="40"/>
    </w:rPr>
  </w:style>
  <w:style w:type="paragraph" w:styleId="Heading3">
    <w:name w:val="heading 3"/>
    <w:basedOn w:val="HeadingBase"/>
    <w:next w:val="BodyText"/>
    <w:link w:val="Heading3Char"/>
    <w:qFormat/>
    <w:rsid w:val="008E72F0"/>
    <w:pPr>
      <w:spacing w:before="180" w:after="120"/>
      <w:outlineLvl w:val="2"/>
    </w:pPr>
    <w:rPr>
      <w:spacing w:val="-10"/>
      <w:kern w:val="32"/>
    </w:rPr>
  </w:style>
  <w:style w:type="paragraph" w:styleId="Heading4">
    <w:name w:val="heading 4"/>
    <w:basedOn w:val="HeadingBase"/>
    <w:next w:val="BodyText"/>
    <w:link w:val="Heading4Char"/>
    <w:qFormat/>
    <w:rsid w:val="008E72F0"/>
    <w:pPr>
      <w:spacing w:before="160" w:after="120"/>
      <w:outlineLvl w:val="3"/>
    </w:pPr>
    <w:rPr>
      <w:sz w:val="22"/>
    </w:rPr>
  </w:style>
  <w:style w:type="paragraph" w:styleId="Heading5">
    <w:name w:val="heading 5"/>
    <w:basedOn w:val="HeadingBase"/>
    <w:next w:val="Normal"/>
    <w:link w:val="Heading5Char"/>
    <w:qFormat/>
    <w:rsid w:val="008E72F0"/>
    <w:pPr>
      <w:spacing w:before="80"/>
      <w:outlineLvl w:val="4"/>
    </w:pPr>
    <w:rPr>
      <w:color w:val="918585"/>
      <w:sz w:val="20"/>
    </w:rPr>
  </w:style>
  <w:style w:type="paragraph" w:styleId="Heading6">
    <w:name w:val="heading 6"/>
    <w:basedOn w:val="HeadingBase"/>
    <w:next w:val="Normal"/>
    <w:link w:val="Heading6Char"/>
    <w:qFormat/>
    <w:rsid w:val="008E72F0"/>
    <w:pPr>
      <w:spacing w:before="60"/>
      <w:outlineLvl w:val="5"/>
    </w:pPr>
    <w:rPr>
      <w:color w:val="918585"/>
      <w:sz w:val="20"/>
    </w:rPr>
  </w:style>
  <w:style w:type="paragraph" w:styleId="Heading7">
    <w:name w:val="heading 7"/>
    <w:basedOn w:val="Normal"/>
    <w:next w:val="Normal"/>
    <w:link w:val="Heading7Char"/>
    <w:qFormat/>
    <w:rsid w:val="008E72F0"/>
    <w:pPr>
      <w:ind w:left="720"/>
      <w:outlineLvl w:val="6"/>
    </w:pPr>
    <w:rPr>
      <w:i/>
    </w:rPr>
  </w:style>
  <w:style w:type="paragraph" w:styleId="Heading8">
    <w:name w:val="heading 8"/>
    <w:basedOn w:val="Normal"/>
    <w:next w:val="Normal"/>
    <w:link w:val="Heading8Char"/>
    <w:qFormat/>
    <w:rsid w:val="008E72F0"/>
    <w:pPr>
      <w:ind w:left="720"/>
      <w:outlineLvl w:val="7"/>
    </w:pPr>
    <w:rPr>
      <w:i/>
    </w:rPr>
  </w:style>
  <w:style w:type="paragraph" w:styleId="Heading9">
    <w:name w:val="heading 9"/>
    <w:basedOn w:val="Normal"/>
    <w:next w:val="Normal"/>
    <w:link w:val="Heading9Char"/>
    <w:qFormat/>
    <w:rsid w:val="008E72F0"/>
    <w:pPr>
      <w:ind w:left="720"/>
      <w:outlineLvl w:val="8"/>
    </w:pPr>
    <w:rPr>
      <w:i/>
    </w:rPr>
  </w:style>
  <w:style w:type="character" w:default="1" w:styleId="DefaultParagraphFont">
    <w:name w:val="Default Paragraph Font"/>
    <w:uiPriority w:val="1"/>
    <w:unhideWhenUsed/>
    <w:rsid w:val="008E7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2F0"/>
  </w:style>
  <w:style w:type="character" w:customStyle="1" w:styleId="Heading1Char">
    <w:name w:val="Heading 1 Char"/>
    <w:basedOn w:val="DefaultParagraphFont"/>
    <w:link w:val="Heading1"/>
    <w:rsid w:val="008E72F0"/>
    <w:rPr>
      <w:rFonts w:ascii="Times New Roman" w:eastAsia="Times New Roman" w:hAnsi="Times New Roman" w:cs="Times New Roman"/>
      <w:b/>
      <w:sz w:val="32"/>
      <w:szCs w:val="20"/>
      <w:lang w:eastAsia="en-US"/>
    </w:rPr>
  </w:style>
  <w:style w:type="paragraph" w:styleId="BodyText">
    <w:name w:val="Body Text"/>
    <w:basedOn w:val="Normal"/>
    <w:link w:val="BodyTextChar"/>
    <w:rsid w:val="008E72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72F0"/>
    <w:rPr>
      <w:rFonts w:ascii="Times New Roman" w:eastAsia="Times New Roman" w:hAnsi="Times New Roman" w:cs="Times New Roman"/>
      <w:sz w:val="24"/>
      <w:lang w:eastAsia="en-US"/>
    </w:rPr>
  </w:style>
  <w:style w:type="paragraph" w:styleId="Footer">
    <w:name w:val="footer"/>
    <w:basedOn w:val="Normal"/>
    <w:link w:val="FooterChar"/>
    <w:rsid w:val="008E7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2F0"/>
    <w:rPr>
      <w:rFonts w:ascii="Times New Roman" w:eastAsia="Times New Roman" w:hAnsi="Times New Roman" w:cs="Times New Roman"/>
      <w:sz w:val="16"/>
      <w:lang w:eastAsia="en-US"/>
    </w:rPr>
  </w:style>
  <w:style w:type="paragraph" w:styleId="ListBullet">
    <w:name w:val="List Bullet"/>
    <w:basedOn w:val="List"/>
    <w:rsid w:val="008E72F0"/>
    <w:pPr>
      <w:numPr>
        <w:numId w:val="13"/>
      </w:numPr>
      <w:tabs>
        <w:tab w:val="clear" w:pos="340"/>
      </w:tabs>
      <w:spacing w:before="40" w:after="40"/>
    </w:pPr>
  </w:style>
  <w:style w:type="character" w:customStyle="1" w:styleId="SpecialBold">
    <w:name w:val="Special Bold"/>
    <w:basedOn w:val="DefaultParagraphFont"/>
    <w:rsid w:val="008E72F0"/>
    <w:rPr>
      <w:b/>
      <w:spacing w:val="0"/>
    </w:rPr>
  </w:style>
  <w:style w:type="paragraph" w:styleId="ListBullet2">
    <w:name w:val="List Bullet 2"/>
    <w:basedOn w:val="List2"/>
    <w:rsid w:val="008E72F0"/>
    <w:pPr>
      <w:numPr>
        <w:numId w:val="14"/>
      </w:numPr>
      <w:tabs>
        <w:tab w:val="clear" w:pos="680"/>
      </w:tabs>
    </w:pPr>
  </w:style>
  <w:style w:type="paragraph" w:customStyle="1" w:styleId="SuperHeading">
    <w:name w:val="SuperHeading"/>
    <w:basedOn w:val="Normal"/>
    <w:rsid w:val="008E72F0"/>
    <w:pPr>
      <w:spacing w:before="240" w:after="120"/>
      <w:outlineLvl w:val="0"/>
    </w:pPr>
    <w:rPr>
      <w:rFonts w:ascii="Times New Roman" w:hAnsi="Times New Roman"/>
      <w:b/>
      <w:sz w:val="28"/>
    </w:rPr>
  </w:style>
  <w:style w:type="paragraph" w:customStyle="1" w:styleId="AllowPageBreak">
    <w:name w:val="AllowPageBreak"/>
    <w:rsid w:val="008E72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2F0"/>
    <w:rPr>
      <w:rFonts w:ascii="Courier New" w:eastAsia="Times New Roman" w:hAnsi="Courier New" w:cs="Times New Roman"/>
      <w:i/>
      <w:szCs w:val="20"/>
      <w:lang w:eastAsia="en-US"/>
    </w:rPr>
  </w:style>
  <w:style w:type="paragraph" w:customStyle="1" w:styleId="HeadingBase">
    <w:name w:val="Heading Base"/>
    <w:rsid w:val="008E7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2F0"/>
    <w:pPr>
      <w:tabs>
        <w:tab w:val="right" w:leader="dot" w:pos="9072"/>
      </w:tabs>
      <w:ind w:left="567"/>
    </w:pPr>
    <w:rPr>
      <w:szCs w:val="22"/>
    </w:rPr>
  </w:style>
  <w:style w:type="paragraph" w:customStyle="1" w:styleId="TOCBase">
    <w:name w:val="TOC Base"/>
    <w:rsid w:val="008E7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2F0"/>
    <w:pPr>
      <w:tabs>
        <w:tab w:val="right" w:leader="dot" w:pos="9072"/>
      </w:tabs>
      <w:spacing w:before="40" w:after="40"/>
      <w:ind w:left="284"/>
    </w:pPr>
    <w:rPr>
      <w:rFonts w:ascii="Times New Roman" w:hAnsi="Times New Roman"/>
    </w:rPr>
  </w:style>
  <w:style w:type="paragraph" w:styleId="TOC1">
    <w:name w:val="toc 1"/>
    <w:basedOn w:val="TOCBase"/>
    <w:next w:val="Normal"/>
    <w:rsid w:val="008E72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72F0"/>
    <w:pPr>
      <w:spacing w:before="5040"/>
      <w:jc w:val="center"/>
    </w:pPr>
    <w:rPr>
      <w:sz w:val="48"/>
      <w:szCs w:val="72"/>
      <w:lang w:val="en-US"/>
    </w:rPr>
  </w:style>
  <w:style w:type="character" w:customStyle="1" w:styleId="TitleChar">
    <w:name w:val="Title Char"/>
    <w:basedOn w:val="DefaultParagraphFont"/>
    <w:link w:val="Title"/>
    <w:rsid w:val="008E7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2F0"/>
    <w:pPr>
      <w:tabs>
        <w:tab w:val="left" w:pos="3600"/>
        <w:tab w:val="left" w:pos="3958"/>
      </w:tabs>
    </w:pPr>
  </w:style>
  <w:style w:type="paragraph" w:styleId="List">
    <w:name w:val="List"/>
    <w:basedOn w:val="BodyText"/>
    <w:next w:val="BodyText"/>
    <w:rsid w:val="008E72F0"/>
    <w:pPr>
      <w:tabs>
        <w:tab w:val="left" w:pos="340"/>
      </w:tabs>
      <w:spacing w:before="60" w:after="60"/>
      <w:ind w:left="340" w:hanging="340"/>
    </w:pPr>
  </w:style>
  <w:style w:type="paragraph" w:customStyle="1" w:styleId="Note">
    <w:name w:val="Note"/>
    <w:basedOn w:val="BodyText"/>
    <w:rsid w:val="008E7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2F0"/>
    <w:pPr>
      <w:framePr w:wrap="auto" w:hAnchor="text" w:y="6049"/>
    </w:pPr>
    <w:rPr>
      <w:color w:val="000000"/>
      <w:sz w:val="40"/>
    </w:rPr>
  </w:style>
  <w:style w:type="paragraph" w:customStyle="1" w:styleId="TOCTitle">
    <w:name w:val="TOCTitle"/>
    <w:basedOn w:val="Heading1"/>
    <w:rsid w:val="008E72F0"/>
    <w:pPr>
      <w:spacing w:after="240"/>
      <w:jc w:val="center"/>
      <w:outlineLvl w:val="9"/>
    </w:pPr>
    <w:rPr>
      <w:caps/>
    </w:rPr>
  </w:style>
  <w:style w:type="paragraph" w:customStyle="1" w:styleId="Version">
    <w:name w:val="Version"/>
    <w:rsid w:val="008E7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2F0"/>
    <w:pPr>
      <w:keepNext w:val="0"/>
      <w:tabs>
        <w:tab w:val="right" w:pos="4176"/>
      </w:tabs>
      <w:ind w:left="198" w:hanging="198"/>
    </w:pPr>
    <w:rPr>
      <w:rFonts w:ascii="Garamond" w:hAnsi="Garamond"/>
    </w:rPr>
  </w:style>
  <w:style w:type="paragraph" w:styleId="IndexHeading">
    <w:name w:val="index heading"/>
    <w:basedOn w:val="Normal"/>
    <w:next w:val="Index1"/>
    <w:semiHidden/>
    <w:rsid w:val="008E72F0"/>
    <w:pPr>
      <w:spacing w:before="120" w:after="120"/>
    </w:pPr>
    <w:rPr>
      <w:rFonts w:ascii="Arial" w:hAnsi="Arial"/>
      <w:b/>
      <w:color w:val="918585"/>
      <w:sz w:val="24"/>
    </w:rPr>
  </w:style>
  <w:style w:type="paragraph" w:styleId="Header">
    <w:name w:val="header"/>
    <w:basedOn w:val="Normal"/>
    <w:link w:val="HeaderChar"/>
    <w:rsid w:val="008E7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2F0"/>
    <w:rPr>
      <w:rFonts w:ascii="Times New Roman" w:eastAsia="Times New Roman" w:hAnsi="Times New Roman" w:cs="Times New Roman"/>
      <w:sz w:val="16"/>
      <w:szCs w:val="20"/>
      <w:lang w:val="en-GB" w:eastAsia="en-US"/>
    </w:rPr>
  </w:style>
  <w:style w:type="paragraph" w:customStyle="1" w:styleId="Chapter">
    <w:name w:val="Chapter"/>
    <w:basedOn w:val="Normal"/>
    <w:rsid w:val="008E72F0"/>
    <w:pPr>
      <w:spacing w:before="240"/>
    </w:pPr>
    <w:rPr>
      <w:rFonts w:ascii="Times New Roman" w:hAnsi="Times New Roman"/>
      <w:smallCaps/>
      <w:spacing w:val="80"/>
      <w:sz w:val="28"/>
    </w:rPr>
  </w:style>
  <w:style w:type="paragraph" w:customStyle="1" w:styleId="InChapter">
    <w:name w:val="InChapter"/>
    <w:basedOn w:val="Heading3"/>
    <w:rsid w:val="008E72F0"/>
    <w:pPr>
      <w:spacing w:after="240"/>
      <w:outlineLvl w:val="9"/>
    </w:pPr>
    <w:rPr>
      <w:noProof/>
    </w:rPr>
  </w:style>
  <w:style w:type="paragraph" w:styleId="Index2">
    <w:name w:val="index 2"/>
    <w:basedOn w:val="Normal"/>
    <w:next w:val="Normal"/>
    <w:semiHidden/>
    <w:rsid w:val="008E72F0"/>
    <w:pPr>
      <w:tabs>
        <w:tab w:val="right" w:pos="4176"/>
      </w:tabs>
      <w:ind w:left="568" w:hanging="284"/>
    </w:pPr>
    <w:rPr>
      <w:rFonts w:ascii="Garamond" w:hAnsi="Garamond"/>
    </w:rPr>
  </w:style>
  <w:style w:type="paragraph" w:customStyle="1" w:styleId="Byline">
    <w:name w:val="Byline"/>
    <w:rsid w:val="008E7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2F0"/>
    <w:pPr>
      <w:tabs>
        <w:tab w:val="clear" w:pos="3600"/>
        <w:tab w:val="clear" w:pos="3958"/>
      </w:tabs>
      <w:jc w:val="right"/>
    </w:pPr>
  </w:style>
  <w:style w:type="character" w:styleId="Emphasis">
    <w:name w:val="Emphasis"/>
    <w:basedOn w:val="DefaultParagraphFont"/>
    <w:qFormat/>
    <w:rsid w:val="008E72F0"/>
    <w:rPr>
      <w:i/>
    </w:rPr>
  </w:style>
  <w:style w:type="paragraph" w:styleId="Caption">
    <w:name w:val="caption"/>
    <w:basedOn w:val="BodyText"/>
    <w:next w:val="Normal"/>
    <w:qFormat/>
    <w:rsid w:val="008E72F0"/>
    <w:pPr>
      <w:framePr w:w="2268" w:hSpace="181" w:vSpace="181" w:wrap="around" w:vAnchor="text" w:hAnchor="page" w:x="1135" w:y="285" w:anchorLock="1"/>
    </w:pPr>
    <w:rPr>
      <w:i/>
    </w:rPr>
  </w:style>
  <w:style w:type="paragraph" w:customStyle="1" w:styleId="MiniTOCTitle">
    <w:name w:val="MiniTOCTitle"/>
    <w:basedOn w:val="Heading4"/>
    <w:rsid w:val="008E72F0"/>
    <w:pPr>
      <w:spacing w:before="240"/>
      <w:outlineLvl w:val="9"/>
    </w:pPr>
    <w:rPr>
      <w:noProof/>
      <w:sz w:val="24"/>
    </w:rPr>
  </w:style>
  <w:style w:type="paragraph" w:customStyle="1" w:styleId="MiniTOCItem">
    <w:name w:val="MiniTOCItem"/>
    <w:basedOn w:val="ListBullet"/>
    <w:rsid w:val="008E72F0"/>
    <w:pPr>
      <w:numPr>
        <w:numId w:val="0"/>
      </w:numPr>
      <w:tabs>
        <w:tab w:val="right" w:leader="dot" w:pos="6521"/>
      </w:tabs>
      <w:spacing w:before="0" w:after="0"/>
    </w:pPr>
  </w:style>
  <w:style w:type="paragraph" w:customStyle="1" w:styleId="TOFTitle">
    <w:name w:val="TOFTitle"/>
    <w:basedOn w:val="TOCTitle"/>
    <w:rsid w:val="008E72F0"/>
  </w:style>
  <w:style w:type="paragraph" w:styleId="TableofFigures">
    <w:name w:val="table of figures"/>
    <w:basedOn w:val="Normal"/>
    <w:next w:val="Normal"/>
    <w:semiHidden/>
    <w:rsid w:val="008E72F0"/>
    <w:pPr>
      <w:tabs>
        <w:tab w:val="right" w:leader="dot" w:pos="9072"/>
      </w:tabs>
      <w:ind w:left="970" w:hanging="403"/>
    </w:pPr>
    <w:rPr>
      <w:rFonts w:ascii="Times New Roman" w:hAnsi="Times New Roman"/>
      <w:b/>
    </w:rPr>
  </w:style>
  <w:style w:type="paragraph" w:styleId="ListNumber">
    <w:name w:val="List Number"/>
    <w:basedOn w:val="List"/>
    <w:rsid w:val="008E72F0"/>
    <w:pPr>
      <w:numPr>
        <w:numId w:val="11"/>
      </w:numPr>
    </w:pPr>
  </w:style>
  <w:style w:type="character" w:customStyle="1" w:styleId="WingdingSymbols">
    <w:name w:val="Wingding Symbols"/>
    <w:rsid w:val="008E72F0"/>
    <w:rPr>
      <w:rFonts w:ascii="Wingdings" w:hAnsi="Wingdings"/>
    </w:rPr>
  </w:style>
  <w:style w:type="paragraph" w:customStyle="1" w:styleId="TableHeading">
    <w:name w:val="Table Heading"/>
    <w:basedOn w:val="HeadingBase"/>
    <w:rsid w:val="008E72F0"/>
    <w:pPr>
      <w:keepLines/>
      <w:pBdr>
        <w:bottom w:val="single" w:sz="6" w:space="1" w:color="918585"/>
      </w:pBdr>
      <w:spacing w:before="240"/>
    </w:pPr>
  </w:style>
  <w:style w:type="character" w:customStyle="1" w:styleId="HotSpot">
    <w:name w:val="HotSpot"/>
    <w:rsid w:val="008E72F0"/>
    <w:rPr>
      <w:color w:val="0033CC"/>
      <w:u w:val="none"/>
    </w:rPr>
  </w:style>
  <w:style w:type="paragraph" w:customStyle="1" w:styleId="BodyTextRight">
    <w:name w:val="Body Text Right"/>
    <w:basedOn w:val="BodyText"/>
    <w:rsid w:val="008E72F0"/>
    <w:pPr>
      <w:spacing w:before="0" w:after="0"/>
      <w:jc w:val="right"/>
    </w:pPr>
  </w:style>
  <w:style w:type="paragraph" w:styleId="Index3">
    <w:name w:val="index 3"/>
    <w:basedOn w:val="ListNumber2"/>
    <w:next w:val="Normal"/>
    <w:semiHidden/>
    <w:rsid w:val="008E72F0"/>
    <w:pPr>
      <w:numPr>
        <w:numId w:val="0"/>
      </w:numPr>
      <w:tabs>
        <w:tab w:val="right" w:leader="dot" w:pos="4176"/>
      </w:tabs>
    </w:pPr>
  </w:style>
  <w:style w:type="paragraph" w:styleId="ListNumber2">
    <w:name w:val="List Number 2"/>
    <w:basedOn w:val="List2"/>
    <w:rsid w:val="008E72F0"/>
    <w:pPr>
      <w:numPr>
        <w:numId w:val="10"/>
      </w:numPr>
      <w:tabs>
        <w:tab w:val="clear" w:pos="1060"/>
      </w:tabs>
    </w:pPr>
  </w:style>
  <w:style w:type="paragraph" w:customStyle="1" w:styleId="MarginNote">
    <w:name w:val="Margin Note"/>
    <w:basedOn w:val="BodyText"/>
    <w:rsid w:val="008E7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2F0"/>
    <w:rPr>
      <w:sz w:val="32"/>
    </w:rPr>
  </w:style>
  <w:style w:type="paragraph" w:customStyle="1" w:styleId="HeadingProcedure">
    <w:name w:val="Heading Procedure"/>
    <w:basedOn w:val="HeadingBase"/>
    <w:next w:val="Normal"/>
    <w:rsid w:val="008E72F0"/>
    <w:pPr>
      <w:tabs>
        <w:tab w:val="left" w:pos="0"/>
      </w:tabs>
      <w:spacing w:before="120" w:after="60"/>
    </w:pPr>
    <w:rPr>
      <w:i/>
      <w:color w:val="918585"/>
      <w:sz w:val="22"/>
    </w:rPr>
  </w:style>
  <w:style w:type="paragraph" w:customStyle="1" w:styleId="TableBodyText">
    <w:name w:val="Table Body Text"/>
    <w:basedOn w:val="BodyText"/>
    <w:rsid w:val="008E72F0"/>
    <w:pPr>
      <w:spacing w:before="60" w:after="60"/>
    </w:pPr>
  </w:style>
  <w:style w:type="paragraph" w:styleId="ListContinue">
    <w:name w:val="List Continue"/>
    <w:basedOn w:val="List"/>
    <w:rsid w:val="008E72F0"/>
    <w:pPr>
      <w:ind w:firstLine="0"/>
    </w:pPr>
  </w:style>
  <w:style w:type="paragraph" w:customStyle="1" w:styleId="ListNote">
    <w:name w:val="List Note"/>
    <w:basedOn w:val="List"/>
    <w:rsid w:val="008E72F0"/>
    <w:pPr>
      <w:pBdr>
        <w:top w:val="single" w:sz="6" w:space="2" w:color="918585"/>
        <w:bottom w:val="single" w:sz="6" w:space="2" w:color="918585"/>
      </w:pBdr>
      <w:tabs>
        <w:tab w:val="left" w:pos="1021"/>
      </w:tabs>
      <w:ind w:firstLine="0"/>
    </w:pPr>
  </w:style>
  <w:style w:type="paragraph" w:customStyle="1" w:styleId="Warning">
    <w:name w:val="Warning"/>
    <w:basedOn w:val="BodyText"/>
    <w:rsid w:val="008E72F0"/>
    <w:pPr>
      <w:shd w:val="clear" w:color="auto" w:fill="D9D9D9"/>
      <w:tabs>
        <w:tab w:val="left" w:pos="992"/>
      </w:tabs>
      <w:ind w:left="119" w:right="119"/>
    </w:pPr>
    <w:rPr>
      <w:sz w:val="20"/>
    </w:rPr>
  </w:style>
  <w:style w:type="paragraph" w:customStyle="1" w:styleId="MarginIcons">
    <w:name w:val="Margin Icons"/>
    <w:basedOn w:val="BodyText"/>
    <w:rsid w:val="008E7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2F0"/>
    <w:rPr>
      <w:rFonts w:ascii="Courier New" w:hAnsi="Courier New"/>
    </w:rPr>
  </w:style>
  <w:style w:type="paragraph" w:customStyle="1" w:styleId="NoteBullet">
    <w:name w:val="Note Bullet"/>
    <w:basedOn w:val="Note"/>
    <w:rsid w:val="008E72F0"/>
    <w:pPr>
      <w:tabs>
        <w:tab w:val="clear" w:pos="680"/>
      </w:tabs>
      <w:spacing w:before="60" w:after="60"/>
    </w:pPr>
  </w:style>
  <w:style w:type="paragraph" w:customStyle="1" w:styleId="SubHeading2">
    <w:name w:val="SubHeading2"/>
    <w:basedOn w:val="HeadingBase"/>
    <w:rsid w:val="008E72F0"/>
    <w:pPr>
      <w:spacing w:before="240" w:after="60"/>
    </w:pPr>
    <w:rPr>
      <w:sz w:val="20"/>
    </w:rPr>
  </w:style>
  <w:style w:type="paragraph" w:customStyle="1" w:styleId="SubHeading1">
    <w:name w:val="SubHeading1"/>
    <w:basedOn w:val="HeadingBase"/>
    <w:rsid w:val="008E72F0"/>
    <w:pPr>
      <w:spacing w:before="240" w:after="60"/>
    </w:pPr>
    <w:rPr>
      <w:color w:val="918585"/>
      <w:sz w:val="22"/>
    </w:rPr>
  </w:style>
  <w:style w:type="paragraph" w:customStyle="1" w:styleId="SideHeading">
    <w:name w:val="Side Heading"/>
    <w:basedOn w:val="HeadingBase"/>
    <w:rsid w:val="008E7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2F0"/>
    <w:pPr>
      <w:numPr>
        <w:numId w:val="12"/>
      </w:numPr>
    </w:pPr>
  </w:style>
  <w:style w:type="paragraph" w:styleId="PlainText">
    <w:name w:val="Plain Text"/>
    <w:basedOn w:val="Normal"/>
    <w:link w:val="PlainTextChar"/>
    <w:rsid w:val="008E72F0"/>
    <w:rPr>
      <w:sz w:val="20"/>
    </w:rPr>
  </w:style>
  <w:style w:type="character" w:customStyle="1" w:styleId="PlainTextChar">
    <w:name w:val="Plain Text Char"/>
    <w:basedOn w:val="DefaultParagraphFont"/>
    <w:link w:val="PlainText"/>
    <w:rsid w:val="008E72F0"/>
    <w:rPr>
      <w:rFonts w:ascii="Courier New" w:eastAsia="Times New Roman" w:hAnsi="Courier New" w:cs="Times New Roman"/>
      <w:sz w:val="20"/>
      <w:szCs w:val="20"/>
      <w:lang w:eastAsia="en-US"/>
    </w:rPr>
  </w:style>
  <w:style w:type="character" w:customStyle="1" w:styleId="MenuOption">
    <w:name w:val="Menu Option"/>
    <w:basedOn w:val="DefaultParagraphFont"/>
    <w:rsid w:val="008E72F0"/>
    <w:rPr>
      <w:b/>
      <w:smallCaps/>
    </w:rPr>
  </w:style>
  <w:style w:type="paragraph" w:customStyle="1" w:styleId="TableListNumber">
    <w:name w:val="Table List Number"/>
    <w:basedOn w:val="ListNumber"/>
    <w:rsid w:val="008E72F0"/>
    <w:pPr>
      <w:numPr>
        <w:numId w:val="0"/>
      </w:numPr>
    </w:pPr>
  </w:style>
  <w:style w:type="paragraph" w:styleId="TOC4">
    <w:name w:val="toc 4"/>
    <w:basedOn w:val="TOCBase"/>
    <w:next w:val="Normal"/>
    <w:semiHidden/>
    <w:rsid w:val="008E72F0"/>
    <w:pPr>
      <w:tabs>
        <w:tab w:val="right" w:leader="dot" w:pos="9071"/>
      </w:tabs>
      <w:ind w:left="1701"/>
    </w:pPr>
  </w:style>
  <w:style w:type="paragraph" w:customStyle="1" w:styleId="ListAlpha">
    <w:name w:val="List Alpha"/>
    <w:basedOn w:val="List"/>
    <w:rsid w:val="008E72F0"/>
    <w:pPr>
      <w:numPr>
        <w:numId w:val="9"/>
      </w:numPr>
    </w:pPr>
  </w:style>
  <w:style w:type="paragraph" w:customStyle="1" w:styleId="ListAlpha2">
    <w:name w:val="List Alpha 2"/>
    <w:basedOn w:val="List2"/>
    <w:rsid w:val="008E72F0"/>
    <w:pPr>
      <w:numPr>
        <w:numId w:val="8"/>
      </w:numPr>
    </w:pPr>
  </w:style>
  <w:style w:type="paragraph" w:styleId="List2">
    <w:name w:val="List 2"/>
    <w:basedOn w:val="BodyText"/>
    <w:rsid w:val="008E72F0"/>
    <w:pPr>
      <w:tabs>
        <w:tab w:val="left" w:pos="680"/>
      </w:tabs>
      <w:spacing w:before="60" w:after="60"/>
      <w:ind w:left="680" w:hanging="340"/>
    </w:pPr>
  </w:style>
  <w:style w:type="paragraph" w:styleId="List3">
    <w:name w:val="List 3"/>
    <w:basedOn w:val="BodyText"/>
    <w:rsid w:val="008E72F0"/>
    <w:pPr>
      <w:tabs>
        <w:tab w:val="left" w:pos="1021"/>
      </w:tabs>
      <w:spacing w:before="60" w:after="60"/>
      <w:ind w:left="1020" w:hanging="340"/>
    </w:pPr>
  </w:style>
  <w:style w:type="paragraph" w:styleId="List4">
    <w:name w:val="List 4"/>
    <w:basedOn w:val="BodyText"/>
    <w:rsid w:val="008E72F0"/>
    <w:pPr>
      <w:tabs>
        <w:tab w:val="left" w:pos="1361"/>
      </w:tabs>
      <w:spacing w:before="60" w:after="60"/>
      <w:ind w:left="1361" w:hanging="340"/>
    </w:pPr>
  </w:style>
  <w:style w:type="paragraph" w:styleId="List5">
    <w:name w:val="List 5"/>
    <w:basedOn w:val="BodyText"/>
    <w:rsid w:val="008E72F0"/>
    <w:pPr>
      <w:tabs>
        <w:tab w:val="left" w:pos="1701"/>
      </w:tabs>
      <w:spacing w:before="60" w:after="60"/>
      <w:ind w:left="1701" w:hanging="340"/>
    </w:pPr>
  </w:style>
  <w:style w:type="paragraph" w:styleId="ListBullet3">
    <w:name w:val="List Bullet 3"/>
    <w:basedOn w:val="List3"/>
    <w:rsid w:val="008E72F0"/>
    <w:pPr>
      <w:numPr>
        <w:numId w:val="15"/>
      </w:numPr>
      <w:tabs>
        <w:tab w:val="clear" w:pos="1021"/>
      </w:tabs>
      <w:ind w:left="1037" w:hanging="357"/>
    </w:pPr>
  </w:style>
  <w:style w:type="paragraph" w:styleId="ListBullet4">
    <w:name w:val="List Bullet 4"/>
    <w:basedOn w:val="List4"/>
    <w:rsid w:val="008E72F0"/>
    <w:pPr>
      <w:numPr>
        <w:numId w:val="3"/>
      </w:numPr>
    </w:pPr>
  </w:style>
  <w:style w:type="paragraph" w:styleId="ListBullet5">
    <w:name w:val="List Bullet 5"/>
    <w:basedOn w:val="List5"/>
    <w:rsid w:val="008E72F0"/>
    <w:pPr>
      <w:numPr>
        <w:numId w:val="4"/>
      </w:numPr>
    </w:pPr>
  </w:style>
  <w:style w:type="paragraph" w:styleId="ListContinue2">
    <w:name w:val="List Continue 2"/>
    <w:basedOn w:val="List2"/>
    <w:rsid w:val="008E72F0"/>
    <w:pPr>
      <w:ind w:firstLine="0"/>
    </w:pPr>
  </w:style>
  <w:style w:type="paragraph" w:styleId="ListContinue3">
    <w:name w:val="List Continue 3"/>
    <w:basedOn w:val="List3"/>
    <w:rsid w:val="008E72F0"/>
    <w:pPr>
      <w:ind w:left="1021" w:firstLine="0"/>
    </w:pPr>
  </w:style>
  <w:style w:type="paragraph" w:styleId="ListContinue4">
    <w:name w:val="List Continue 4"/>
    <w:basedOn w:val="List4"/>
    <w:rsid w:val="008E72F0"/>
    <w:pPr>
      <w:ind w:firstLine="0"/>
    </w:pPr>
  </w:style>
  <w:style w:type="paragraph" w:styleId="ListContinue5">
    <w:name w:val="List Continue 5"/>
    <w:basedOn w:val="List5"/>
    <w:rsid w:val="008E72F0"/>
    <w:pPr>
      <w:ind w:firstLine="0"/>
    </w:pPr>
  </w:style>
  <w:style w:type="paragraph" w:styleId="ListNumber3">
    <w:name w:val="List Number 3"/>
    <w:basedOn w:val="List3"/>
    <w:rsid w:val="008E72F0"/>
    <w:pPr>
      <w:numPr>
        <w:numId w:val="5"/>
      </w:numPr>
    </w:pPr>
  </w:style>
  <w:style w:type="paragraph" w:styleId="ListNumber4">
    <w:name w:val="List Number 4"/>
    <w:basedOn w:val="List4"/>
    <w:rsid w:val="008E72F0"/>
    <w:pPr>
      <w:numPr>
        <w:numId w:val="6"/>
      </w:numPr>
    </w:pPr>
  </w:style>
  <w:style w:type="paragraph" w:styleId="ListNumber5">
    <w:name w:val="List Number 5"/>
    <w:basedOn w:val="List5"/>
    <w:rsid w:val="008E72F0"/>
    <w:pPr>
      <w:numPr>
        <w:numId w:val="7"/>
      </w:numPr>
    </w:pPr>
  </w:style>
  <w:style w:type="paragraph" w:styleId="BlockText">
    <w:name w:val="Block Text"/>
    <w:basedOn w:val="Normal"/>
    <w:rsid w:val="008E72F0"/>
    <w:pPr>
      <w:spacing w:after="120"/>
      <w:ind w:left="1440" w:right="1440"/>
    </w:pPr>
  </w:style>
  <w:style w:type="character" w:customStyle="1" w:styleId="Subscript">
    <w:name w:val="Subscript"/>
    <w:basedOn w:val="DefaultParagraphFont"/>
    <w:rsid w:val="008E72F0"/>
    <w:rPr>
      <w:sz w:val="16"/>
      <w:vertAlign w:val="subscript"/>
    </w:rPr>
  </w:style>
  <w:style w:type="character" w:customStyle="1" w:styleId="Superscript">
    <w:name w:val="Superscript"/>
    <w:basedOn w:val="DefaultParagraphFont"/>
    <w:rsid w:val="008E72F0"/>
    <w:rPr>
      <w:sz w:val="16"/>
      <w:vertAlign w:val="superscript"/>
    </w:rPr>
  </w:style>
  <w:style w:type="character" w:customStyle="1" w:styleId="Symbols">
    <w:name w:val="Symbols"/>
    <w:basedOn w:val="DefaultParagraphFont"/>
    <w:rsid w:val="008E72F0"/>
    <w:rPr>
      <w:rFonts w:ascii="Symbol" w:hAnsi="Symbol"/>
    </w:rPr>
  </w:style>
  <w:style w:type="character" w:customStyle="1" w:styleId="MenuOptions">
    <w:name w:val="Menu Options"/>
    <w:basedOn w:val="DefaultParagraphFont"/>
    <w:rsid w:val="008E72F0"/>
    <w:rPr>
      <w:rFonts w:ascii="Arial Narrow" w:hAnsi="Arial Narrow"/>
      <w:smallCaps/>
    </w:rPr>
  </w:style>
  <w:style w:type="character" w:customStyle="1" w:styleId="Buttons">
    <w:name w:val="Buttons"/>
    <w:basedOn w:val="DefaultParagraphFont"/>
    <w:rsid w:val="008E72F0"/>
    <w:rPr>
      <w:b/>
    </w:rPr>
  </w:style>
  <w:style w:type="character" w:customStyle="1" w:styleId="Underlined">
    <w:name w:val="Underlined"/>
    <w:basedOn w:val="DefaultParagraphFont"/>
    <w:rsid w:val="008E72F0"/>
    <w:rPr>
      <w:u w:val="single"/>
    </w:rPr>
  </w:style>
  <w:style w:type="paragraph" w:customStyle="1" w:styleId="TableBodyTextRight">
    <w:name w:val="Table Body Text Right"/>
    <w:basedOn w:val="TableBodyText"/>
    <w:rsid w:val="008E72F0"/>
    <w:pPr>
      <w:widowControl w:val="0"/>
      <w:autoSpaceDE w:val="0"/>
      <w:autoSpaceDN w:val="0"/>
      <w:adjustRightInd w:val="0"/>
      <w:jc w:val="right"/>
    </w:pPr>
    <w:rPr>
      <w:rFonts w:cs="Arial"/>
      <w:szCs w:val="18"/>
    </w:rPr>
  </w:style>
  <w:style w:type="paragraph" w:customStyle="1" w:styleId="CopyrightText">
    <w:name w:val="Copyright Text"/>
    <w:basedOn w:val="BodyText"/>
    <w:rsid w:val="008E72F0"/>
    <w:rPr>
      <w:sz w:val="18"/>
    </w:rPr>
  </w:style>
  <w:style w:type="paragraph" w:customStyle="1" w:styleId="BodySmallRight">
    <w:name w:val="Body Small Right"/>
    <w:basedOn w:val="BodyTextRight"/>
    <w:rsid w:val="008E72F0"/>
    <w:rPr>
      <w:sz w:val="18"/>
      <w:szCs w:val="18"/>
    </w:rPr>
  </w:style>
  <w:style w:type="paragraph" w:customStyle="1" w:styleId="MarginEdition">
    <w:name w:val="Margin Edition"/>
    <w:basedOn w:val="MarginNote"/>
    <w:rsid w:val="008E72F0"/>
    <w:pPr>
      <w:spacing w:before="0" w:after="0"/>
    </w:pPr>
    <w:rPr>
      <w:rFonts w:ascii="Times New Roman" w:hAnsi="Times New Roman"/>
      <w:color w:val="999999"/>
    </w:rPr>
  </w:style>
  <w:style w:type="paragraph" w:customStyle="1" w:styleId="Spacer">
    <w:name w:val="Spacer"/>
    <w:basedOn w:val="Normal"/>
    <w:rsid w:val="008E72F0"/>
    <w:rPr>
      <w:sz w:val="2"/>
      <w:szCs w:val="2"/>
    </w:rPr>
  </w:style>
  <w:style w:type="character" w:customStyle="1" w:styleId="Small">
    <w:name w:val="Small"/>
    <w:basedOn w:val="DefaultParagraphFont"/>
    <w:rsid w:val="008E72F0"/>
    <w:rPr>
      <w:sz w:val="16"/>
    </w:rPr>
  </w:style>
  <w:style w:type="paragraph" w:customStyle="1" w:styleId="WideTable">
    <w:name w:val="Wide Table"/>
    <w:basedOn w:val="Normal"/>
    <w:rsid w:val="008E72F0"/>
    <w:pPr>
      <w:ind w:left="-1418"/>
    </w:pPr>
    <w:rPr>
      <w:sz w:val="2"/>
      <w:szCs w:val="2"/>
    </w:rPr>
  </w:style>
  <w:style w:type="character" w:styleId="PageNumber">
    <w:name w:val="page number"/>
    <w:basedOn w:val="DefaultParagraphFont"/>
    <w:rsid w:val="008E72F0"/>
  </w:style>
  <w:style w:type="paragraph" w:styleId="Quote">
    <w:name w:val="Quote"/>
    <w:basedOn w:val="Heading1"/>
    <w:link w:val="QuoteChar"/>
    <w:qFormat/>
    <w:rsid w:val="008E72F0"/>
    <w:rPr>
      <w:b w:val="0"/>
      <w:sz w:val="72"/>
      <w:szCs w:val="72"/>
      <w:lang w:val="en-NZ"/>
    </w:rPr>
  </w:style>
  <w:style w:type="character" w:customStyle="1" w:styleId="QuoteChar">
    <w:name w:val="Quote Char"/>
    <w:basedOn w:val="DefaultParagraphFont"/>
    <w:link w:val="Quote"/>
    <w:rsid w:val="008E7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2F0"/>
    <w:pPr>
      <w:pageBreakBefore/>
    </w:pPr>
  </w:style>
  <w:style w:type="paragraph" w:customStyle="1" w:styleId="Border">
    <w:name w:val="Border"/>
    <w:basedOn w:val="Normal"/>
    <w:qFormat/>
    <w:rsid w:val="008E7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2F0"/>
    <w:rPr>
      <w:b/>
      <w:bCs/>
      <w:i/>
      <w:iCs/>
      <w:color w:val="auto"/>
    </w:rPr>
  </w:style>
  <w:style w:type="paragraph" w:styleId="IntenseQuote">
    <w:name w:val="Intense Quote"/>
    <w:basedOn w:val="Normal"/>
    <w:next w:val="Normal"/>
    <w:link w:val="IntenseQuoteChar"/>
    <w:uiPriority w:val="30"/>
    <w:qFormat/>
    <w:rsid w:val="008E7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2F0"/>
    <w:rPr>
      <w:smallCaps/>
      <w:color w:val="auto"/>
      <w:u w:val="single"/>
    </w:rPr>
  </w:style>
  <w:style w:type="character" w:styleId="IntenseReference">
    <w:name w:val="Intense Reference"/>
    <w:basedOn w:val="DefaultParagraphFont"/>
    <w:uiPriority w:val="32"/>
    <w:qFormat/>
    <w:rsid w:val="008E72F0"/>
    <w:rPr>
      <w:b/>
      <w:bCs/>
      <w:smallCaps/>
      <w:color w:val="auto"/>
      <w:spacing w:val="5"/>
      <w:u w:val="single"/>
    </w:rPr>
  </w:style>
  <w:style w:type="paragraph" w:customStyle="1" w:styleId="2ColumnHeading">
    <w:name w:val="2Column Heading"/>
    <w:basedOn w:val="BodyText"/>
    <w:qFormat/>
    <w:rsid w:val="008E72F0"/>
    <w:pPr>
      <w:spacing w:after="60"/>
      <w:ind w:left="-2268"/>
    </w:pPr>
    <w:rPr>
      <w:b/>
    </w:rPr>
  </w:style>
  <w:style w:type="paragraph" w:customStyle="1" w:styleId="Heading1TOC">
    <w:name w:val="Heading1 TOC"/>
    <w:basedOn w:val="Normal"/>
    <w:qFormat/>
    <w:rsid w:val="008E72F0"/>
    <w:pPr>
      <w:spacing w:before="240" w:after="120"/>
    </w:pPr>
    <w:rPr>
      <w:rFonts w:ascii="Times New Roman" w:hAnsi="Times New Roman"/>
      <w:b/>
      <w:sz w:val="32"/>
    </w:rPr>
  </w:style>
  <w:style w:type="paragraph" w:customStyle="1" w:styleId="Heading2TOC">
    <w:name w:val="Heading2 TOC"/>
    <w:basedOn w:val="Normal"/>
    <w:qFormat/>
    <w:rsid w:val="008E72F0"/>
    <w:pPr>
      <w:spacing w:before="240" w:after="60"/>
    </w:pPr>
    <w:rPr>
      <w:rFonts w:ascii="Times New Roman" w:hAnsi="Times New Roman"/>
      <w:b/>
      <w:sz w:val="28"/>
    </w:rPr>
  </w:style>
  <w:style w:type="character" w:customStyle="1" w:styleId="Underline">
    <w:name w:val="Underline"/>
    <w:basedOn w:val="DefaultParagraphFont"/>
    <w:qFormat/>
    <w:rsid w:val="008E72F0"/>
    <w:rPr>
      <w:u w:val="single"/>
    </w:rPr>
  </w:style>
  <w:style w:type="character" w:customStyle="1" w:styleId="BoldandItalics">
    <w:name w:val="Bold and Italics"/>
    <w:qFormat/>
    <w:rsid w:val="008E72F0"/>
    <w:rPr>
      <w:b/>
      <w:i/>
      <w:u w:val="none"/>
    </w:rPr>
  </w:style>
  <w:style w:type="paragraph" w:styleId="BalloonText">
    <w:name w:val="Balloon Text"/>
    <w:basedOn w:val="Normal"/>
    <w:link w:val="BalloonTextChar"/>
    <w:rsid w:val="008E72F0"/>
    <w:rPr>
      <w:rFonts w:ascii="Tahoma" w:hAnsi="Tahoma" w:cs="Tahoma"/>
      <w:sz w:val="16"/>
      <w:szCs w:val="16"/>
    </w:rPr>
  </w:style>
  <w:style w:type="character" w:customStyle="1" w:styleId="BalloonTextChar">
    <w:name w:val="Balloon Text Char"/>
    <w:basedOn w:val="DefaultParagraphFont"/>
    <w:link w:val="BalloonText"/>
    <w:rsid w:val="008E7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2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7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2F0"/>
    <w:rPr>
      <w:b/>
      <w:color w:val="660033"/>
      <w:spacing w:val="0"/>
    </w:rPr>
  </w:style>
  <w:style w:type="paragraph" w:customStyle="1" w:styleId="Nameditemlist">
    <w:name w:val="Named item list"/>
    <w:basedOn w:val="BodyText"/>
    <w:qFormat/>
    <w:rsid w:val="008E72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2614</Words>
  <Characters>16360</Characters>
  <Application>Microsoft Office Word</Application>
  <DocSecurity>0</DocSecurity>
  <Lines>653</Lines>
  <Paragraphs>258</Paragraphs>
  <ScaleCrop>false</ScaleCrop>
  <Company>Author-it Software Corporation Ltd.</Company>
  <LinksUpToDate>false</LinksUpToDate>
  <CharactersWithSpaces>18771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UETTDRDP04B Maintain energised high voltage distribution overhead electrical apparatus (glove)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2012-10-10T08:17:00Z</dcterms:created>
  <dcterms:modified xsi:type="dcterms:W3CDTF">2012-10-10T08:17:00Z</dcterms:modified>
</cp:coreProperties>
</file>