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6E5" w:rsidP="00D936E5">
      <w:pPr>
        <w:pStyle w:val="Title"/>
      </w:pPr>
      <w:bookmarkStart w:id="0" w:name="_GoBack"/>
      <w:bookmarkEnd w:id="0"/>
      <w:r>
        <w:fldChar w:fldCharType="begin"/>
      </w:r>
      <w:r>
        <w:instrText xml:space="preserve"> TITLE   \* MERGEFORMAT </w:instrText>
      </w:r>
      <w:r>
        <w:fldChar w:fldCharType="separate"/>
      </w:r>
      <w:r>
        <w:t>UETTDRCJ12B stall and maintain oil and gas pressure systems for specialised underground cables</w:t>
      </w:r>
      <w:r>
        <w:fldChar w:fldCharType="end"/>
      </w:r>
    </w:p>
    <w:p w:rsidR="00D936E5" w:rsidP="00D936E5">
      <w:pPr>
        <w:pStyle w:val="Version"/>
        <w:sectPr w:rsidSect="00083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4BC" w:rsidP="000834BC">
      <w:pPr>
        <w:pStyle w:val="SuperHeading"/>
      </w:pPr>
      <w:r w:rsidRPr="000834BC">
        <w:t>UETTDRCJ12B stall and maintain oil and gas pressure systems for specialised underground cables</w:t>
      </w:r>
    </w:p>
    <w:p w:rsidR="00000000" w:rsidRPr="000834BC" w:rsidP="000834BC">
      <w:pPr>
        <w:pStyle w:val="Heading1"/>
      </w:pPr>
      <w:bookmarkStart w:id="1" w:name="O_275422"/>
      <w:bookmarkEnd w:id="1"/>
      <w:r w:rsidRPr="000834BC">
        <w:t>Modification History</w:t>
      </w:r>
    </w:p>
    <w:p w:rsidR="00000000" w:rsidRPr="000834BC" w:rsidP="000834BC">
      <w:pPr>
        <w:pStyle w:val="BodyText"/>
      </w:pPr>
      <w:r w:rsidRPr="000834BC">
        <w:t>Not Applicable</w:t>
      </w:r>
    </w:p>
    <w:p w:rsidR="00000000" w:rsidRPr="000834BC" w:rsidP="000834BC">
      <w:pPr>
        <w:pStyle w:val="AllowPageBreak"/>
      </w:pPr>
    </w:p>
    <w:p w:rsidR="00000000" w:rsidRPr="000834BC" w:rsidP="000834BC">
      <w:pPr>
        <w:pStyle w:val="Heading1"/>
      </w:pPr>
      <w:bookmarkStart w:id="2" w:name="O_231102"/>
      <w:bookmarkEnd w:id="2"/>
      <w:r w:rsidRPr="000834BC">
        <w:t>Un</w:t>
      </w:r>
      <w:r w:rsidRPr="000834BC">
        <w:t>it Descriptor</w:t>
      </w:r>
    </w:p>
    <w:tbl>
      <w:tblPr>
        <w:tblW w:w="0" w:type="auto"/>
        <w:tblLayout w:type="fixed"/>
        <w:tblCellMar>
          <w:left w:w="62" w:type="dxa"/>
          <w:right w:w="62" w:type="dxa"/>
        </w:tblCellMar>
        <w:tblLook w:val="0000"/>
      </w:tblPr>
      <w:tblGrid>
        <w:gridCol w:w="2758"/>
        <w:gridCol w:w="5882"/>
      </w:tblGrid>
      <w:tr w:rsidTr="00D936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1</w:t>
            </w:r>
            <w:r w:rsidRPr="000834BC">
              <w:t xml:space="preserve">) </w:t>
            </w:r>
          </w:p>
          <w:p w:rsidR="00000000" w:rsidP="000834BC">
            <w:pPr>
              <w:pStyle w:val="BodyText"/>
              <w:rPr>
                <w:lang w:val="en-NZ"/>
              </w:rPr>
            </w:pPr>
            <w:r w:rsidRPr="000834BC">
              <w:rPr>
                <w:rStyle w:val="SpecialBold"/>
              </w:rPr>
              <w:t>1</w:t>
            </w:r>
            <w:r w:rsidRPr="000834BC">
              <w:t>.</w:t>
            </w:r>
            <w:r w:rsidRPr="000834BC">
              <w:rPr>
                <w:rStyle w:val="SpecialBold"/>
              </w:rPr>
              <w:t>1</w:t>
            </w:r>
            <w:r w:rsidRPr="000834BC">
              <w:t xml:space="preserve">) </w:t>
            </w:r>
            <w:r w:rsidRPr="000834BC">
              <w:rPr>
                <w:rStyle w:val="SpecialBold"/>
              </w:rPr>
              <w:t>Descriptor</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 xml:space="preserve">This Competency Standard Unit covers the installation, maintenance and repair of oil and gas pressure systems for specialised underground cables. </w:t>
            </w:r>
            <w:r w:rsidRPr="000834BC">
              <w:t>It includes the undertaking of pressure control activities, the installation of gauges, oil tanks and gas cubicles. It also includes the knowledge of Oil Route Profiles as well as the operation of pressure equipment for jointing works, and the repairing an</w:t>
            </w:r>
            <w:r w:rsidRPr="000834BC">
              <w:t>d replacing of pressure systems. It also encompasses the procedures associated with performing accessory impregnation, oil flow testing, the processes for oil degasification and performing leak location of pressure systems.</w:t>
            </w:r>
          </w:p>
        </w:tc>
      </w:tr>
    </w:tbl>
    <w:p w:rsidR="00D936E5" w:rsidP="000834BC">
      <w:pPr>
        <w:pStyle w:val="BodyText"/>
      </w:pPr>
    </w:p>
    <w:p w:rsidR="00D936E5" w:rsidP="000834BC">
      <w:pPr>
        <w:pStyle w:val="BodyText"/>
      </w:pPr>
    </w:p>
    <w:p w:rsidR="00000000" w:rsidRPr="000834BC" w:rsidP="000834BC">
      <w:pPr>
        <w:pStyle w:val="Heading1"/>
      </w:pPr>
      <w:bookmarkStart w:id="3" w:name="O_231107"/>
      <w:bookmarkEnd w:id="3"/>
      <w:r w:rsidRPr="000834BC">
        <w:t xml:space="preserve">Application </w:t>
      </w:r>
      <w:r w:rsidRPr="000834BC">
        <w:t>of the Unit</w:t>
      </w:r>
    </w:p>
    <w:tbl>
      <w:tblPr>
        <w:tblW w:w="0" w:type="auto"/>
        <w:tblLayout w:type="fixed"/>
        <w:tblCellMar>
          <w:left w:w="62" w:type="dxa"/>
          <w:right w:w="62" w:type="dxa"/>
        </w:tblCellMar>
        <w:tblLook w:val="0000"/>
      </w:tblPr>
      <w:tblGrid>
        <w:gridCol w:w="2758"/>
        <w:gridCol w:w="5882"/>
      </w:tblGrid>
      <w:tr w:rsidTr="00D936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4</w:t>
            </w:r>
            <w:r w:rsidRPr="000834BC">
              <w:t>)</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This Competency Standard Unit is intended to augment formally acquired competencies. It is suitable for employment-based programs under an approved contract of training.</w:t>
            </w:r>
          </w:p>
        </w:tc>
      </w:tr>
    </w:tbl>
    <w:p w:rsidR="00D936E5" w:rsidP="000834BC">
      <w:pPr>
        <w:pStyle w:val="BodyText"/>
      </w:pPr>
    </w:p>
    <w:p w:rsidR="00D936E5" w:rsidP="000834BC">
      <w:pPr>
        <w:pStyle w:val="BodyText"/>
      </w:pPr>
    </w:p>
    <w:p w:rsidR="00000000" w:rsidRPr="000834BC" w:rsidP="000834BC">
      <w:pPr>
        <w:pStyle w:val="Heading1"/>
      </w:pPr>
      <w:bookmarkStart w:id="4" w:name="O_231103"/>
      <w:bookmarkEnd w:id="4"/>
      <w:r w:rsidRPr="000834BC">
        <w:t>Licensing/Regulatory Information</w:t>
      </w:r>
    </w:p>
    <w:tbl>
      <w:tblPr>
        <w:tblW w:w="0" w:type="auto"/>
        <w:tblLayout w:type="fixed"/>
        <w:tblCellMar>
          <w:left w:w="62" w:type="dxa"/>
          <w:right w:w="62" w:type="dxa"/>
        </w:tblCellMar>
        <w:tblLook w:val="0000"/>
      </w:tblPr>
      <w:tblGrid>
        <w:gridCol w:w="8640"/>
      </w:tblGrid>
      <w:tr w:rsidTr="00D936E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1</w:t>
            </w:r>
            <w:r w:rsidRPr="000834BC">
              <w:t>.</w:t>
            </w:r>
            <w:r w:rsidRPr="000834BC">
              <w:rPr>
                <w:rStyle w:val="SpecialBold"/>
              </w:rPr>
              <w:t>2</w:t>
            </w:r>
            <w:r w:rsidRPr="000834BC">
              <w:t xml:space="preserve">) </w:t>
            </w:r>
            <w:r w:rsidRPr="000834BC">
              <w:rPr>
                <w:rStyle w:val="SpecialBold"/>
              </w:rPr>
              <w:t>License to practice</w:t>
            </w:r>
          </w:p>
        </w:tc>
      </w:tr>
      <w:tr w:rsidTr="00D936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The skills and knowledge described in this unit may require a licence/registration to practice in the work place subject to regulations for undertaking of electrical work. Practice in workplace and</w:t>
            </w:r>
            <w:r w:rsidRPr="000834BC">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0834BC">
              <w:t>ommonwealth, State/Territory or Local Government legislation and regulations may exist that limits the age of operating certain equipment.</w:t>
            </w:r>
          </w:p>
        </w:tc>
      </w:tr>
    </w:tbl>
    <w:p w:rsidR="00D936E5" w:rsidP="000834BC">
      <w:pPr>
        <w:pStyle w:val="BodyText"/>
      </w:pPr>
    </w:p>
    <w:p w:rsidR="00D936E5" w:rsidP="000834BC">
      <w:pPr>
        <w:pStyle w:val="BodyText"/>
      </w:pPr>
    </w:p>
    <w:p w:rsidR="00000000" w:rsidRPr="000834BC" w:rsidP="000834BC">
      <w:pPr>
        <w:pStyle w:val="Heading1"/>
      </w:pPr>
      <w:bookmarkStart w:id="5" w:name="O_231104"/>
      <w:bookmarkEnd w:id="5"/>
      <w:r w:rsidRPr="000834BC">
        <w:t>Pre-Requisites</w:t>
      </w:r>
    </w:p>
    <w:tbl>
      <w:tblPr>
        <w:tblW w:w="0" w:type="auto"/>
        <w:tblLayout w:type="fixed"/>
        <w:tblCellMar>
          <w:left w:w="62" w:type="dxa"/>
          <w:right w:w="62" w:type="dxa"/>
        </w:tblCellMar>
        <w:tblLook w:val="0000"/>
      </w:tblPr>
      <w:tblGrid>
        <w:gridCol w:w="2758"/>
        <w:gridCol w:w="735"/>
        <w:gridCol w:w="2022"/>
        <w:gridCol w:w="3125"/>
      </w:tblGrid>
      <w:tr w:rsidTr="00D936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Prerequisite Unit</w:t>
            </w:r>
            <w:r w:rsidRPr="000834BC">
              <w:t>(</w:t>
            </w:r>
            <w:r w:rsidRPr="000834BC">
              <w:rPr>
                <w:rStyle w:val="SpecialBold"/>
              </w:rPr>
              <w:t>s</w:t>
            </w:r>
            <w:r w:rsidRPr="000834BC">
              <w:t>)</w:t>
            </w:r>
          </w:p>
        </w:tc>
        <w:tc>
          <w:tcPr>
            <w:tcW w:w="5882"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2</w:t>
            </w:r>
            <w:r w:rsidRPr="000834BC">
              <w:t xml:space="preserve">) </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0834B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2</w:t>
            </w:r>
            <w:r w:rsidRPr="000834BC">
              <w:t>.</w:t>
            </w:r>
            <w:r w:rsidRPr="000834BC">
              <w:rPr>
                <w:rStyle w:val="SpecialBold"/>
              </w:rPr>
              <w:t>1</w:t>
            </w:r>
            <w:r w:rsidRPr="000834BC">
              <w:t xml:space="preserve">) </w:t>
            </w:r>
            <w:r w:rsidRPr="000834BC">
              <w:rPr>
                <w:rStyle w:val="SpecialBold"/>
              </w:rPr>
              <w:t>CSU</w:t>
            </w:r>
            <w:r w:rsidRPr="000834BC">
              <w:t>(</w:t>
            </w:r>
            <w:r w:rsidRPr="000834BC">
              <w:rPr>
                <w:rStyle w:val="SpecialBold"/>
              </w:rPr>
              <w:t>s</w:t>
            </w:r>
            <w:r w:rsidRPr="000834BC">
              <w:t xml:space="preserve">): </w:t>
            </w:r>
            <w:r w:rsidRPr="000834BC">
              <w:rPr>
                <w:rStyle w:val="SpecialBold"/>
              </w:rPr>
              <w:t>Competencies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Granting of competency in this unit shall be made only after competency in the following unit(s) has/have been confirmed:.</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UETTDRCJ03B</w:t>
            </w:r>
          </w:p>
        </w:tc>
        <w:tc>
          <w:tcPr>
            <w:tcW w:w="3125"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Install and maintain de-energised HV underground paper insulated cables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and</w:t>
            </w:r>
          </w:p>
        </w:tc>
        <w:tc>
          <w:tcPr>
            <w:tcW w:w="2022"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UETTDRCJ07B</w:t>
            </w:r>
          </w:p>
        </w:tc>
        <w:tc>
          <w:tcPr>
            <w:tcW w:w="3125"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Install and maintain de-energised HV underground polymeric cables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For the full prerequisite chain details for this unit please refer to Table 3 in Volume 1, Part 2</w:t>
            </w:r>
          </w:p>
        </w:tc>
      </w:tr>
    </w:tbl>
    <w:p w:rsidR="00D936E5" w:rsidP="000834BC">
      <w:pPr>
        <w:pStyle w:val="BodyText"/>
      </w:pPr>
    </w:p>
    <w:p w:rsidR="00D936E5" w:rsidP="000834BC">
      <w:pPr>
        <w:pStyle w:val="BodyText"/>
      </w:pPr>
    </w:p>
    <w:p w:rsidR="00000000" w:rsidRPr="000834BC" w:rsidP="000834BC">
      <w:pPr>
        <w:pStyle w:val="Heading1"/>
      </w:pPr>
      <w:bookmarkStart w:id="6" w:name="O_231106"/>
      <w:bookmarkEnd w:id="6"/>
      <w:r w:rsidRPr="000834BC">
        <w:t>Employability Skills Information</w:t>
      </w:r>
    </w:p>
    <w:tbl>
      <w:tblPr>
        <w:tblW w:w="0" w:type="auto"/>
        <w:tblLayout w:type="fixed"/>
        <w:tblCellMar>
          <w:left w:w="62" w:type="dxa"/>
          <w:right w:w="62" w:type="dxa"/>
        </w:tblCellMar>
        <w:tblLook w:val="0000"/>
      </w:tblPr>
      <w:tblGrid>
        <w:gridCol w:w="2758"/>
        <w:gridCol w:w="5882"/>
      </w:tblGrid>
      <w:tr w:rsidTr="00D936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3</w:t>
            </w:r>
            <w:r w:rsidRPr="000834BC">
              <w:t>)</w:t>
            </w:r>
          </w:p>
          <w:p w:rsidR="00000000" w:rsidRPr="000834BC" w:rsidP="000834BC">
            <w:pPr>
              <w:pStyle w:val="BodyText"/>
            </w:pPr>
            <w:r w:rsidRPr="000834B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34BC">
              <w:t>requirements.</w:t>
            </w:r>
          </w:p>
        </w:tc>
      </w:tr>
    </w:tbl>
    <w:p w:rsidR="00D936E5" w:rsidP="000834BC">
      <w:pPr>
        <w:pStyle w:val="BodyText"/>
      </w:pPr>
    </w:p>
    <w:p w:rsidR="00D936E5" w:rsidP="000834BC">
      <w:pPr>
        <w:pStyle w:val="BodyText"/>
      </w:pPr>
    </w:p>
    <w:p w:rsidR="00000000" w:rsidRPr="000834BC" w:rsidP="000834BC">
      <w:pPr>
        <w:pStyle w:val="Heading1"/>
      </w:pPr>
      <w:bookmarkStart w:id="7" w:name="O_293468"/>
      <w:bookmarkEnd w:id="7"/>
      <w:r w:rsidRPr="000834BC">
        <w:t>Elements and Performance Criteria Pre-Content</w:t>
      </w:r>
    </w:p>
    <w:tbl>
      <w:tblPr>
        <w:tblW w:w="0" w:type="auto"/>
        <w:tblLayout w:type="fixed"/>
        <w:tblCellMar>
          <w:left w:w="62" w:type="dxa"/>
          <w:right w:w="62" w:type="dxa"/>
        </w:tblCellMar>
        <w:tblLook w:val="0000"/>
      </w:tblPr>
      <w:tblGrid>
        <w:gridCol w:w="2758"/>
        <w:gridCol w:w="5882"/>
      </w:tblGrid>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6</w:t>
            </w:r>
            <w:r w:rsidRPr="000834BC">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Performance criteria describe the required performance needed to demonstrate achievement of the element. Ass</w:t>
            </w:r>
            <w:r w:rsidRPr="000834BC">
              <w:t>essment of performance is to be consistent with the evidence guide.</w:t>
            </w:r>
          </w:p>
        </w:tc>
      </w:tr>
    </w:tbl>
    <w:p w:rsidR="00000000" w:rsidRPr="000834BC" w:rsidP="000834BC">
      <w:pPr>
        <w:pStyle w:val="BodyText"/>
      </w:pPr>
    </w:p>
    <w:p w:rsidR="00000000" w:rsidRPr="000834BC" w:rsidP="000834BC">
      <w:pPr>
        <w:pStyle w:val="AllowPageBreak"/>
      </w:pPr>
    </w:p>
    <w:p w:rsidR="00000000" w:rsidRPr="000834BC" w:rsidP="000834BC">
      <w:pPr>
        <w:pStyle w:val="Heading1"/>
      </w:pPr>
      <w:bookmarkStart w:id="8" w:name="O_240136"/>
      <w:bookmarkEnd w:id="8"/>
      <w:r w:rsidRPr="000834BC">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D936E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PERFORMANCE CRITERIA</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w:t>
            </w:r>
          </w:p>
        </w:tc>
        <w:tc>
          <w:tcPr>
            <w:tcW w:w="2344" w:type="dxa"/>
            <w:vMerge w:val="restart"/>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Prepare/Plan to install and maintain oil and gas pressure systems for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1.1</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Works schedule(s), including drawings, plans, requirements, established procedures, and material lists, are obtained, analysed, if necessary, by site inspection and the extent of the preparation of the work determined for planning and coordination.</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1.2</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Work is prioritised and sequenced for the most efficient and effective outcome following consultation with others for completion within acceptable timeframes, to a quality standard and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1.3</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Risk control measures are identified, prioritised and evaluated against the work schedule.</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1.4</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Relevant requirements and established procedures for the work are to all personnel and identified for all work sites.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1.5</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Hazards are identified, OHS risks</w:t>
            </w:r>
            <w:r w:rsidRPr="000834BC">
              <w:t xml:space="preserve"> assessed and control measures are prioritised, implemented and monitored including emergency exits kept clear, to ensure safe systems of work are followed and according to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1.6</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Relevant work permits are secured to coordinate the performance of work according to requirements and/or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1.7</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Resources including personnel, equipment, tools and personal protective equipment required for the job are identified, s</w:t>
            </w:r>
            <w:r w:rsidRPr="000834BC">
              <w:t>cheduled and coordinated and confirmed in a safe and technical working order.</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1.8</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Clients/Customers are provided with possible solutions and/or options within the scope, acceptable cost and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1.9</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Liaison and communication issues with othe</w:t>
            </w:r>
            <w:r w:rsidRPr="000834BC">
              <w:t>r/authorised personnel, authorities, clients and land owners are resolved and activities coordinated to carry out work.</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1.10</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Site is prepared according to the work schedule and to minimise risk and damage to property, commerce, and individuals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1.11</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Personnel participating in the work, including plant operators and contractors, are fu</w:t>
            </w:r>
            <w:r w:rsidRPr="000834BC">
              <w:t>lly briefed and respective responsibilities coordinated and authorised where applicable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1.12</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Positioning of road signs, barriers and warning devices is planned and coordinated in accordance with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w:t>
            </w:r>
          </w:p>
        </w:tc>
        <w:tc>
          <w:tcPr>
            <w:tcW w:w="2344" w:type="dxa"/>
            <w:vMerge w:val="restart"/>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Carry out the installation and maintenance of oil and gas pressure systems for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2.1</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OHS and sustainable energy principles and practices to reduce the incidents of accidents and minimise waste are monitored and actioned in ac</w:t>
            </w:r>
            <w:r w:rsidRPr="000834BC">
              <w:t>cordance with requirements and/or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2.2</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First Aid, Rescue and other related work procedures are performed according to requirements and/or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2.3</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Lifting, climbing, working in confined spaces and aloft, and use of power tools/equipment, techniques and practices are safely exercised according to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2.4</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Hazard warnings and safety signs are recognised and hazards and assessed OHS risks are reported to the immediate authorised persons for directions according to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2.5</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Remedial actions are taken to overcome any shortfalls encountered</w:t>
            </w:r>
            <w:r w:rsidRPr="000834BC">
              <w:t xml:space="preserve"> in the work schedule according to requirements and/or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2.6</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Installation and/or maintenance of oil&amp;gas pressure systems for specialised underground cables is carried out, in accordance with the work schedule and requirements and/o</w:t>
            </w:r>
            <w:r w:rsidRPr="000834BC">
              <w:t>r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2.7</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Essential knowledge and associated skills are applied in the safe installation and/or maintenance of oil&amp;gas pressure systems for specialised underground cables to ensure completion in an agreed timeframe and, to quality st</w:t>
            </w:r>
            <w:r w:rsidRPr="000834BC">
              <w:t>andards with a minimum of waste according to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2.8</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Solutions to non-routine problems are identified and actioned using acquired essential knowledge and associated skills according to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2.9</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On going checks of quality of the work are undertaken in accordance with requirements and established procedures to ensure a quality like outcome is achieved for the client/customer and to a community/industry standard.</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w:t>
            </w:r>
          </w:p>
        </w:tc>
        <w:tc>
          <w:tcPr>
            <w:tcW w:w="2344" w:type="dxa"/>
            <w:vMerge w:val="restart"/>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Complete the installation and mai</w:t>
            </w:r>
            <w:r w:rsidRPr="000834BC">
              <w:t>ntenance of oil and gas pressure systems for specialised underground cables</w:t>
            </w: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3.1</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Work undertaken is checked against works schedule for conformance with requirements, anomalies reported and solutions identified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3.2</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Accidents and/or injuries are reported and followed up in accordance with requirements/established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3.3</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Work site is rehabilitated, cleaned up and confirmed safe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3.4</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Tools, equipment and any s</w:t>
            </w:r>
            <w:r w:rsidRPr="000834BC">
              <w:t>urplus resources and materials are, where appropriate, cleaned, checked and returned to storage in accordance with established procedures.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3.5</w:t>
            </w:r>
          </w:p>
        </w:tc>
        <w:tc>
          <w:tcPr>
            <w:tcW w:w="496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Relevant work permit(s) are signed off and, underground cables are returned to service and advised to client/customer in accordance with requirements.</w:t>
            </w:r>
          </w:p>
        </w:tc>
      </w:tr>
      <w:tr w:rsidTr="00D936E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3.6</w:t>
            </w:r>
          </w:p>
        </w:tc>
        <w:tc>
          <w:tcPr>
            <w:tcW w:w="4963"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Works completion records, reports, as installed /modified drawing(s) and/or documentation and info</w:t>
            </w:r>
            <w:r w:rsidRPr="000834BC">
              <w:t>rmation are confirmed, processed and appropriate personnel notified.</w:t>
            </w:r>
          </w:p>
        </w:tc>
      </w:tr>
    </w:tbl>
    <w:p w:rsidR="00D936E5" w:rsidP="000834BC">
      <w:pPr>
        <w:pStyle w:val="BodyText"/>
      </w:pPr>
    </w:p>
    <w:p w:rsidR="00D936E5" w:rsidP="000834BC">
      <w:pPr>
        <w:pStyle w:val="BodyText"/>
      </w:pPr>
    </w:p>
    <w:p w:rsidR="00000000" w:rsidRPr="000834BC" w:rsidP="000834BC">
      <w:pPr>
        <w:pStyle w:val="Heading1"/>
      </w:pPr>
      <w:bookmarkStart w:id="9" w:name="O_263927"/>
      <w:bookmarkEnd w:id="9"/>
      <w:r w:rsidRPr="000834BC">
        <w:t>Required Skills and Knowledge</w:t>
      </w:r>
    </w:p>
    <w:tbl>
      <w:tblPr>
        <w:tblW w:w="0" w:type="auto"/>
        <w:tblLayout w:type="fixed"/>
        <w:tblCellMar>
          <w:left w:w="62" w:type="dxa"/>
          <w:right w:w="62" w:type="dxa"/>
        </w:tblCellMar>
        <w:tblLook w:val="0000"/>
      </w:tblPr>
      <w:tblGrid>
        <w:gridCol w:w="2758"/>
        <w:gridCol w:w="1103"/>
        <w:gridCol w:w="4779"/>
      </w:tblGrid>
      <w:tr w:rsidTr="00D936E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REQUIRED SKILLS AND KNOWLEDGE</w:t>
            </w:r>
          </w:p>
        </w:tc>
      </w:tr>
      <w:tr w:rsidTr="00D936E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7</w:t>
            </w:r>
            <w:r w:rsidRPr="000834BC">
              <w:t xml:space="preserve">) </w:t>
            </w:r>
            <w:r w:rsidRPr="000834BC">
              <w:rPr>
                <w:rStyle w:val="SpecialBold"/>
              </w:rPr>
              <w:t>Essential knowledge and associated skills</w:t>
            </w:r>
            <w:r w:rsidRPr="000834BC">
              <w:t xml:space="preserve"> (</w:t>
            </w:r>
            <w:r w:rsidRPr="000834BC">
              <w:rPr>
                <w:rStyle w:val="SpecialBold"/>
              </w:rPr>
              <w:t>EKAS</w:t>
            </w:r>
            <w:r w:rsidRPr="000834BC">
              <w:t>): This describes the essential skills and knowledge and their level, required for this unit.</w:t>
            </w:r>
          </w:p>
        </w:tc>
      </w:tr>
      <w:tr w:rsidTr="00D936E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Evidence shall show that knowledge has been acquired of installing and maintaining oil&amp;gas pressure systems for specialised underground cables</w:t>
            </w:r>
          </w:p>
          <w:p w:rsidR="00000000" w:rsidRPr="000834BC" w:rsidP="000834BC">
            <w:pPr>
              <w:pStyle w:val="BodyText"/>
            </w:pPr>
            <w:r w:rsidRPr="000834BC">
              <w:t>All knowledge an</w:t>
            </w:r>
            <w:r w:rsidRPr="000834BC">
              <w:t>d skills detailed in this unit should be contextualised to current industry practices and technologies.</w:t>
            </w:r>
          </w:p>
          <w:p w:rsidR="00000000" w:rsidP="000834BC">
            <w:pPr>
              <w:pStyle w:val="BodyText"/>
              <w:rPr>
                <w:lang w:val="en-NZ"/>
              </w:rPr>
            </w:pPr>
            <w:r w:rsidRPr="000834BC">
              <w:t>The extent of the essential knowledge and associated skills required is given Volume 2 Part 2, Clauses: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T2.2.12</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Underground cable installation</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T2.2.23</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Underground cable construction</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T2.2.40</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Jointing and terminating oil&amp;gas filled specialised cable</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T2.2.43</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Installing oil&amp;gas filled specialised underground cables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T2.2.45</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Maintaining oil&amp;gas filled specialised underground cables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T2.2.46</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w:t>
            </w:r>
            <w:r w:rsidRPr="000834BC">
              <w:t>all&amp;maintain oil&amp;gas pressurised systems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T2.2.47</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Oil&amp;gas filled specialised underground cable principles.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 xml:space="preserve">T2.8.1 </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Enterprises specific - policies and procedure instructions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T2.8.2</w:t>
            </w:r>
          </w:p>
        </w:tc>
        <w:tc>
          <w:tcPr>
            <w:tcW w:w="4779"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Enterprises specific - OHS instructions</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T2.8.3</w:t>
            </w:r>
          </w:p>
        </w:tc>
        <w:tc>
          <w:tcPr>
            <w:tcW w:w="4779"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Enterprises specific - technical drawing and documents</w:t>
            </w:r>
          </w:p>
        </w:tc>
      </w:tr>
    </w:tbl>
    <w:p w:rsidR="00D936E5" w:rsidP="000834BC">
      <w:pPr>
        <w:pStyle w:val="BodyText"/>
      </w:pPr>
    </w:p>
    <w:p w:rsidR="00D936E5" w:rsidP="000834BC">
      <w:pPr>
        <w:pStyle w:val="BodyText"/>
      </w:pPr>
    </w:p>
    <w:p w:rsidR="00000000" w:rsidRPr="000834BC" w:rsidP="000834BC">
      <w:pPr>
        <w:pStyle w:val="Heading1"/>
      </w:pPr>
      <w:bookmarkStart w:id="10" w:name="O_248119"/>
      <w:bookmarkEnd w:id="10"/>
      <w:r w:rsidRPr="000834BC">
        <w:t>Evidence Guide</w:t>
      </w:r>
    </w:p>
    <w:tbl>
      <w:tblPr>
        <w:tblW w:w="0" w:type="auto"/>
        <w:tblLayout w:type="fixed"/>
        <w:tblCellMar>
          <w:left w:w="62" w:type="dxa"/>
          <w:right w:w="62" w:type="dxa"/>
        </w:tblCellMar>
        <w:tblLook w:val="0000"/>
      </w:tblPr>
      <w:tblGrid>
        <w:gridCol w:w="2207"/>
        <w:gridCol w:w="735"/>
        <w:gridCol w:w="919"/>
        <w:gridCol w:w="157"/>
        <w:gridCol w:w="1497"/>
        <w:gridCol w:w="3125"/>
      </w:tblGrid>
      <w:tr w:rsidTr="00D936E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EVIDENCE GUIDE</w:t>
            </w:r>
          </w:p>
        </w:tc>
      </w:tr>
      <w:tr w:rsidTr="00D936E5">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9</w:t>
            </w:r>
            <w:r w:rsidRPr="000834BC">
              <w:t xml:space="preserve">) This provides essential advice for assessment of the unit of competency and must be read in conjunction </w:t>
            </w:r>
            <w:r w:rsidRPr="000834BC">
              <w:t>with the performance criteria and the range statement of the unit of competency and the Training Package Assessment Guidelines.</w:t>
            </w:r>
          </w:p>
          <w:p w:rsidR="00000000" w:rsidP="000834BC">
            <w:pPr>
              <w:pStyle w:val="BodyText"/>
              <w:rPr>
                <w:lang w:val="en-NZ"/>
              </w:rPr>
            </w:pPr>
            <w:r w:rsidRPr="000834BC">
              <w:t>The Evidence Guide forms an integral part of this Competency Standard Unit and shall be used in conjunction with all component p</w:t>
            </w:r>
            <w:r w:rsidRPr="000834BC">
              <w:t>arts of this unit and, performed in accordance with the Assessment Guidelines of this Training Package.</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9</w:t>
            </w:r>
            <w:r w:rsidRPr="000834BC">
              <w:t>.</w:t>
            </w:r>
            <w:r w:rsidRPr="000834BC">
              <w:rPr>
                <w:rStyle w:val="SpecialBold"/>
              </w:rPr>
              <w:t>1</w:t>
            </w:r>
            <w:r w:rsidRPr="000834BC">
              <w:t xml:space="preserve">) </w:t>
            </w:r>
          </w:p>
          <w:p w:rsidR="00000000" w:rsidRPr="000834BC" w:rsidP="000834BC">
            <w:pPr>
              <w:pStyle w:val="BodyText"/>
            </w:pPr>
            <w:r w:rsidRPr="000834BC">
              <w:t>Longitudinal competency development approaches to assessment, such as Profiling, require data to be reliably gathered</w:t>
            </w:r>
            <w:r w:rsidRPr="000834BC">
              <w:t xml:space="preserve"> in a form that can be consistently interpreted over time. This approach is best utilised in Apprenticeship programs and reduces assessment intervention. It is the Industry's preferred model for apprenticeships. However, where summative (or final) assessme</w:t>
            </w:r>
            <w:r w:rsidRPr="000834BC">
              <w:t>nt is used it is to include the application of the competency in the normal work environment or, at a minimum, the application of the competency in a realistically simulated work environment. It is recognised that, in some circumstances, assessment in part</w:t>
            </w:r>
            <w:r w:rsidRPr="000834BC">
              <w:t xml:space="preserve"> or full can occur outside the workplace. However, it must be in accord with Industry and, Regulatory policy in this regard.</w:t>
            </w:r>
          </w:p>
          <w:p w:rsidR="00000000" w:rsidRPr="000834BC" w:rsidP="000834BC">
            <w:pPr>
              <w:pStyle w:val="BodyText"/>
            </w:pPr>
            <w:r w:rsidRPr="000834BC">
              <w:t>Methods chosen for a particular assessment will be influenced by various factors. These include the extent of the assessment, the m</w:t>
            </w:r>
            <w:r w:rsidRPr="000834BC">
              <w:t>ost effective locations for the assessment activities to take place, access to physical resources, additional safety measures that may be required and the critical nature of the competencies being assessed.</w:t>
            </w:r>
          </w:p>
          <w:p w:rsidR="00000000" w:rsidRPr="000834BC" w:rsidP="000834BC">
            <w:pPr>
              <w:pStyle w:val="BodyText"/>
            </w:pPr>
            <w:r w:rsidRPr="000834BC">
              <w:t>The critical safety nature of working with electricity, electrical equipment, gas or any other hazardous substance/material carries risk in deeming a person competent. Hence, sources of evidence need to be 'rich' in nature so as to minimise error in judgme</w:t>
            </w:r>
            <w:r w:rsidRPr="000834BC">
              <w:t>nt.</w:t>
            </w:r>
          </w:p>
          <w:p w:rsidR="00000000" w:rsidP="000834BC">
            <w:pPr>
              <w:pStyle w:val="BodyText"/>
              <w:rPr>
                <w:lang w:val="en-NZ"/>
              </w:rPr>
            </w:pPr>
            <w:r w:rsidRPr="000834BC">
              <w:t>Activities associated with normal every day work have a bearing on the decision as to how much and how detailed the data gathered will contribute to its 'richness'. Some skills are more critical to safety and operational requirements while the same ski</w:t>
            </w:r>
            <w:r w:rsidRPr="000834BC">
              <w:t>lls may be more or less frequently practiced. These points are raised for the assessors to consider when choosing an assessment method and developing assessment instruments. Sample assessment instruments are included for Assessors in the Assessment Guideli</w:t>
            </w:r>
            <w:r w:rsidRPr="000834BC">
              <w:t>nes of this Training Package.</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9</w:t>
            </w:r>
            <w:r w:rsidRPr="000834BC">
              <w:t>.</w:t>
            </w:r>
            <w:r w:rsidRPr="000834BC">
              <w:rPr>
                <w:rStyle w:val="SpecialBold"/>
              </w:rPr>
              <w:t>2</w:t>
            </w:r>
            <w:r w:rsidRPr="000834BC">
              <w:t xml:space="preserve">) </w:t>
            </w:r>
          </w:p>
          <w:p w:rsidR="00000000" w:rsidRPr="000834BC" w:rsidP="000834BC">
            <w:pPr>
              <w:pStyle w:val="BodyText"/>
            </w:pPr>
            <w:r w:rsidRPr="000834BC">
              <w:t>Before the critical aspects of evidence are considered all prerequisites shall be met.</w:t>
            </w:r>
          </w:p>
          <w:p w:rsidR="00000000" w:rsidP="000834BC">
            <w:pPr>
              <w:pStyle w:val="BodyText"/>
              <w:rPr>
                <w:lang w:val="en-NZ"/>
              </w:rPr>
            </w:pPr>
            <w:r w:rsidRPr="000834BC">
              <w:t>Evidence for competence in this unit shall be consi</w:t>
            </w:r>
            <w:r w:rsidRPr="000834BC">
              <w:t>dered holistically. Each element and associated performance criteria shall be demonstrated on at least two occasions in accordance with the "Assessment Guidelines - UET09". Evidence shall also comprise:</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0834BC">
            <w:pPr>
              <w:pStyle w:val="ListBullet"/>
              <w:rPr>
                <w:lang w:val="en-NZ"/>
              </w:rPr>
            </w:pPr>
            <w:r w:rsidRPr="000834BC">
              <w:t>A representative body of performance criteria d</w:t>
            </w:r>
            <w:r w:rsidRPr="000834BC">
              <w:t>emonstrated within the timeframes typically expected of the discipline, work function and industrial environment. In particular this shall incorporate evidence that shows a candidate is able to:</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0834BC" w:rsidP="000834BC">
            <w:pPr>
              <w:pStyle w:val="ListBullet2"/>
            </w:pPr>
            <w:r w:rsidRPr="000834BC">
              <w:t>Implement Occupational Health and Safety workplace procedures and practices including the use of risk control measures as specified in the performance criteria and range; and</w:t>
            </w:r>
          </w:p>
          <w:p w:rsidR="00000000" w:rsidRPr="000834BC" w:rsidP="000834BC">
            <w:pPr>
              <w:pStyle w:val="ListBullet2"/>
            </w:pPr>
            <w:r w:rsidRPr="000834BC">
              <w:t>Apply sustainable energy principles and practices as specified in the performance</w:t>
            </w:r>
            <w:r w:rsidRPr="000834BC">
              <w:t xml:space="preserve"> criteria and range; and</w:t>
            </w:r>
          </w:p>
          <w:p w:rsidR="00000000" w:rsidRPr="000834BC" w:rsidP="000834BC">
            <w:pPr>
              <w:pStyle w:val="ListBullet2"/>
            </w:pPr>
            <w:r w:rsidRPr="000834BC">
              <w:t>Demonstrate an understanding of the essential knowledge and associated skills as described in this unit to such an extent that the learner's performance outcome is reported in accordance with the preferred approach; namely a percen</w:t>
            </w:r>
            <w:r w:rsidRPr="000834BC">
              <w:t>tile graded result, where required by the regulated environment; and</w:t>
            </w:r>
          </w:p>
          <w:p w:rsidR="00000000" w:rsidRPr="000834BC" w:rsidP="000834BC">
            <w:pPr>
              <w:pStyle w:val="ListBullet2"/>
            </w:pPr>
            <w:r w:rsidRPr="000834BC">
              <w:t>Demonstrate an appropriate level of employability skills; and</w:t>
            </w:r>
          </w:p>
          <w:p w:rsidR="00000000" w:rsidP="000834BC">
            <w:pPr>
              <w:pStyle w:val="ListBullet2"/>
              <w:rPr>
                <w:lang w:val="en-NZ"/>
              </w:rPr>
            </w:pPr>
            <w:r w:rsidRPr="000834BC">
              <w:t>Conduct work observing the relevant Anti Discrimination legislation, regulations, policies and workplace procedures; and</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0834BC">
            <w:pPr>
              <w:pStyle w:val="ListBullet"/>
              <w:rPr>
                <w:lang w:val="en-NZ"/>
              </w:rPr>
            </w:pPr>
            <w:r w:rsidRPr="000834BC">
              <w:t>Demonstrated performance across a representative range of contexts from the prescribed items below:</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834BC">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rPr>
                <w:rStyle w:val="SpecialBold"/>
              </w:rPr>
              <w:t>Range of tools</w:t>
            </w:r>
            <w:r w:rsidRPr="000834BC">
              <w:t>/</w:t>
            </w:r>
            <w:r w:rsidRPr="000834BC">
              <w:rPr>
                <w:rStyle w:val="SpecialBold"/>
              </w:rPr>
              <w:t>equipment</w:t>
            </w:r>
            <w:r w:rsidRPr="000834BC">
              <w:t>/</w:t>
            </w:r>
            <w:r w:rsidRPr="000834BC">
              <w:rPr>
                <w:rStyle w:val="SpecialBold"/>
              </w:rPr>
              <w:t>materials</w:t>
            </w:r>
            <w:r w:rsidRPr="000834BC">
              <w:t>/</w:t>
            </w:r>
            <w:r w:rsidRPr="000834BC">
              <w:rPr>
                <w:rStyle w:val="SpecialBold"/>
              </w:rPr>
              <w:t>procedures</w:t>
            </w:r>
            <w:r w:rsidRPr="000834BC">
              <w:t>/</w:t>
            </w:r>
            <w:r w:rsidRPr="000834BC">
              <w:rPr>
                <w:rStyle w:val="SpecialBold"/>
              </w:rPr>
              <w:t>workplaces</w:t>
            </w:r>
            <w:r w:rsidRPr="000834BC">
              <w:t>/</w:t>
            </w:r>
            <w:r w:rsidRPr="000834BC">
              <w:rPr>
                <w:rStyle w:val="SpecialBold"/>
              </w:rPr>
              <w:t>other variables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834BC">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rPr>
                <w:rStyle w:val="SpecialBold"/>
              </w:rPr>
              <w:t>Group No</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rPr>
                <w:rStyle w:val="SpecialBold"/>
              </w:rPr>
              <w:t>Item List</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t>Oil filled pressure systems</w:t>
            </w:r>
          </w:p>
          <w:p w:rsidR="00000000" w:rsidP="000834BC">
            <w:pPr>
              <w:pStyle w:val="BodyText"/>
              <w:rPr>
                <w:lang w:val="en-NZ"/>
              </w:rPr>
            </w:pPr>
            <w:r w:rsidRPr="000834BC">
              <w:t>Gas filled pressure systems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B</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t>Gas analyser/detector</w:t>
            </w:r>
          </w:p>
          <w:p w:rsidR="00000000" w:rsidRPr="000834BC" w:rsidP="000834BC">
            <w:pPr>
              <w:pStyle w:val="BodyText"/>
            </w:pPr>
            <w:r w:rsidRPr="000834BC">
              <w:t>Manometers</w:t>
            </w:r>
          </w:p>
          <w:p w:rsidR="00000000" w:rsidRPr="000834BC" w:rsidP="000834BC">
            <w:pPr>
              <w:pStyle w:val="BodyText"/>
            </w:pPr>
            <w:r w:rsidRPr="000834BC">
              <w:t>Flow boards</w:t>
            </w:r>
          </w:p>
          <w:p w:rsidR="00000000" w:rsidP="000834BC">
            <w:pPr>
              <w:pStyle w:val="BodyText"/>
              <w:rPr>
                <w:lang w:val="en-NZ"/>
              </w:rPr>
            </w:pPr>
            <w:r w:rsidRPr="000834BC">
              <w:t>Cable freezing equipment</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C</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t>Accessory impregnation equipment</w:t>
            </w:r>
          </w:p>
          <w:p w:rsidR="00000000" w:rsidRPr="000834BC" w:rsidP="000834BC">
            <w:pPr>
              <w:pStyle w:val="BodyText"/>
            </w:pPr>
            <w:r w:rsidRPr="000834BC">
              <w:t>Oil degasification plant</w:t>
            </w:r>
          </w:p>
          <w:p w:rsidR="00000000" w:rsidRPr="000834BC" w:rsidP="000834BC">
            <w:pPr>
              <w:pStyle w:val="BodyText"/>
            </w:pPr>
            <w:r w:rsidRPr="000834BC">
              <w:t>Manometers</w:t>
            </w:r>
          </w:p>
          <w:p w:rsidR="00000000" w:rsidRPr="000834BC" w:rsidP="000834BC">
            <w:pPr>
              <w:pStyle w:val="BodyText"/>
            </w:pPr>
            <w:r w:rsidRPr="000834BC">
              <w:t>Flowboards</w:t>
            </w:r>
          </w:p>
          <w:p w:rsidR="00000000" w:rsidRPr="000834BC" w:rsidP="000834BC">
            <w:pPr>
              <w:pStyle w:val="BodyText"/>
            </w:pPr>
            <w:r w:rsidRPr="000834BC">
              <w:t>Vacuum pumps</w:t>
            </w:r>
          </w:p>
          <w:p w:rsidR="00000000" w:rsidRPr="000834BC" w:rsidP="000834BC">
            <w:pPr>
              <w:pStyle w:val="BodyText"/>
            </w:pPr>
            <w:r w:rsidRPr="000834BC">
              <w:t>Site bottles</w:t>
            </w:r>
          </w:p>
          <w:p w:rsidR="00000000" w:rsidRPr="000834BC" w:rsidP="000834BC">
            <w:pPr>
              <w:pStyle w:val="BodyText"/>
            </w:pPr>
            <w:r w:rsidRPr="000834BC">
              <w:t>Gas cylinders</w:t>
            </w:r>
          </w:p>
          <w:p w:rsidR="00000000" w:rsidRPr="000834BC" w:rsidP="000834BC">
            <w:pPr>
              <w:pStyle w:val="BodyText"/>
            </w:pPr>
            <w:r w:rsidRPr="000834BC">
              <w:t>Pressure/vacuum meters</w:t>
            </w:r>
          </w:p>
          <w:p w:rsidR="00000000" w:rsidRPr="000834BC" w:rsidP="000834BC">
            <w:pPr>
              <w:pStyle w:val="BodyText"/>
            </w:pPr>
            <w:r w:rsidRPr="000834BC">
              <w:t>Oil evacuation pumps</w:t>
            </w:r>
          </w:p>
          <w:p w:rsidR="00000000" w:rsidRPr="000834BC" w:rsidP="000834BC">
            <w:pPr>
              <w:pStyle w:val="BodyText"/>
            </w:pPr>
            <w:r w:rsidRPr="000834BC">
              <w:t>RGP equipment</w:t>
            </w:r>
          </w:p>
          <w:p w:rsidR="00000000" w:rsidP="000834BC">
            <w:pPr>
              <w:pStyle w:val="BodyText"/>
              <w:rPr>
                <w:lang w:val="en-NZ"/>
              </w:rPr>
            </w:pPr>
            <w:r w:rsidRPr="000834BC">
              <w:t>Oil sampling equipment</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D</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4BC" w:rsidP="000834BC">
            <w:pPr>
              <w:pStyle w:val="BodyText"/>
            </w:pPr>
            <w:r w:rsidRPr="000834BC">
              <w:t>Gas control cubicles</w:t>
            </w:r>
          </w:p>
          <w:p w:rsidR="00000000" w:rsidRPr="000834BC" w:rsidP="000834BC">
            <w:pPr>
              <w:pStyle w:val="BodyText"/>
            </w:pPr>
            <w:r w:rsidRPr="000834BC">
              <w:t>Oil control cubicles</w:t>
            </w:r>
          </w:p>
          <w:p w:rsidR="00000000" w:rsidRPr="000834BC" w:rsidP="000834BC">
            <w:pPr>
              <w:pStyle w:val="BodyText"/>
            </w:pPr>
            <w:r w:rsidRPr="000834BC">
              <w:t>Cable joints and terminations</w:t>
            </w:r>
          </w:p>
          <w:p w:rsidR="00000000" w:rsidRPr="000834BC" w:rsidP="000834BC">
            <w:pPr>
              <w:pStyle w:val="BodyText"/>
            </w:pPr>
            <w:r w:rsidRPr="000834BC">
              <w:t>Oil degasification units</w:t>
            </w:r>
          </w:p>
          <w:p w:rsidR="00000000" w:rsidP="000834BC">
            <w:pPr>
              <w:pStyle w:val="BodyText"/>
              <w:rPr>
                <w:lang w:val="en-NZ"/>
              </w:rPr>
            </w:pPr>
            <w:r w:rsidRPr="000834BC">
              <w:t>Oil pressure tanks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E</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4BC">
            <w:pPr>
              <w:pStyle w:val="BodyText"/>
              <w:rPr>
                <w:lang w:val="en-NZ"/>
              </w:rPr>
            </w:pPr>
            <w:r w:rsidRPr="000834BC">
              <w:t>Dealing with an unplanned event by drawing on essential knowledge and associated skills to provide appropriate solutions incorporated in the holistic assessment with the above listed items.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9</w:t>
            </w:r>
            <w:r w:rsidRPr="000834BC">
              <w:t>.</w:t>
            </w:r>
            <w:r w:rsidRPr="000834BC">
              <w:rPr>
                <w:rStyle w:val="SpecialBold"/>
              </w:rPr>
              <w:t>3</w:t>
            </w:r>
            <w:r w:rsidRPr="000834BC">
              <w:t xml:space="preserve">) </w:t>
            </w:r>
          </w:p>
          <w:p w:rsidR="00000000" w:rsidRPr="000834BC" w:rsidP="000834BC">
            <w:pPr>
              <w:pStyle w:val="BodyText"/>
            </w:pPr>
            <w:r w:rsidRPr="000834BC">
              <w:t xml:space="preserve">This unit </w:t>
            </w:r>
            <w:r w:rsidRPr="000834BC">
              <w:t>should be assessed as it relates to normal work practice using procedures, information and resources typical of a workplace. This should include:</w:t>
            </w:r>
          </w:p>
          <w:p w:rsidR="00000000" w:rsidRPr="000834BC" w:rsidP="000834BC">
            <w:pPr>
              <w:pStyle w:val="ListBullet"/>
            </w:pPr>
            <w:r w:rsidRPr="000834BC">
              <w:t>OHS policy and work procedures and instructions.</w:t>
            </w:r>
          </w:p>
          <w:p w:rsidR="00000000" w:rsidP="000834BC">
            <w:pPr>
              <w:pStyle w:val="ListBullet"/>
              <w:rPr>
                <w:lang w:val="en-NZ"/>
              </w:rPr>
            </w:pPr>
            <w:r w:rsidRPr="000834BC">
              <w:t>Suitable work environment, facilities, equipment and material</w:t>
            </w:r>
            <w:r w:rsidRPr="000834BC">
              <w:t>s to undertake actual installation and maintenance of oil and gas pressure systems for specialised underground cables.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 addition to the resources l</w:t>
            </w:r>
            <w:r w:rsidRPr="000834BC">
              <w:t xml:space="preserve">isted above, in Context of and specific resources for assessment, evidence should show demonstrated competency working at realistic heights above ground i.e. above 3 metres, in limited spaces, with different structural/construction types and method and in </w:t>
            </w:r>
            <w:r w:rsidRPr="000834BC">
              <w:t xml:space="preserve">a variety of environments. </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9</w:t>
            </w:r>
            <w:r w:rsidRPr="000834BC">
              <w:t>.</w:t>
            </w:r>
            <w:r w:rsidRPr="000834BC">
              <w:rPr>
                <w:rStyle w:val="SpecialBold"/>
              </w:rPr>
              <w:t>4</w:t>
            </w:r>
            <w:r w:rsidRPr="000834BC">
              <w:t xml:space="preserve">) </w:t>
            </w:r>
          </w:p>
          <w:p w:rsidR="00000000" w:rsidRPr="000834BC" w:rsidP="000834BC">
            <w:pPr>
              <w:pStyle w:val="BodyText"/>
            </w:pPr>
            <w:r w:rsidRPr="000834BC">
              <w:t>This Competency Standard Unit shall be assessed by methods given in Volume 1, Part 3 "Assessment Guidelines".</w:t>
            </w:r>
          </w:p>
          <w:p w:rsidR="00000000" w:rsidP="000834BC">
            <w:pPr>
              <w:pStyle w:val="BodyText"/>
              <w:rPr>
                <w:lang w:val="en-NZ"/>
              </w:rPr>
            </w:pPr>
            <w:r w:rsidRPr="000834BC">
              <w:t>Note:</w:t>
            </w:r>
            <w:r w:rsidRPr="000834BC">
              <w:br/>
              <w:t>Competent performance with inherent safe working practices is expected in the In</w:t>
            </w:r>
            <w:r w:rsidRPr="000834BC">
              <w:t>dustry to which this Competency Standard Unit applies. This requires that the specified essential knowledge and associated skills are assessed in a structured environment which is primarily intended for learning/assessment and incorporates all necessary eq</w:t>
            </w:r>
            <w:r w:rsidRPr="000834BC">
              <w:t>uipment and facilities for learners to develop and demonstrate the essential knowledge and associated skills described in this unit.</w:t>
            </w:r>
          </w:p>
        </w:tc>
      </w:tr>
      <w:tr w:rsidTr="00D936E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9</w:t>
            </w:r>
            <w:r w:rsidRPr="000834BC">
              <w:t>.</w:t>
            </w:r>
            <w:r w:rsidRPr="000834BC">
              <w:rPr>
                <w:rStyle w:val="SpecialBold"/>
              </w:rPr>
              <w:t>5</w:t>
            </w:r>
            <w:r w:rsidRPr="000834BC">
              <w:t>)</w:t>
            </w:r>
          </w:p>
        </w:tc>
      </w:tr>
      <w:tr w:rsidTr="00D936E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 xml:space="preserve">For optimisation of training and assessment effort, competence in this unit may be assessed concurrently with the following units: </w:t>
            </w:r>
          </w:p>
        </w:tc>
      </w:tr>
      <w:tr w:rsidTr="00D936E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1"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UETTDRCJ09B</w:t>
            </w:r>
          </w:p>
        </w:tc>
        <w:tc>
          <w:tcPr>
            <w:tcW w:w="4622" w:type="dxa"/>
            <w:gridSpan w:val="2"/>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Install oil and gas filled specialised underground cables</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1" w:type="dxa"/>
            <w:gridSpan w:val="3"/>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UETTDRCJ11B</w:t>
            </w:r>
          </w:p>
        </w:tc>
        <w:tc>
          <w:tcPr>
            <w:tcW w:w="4622" w:type="dxa"/>
            <w:gridSpan w:val="2"/>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Install and maintain polymeric specialised underground cables</w:t>
            </w:r>
          </w:p>
        </w:tc>
      </w:tr>
    </w:tbl>
    <w:p w:rsidR="00D936E5" w:rsidP="000834BC">
      <w:pPr>
        <w:pStyle w:val="BodyText"/>
      </w:pPr>
    </w:p>
    <w:p w:rsidR="00D936E5" w:rsidP="000834BC">
      <w:pPr>
        <w:pStyle w:val="BodyText"/>
      </w:pPr>
    </w:p>
    <w:p w:rsidR="00000000" w:rsidRPr="000834BC" w:rsidP="000834BC">
      <w:pPr>
        <w:pStyle w:val="Heading1"/>
      </w:pPr>
      <w:bookmarkStart w:id="11" w:name="O_256103"/>
      <w:bookmarkEnd w:id="11"/>
      <w:r w:rsidRPr="000834BC">
        <w:t>Range Statement</w:t>
      </w:r>
    </w:p>
    <w:tbl>
      <w:tblPr>
        <w:tblW w:w="0" w:type="auto"/>
        <w:tblLayout w:type="fixed"/>
        <w:tblCellMar>
          <w:left w:w="62" w:type="dxa"/>
          <w:right w:w="62" w:type="dxa"/>
        </w:tblCellMar>
        <w:tblLook w:val="0000"/>
      </w:tblPr>
      <w:tblGrid>
        <w:gridCol w:w="2207"/>
        <w:gridCol w:w="6433"/>
      </w:tblGrid>
      <w:tr w:rsidTr="00D936E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RANGE STATEMENT</w:t>
            </w:r>
          </w:p>
        </w:tc>
      </w:tr>
      <w:tr w:rsidTr="00D936E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8</w:t>
            </w:r>
            <w:r w:rsidRPr="000834BC">
              <w:t xml:space="preserve">) This relates to the unit of competency as a whole providing the range of contexts and conditions </w:t>
            </w:r>
            <w:r w:rsidRPr="000834BC">
              <w:t>to which the performance criteria apply. It allows for different work environments and situations that will affect performance.</w:t>
            </w:r>
          </w:p>
        </w:tc>
      </w:tr>
      <w:tr w:rsidTr="00D936E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This Competency Standard Unit shall/may be demonstrated in relation to the installation and maintenance of oil and gas pressure systems for specialised underground cables. It covers the installation of pressure control cubicles, pressure lines, oil and gas</w:t>
            </w:r>
            <w:r w:rsidRPr="000834BC">
              <w:t xml:space="preserve"> tanks/cylinders and flow control equipment. Maintenance of pressure systems including routine maintenance activities and equipment testing. Leak location activities including cable freezing and flow rate comparison tests.</w:t>
            </w:r>
          </w:p>
          <w:p w:rsidR="00000000" w:rsidRPr="000834BC" w:rsidP="000834BC">
            <w:pPr>
              <w:pStyle w:val="BodyText"/>
            </w:pPr>
            <w:r w:rsidRPr="000834BC">
              <w:t>It also encompasses the processin</w:t>
            </w:r>
            <w:r w:rsidRPr="000834BC">
              <w:t>g of cable oil and basic testing and sampling of oil.</w:t>
            </w:r>
          </w:p>
          <w:p w:rsidR="00000000" w:rsidRPr="000834BC" w:rsidP="000834BC">
            <w:pPr>
              <w:pStyle w:val="BodyText"/>
            </w:pPr>
            <w:r w:rsidRPr="000834BC">
              <w:t>Oil processing and control equipment may include: Oil de-gasification units, oil trays and pumps, vacuum pumps, accessory impregnation equipment, RGP meters&amp;equipment, manometers, vacuum meters, flow bo</w:t>
            </w:r>
            <w:r w:rsidRPr="000834BC">
              <w:t xml:space="preserve">ards, oil sampling flasks and extraction plant, liquid nitrogen cylinders and associated cable freezing equipment, oil pressure tanks, oil piping ,fittings and valves, oil control cubicles </w:t>
            </w:r>
          </w:p>
          <w:p w:rsidR="00000000" w:rsidRPr="000834BC" w:rsidP="000834BC">
            <w:pPr>
              <w:pStyle w:val="BodyText"/>
            </w:pPr>
            <w:r w:rsidRPr="000834BC">
              <w:t>Gas processing&amp;control equipment may include: Dry nitrogen cylinde</w:t>
            </w:r>
            <w:r w:rsidRPr="000834BC">
              <w:t>rs, gas piping, fittings and valves, pressure meters and transducers, gas control cubicles.</w:t>
            </w:r>
          </w:p>
          <w:p w:rsidR="00000000" w:rsidP="000834BC">
            <w:pPr>
              <w:pStyle w:val="BodyText"/>
              <w:rPr>
                <w:lang w:val="en-NZ"/>
              </w:rPr>
            </w:pPr>
            <w:r w:rsidRPr="000834BC">
              <w:t xml:space="preserve">The following constants and variables included in the element/performance criteria in this unit are fully described in the Definitions Section 1 of this volume and </w:t>
            </w:r>
            <w:r w:rsidRPr="000834BC">
              <w:t>form an integral part of the Range Statement of this unit:</w:t>
            </w:r>
          </w:p>
        </w:tc>
      </w:tr>
      <w:tr w:rsidTr="00D936E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0834BC" w:rsidP="000834BC">
            <w:pPr>
              <w:pStyle w:val="ListBullet3"/>
            </w:pPr>
            <w:r w:rsidRPr="000834BC">
              <w:t>Appropriate and relevant persons (see Personnel)</w:t>
            </w:r>
          </w:p>
          <w:p w:rsidR="00000000" w:rsidRPr="000834BC" w:rsidP="000834BC">
            <w:pPr>
              <w:pStyle w:val="ListBullet3"/>
            </w:pPr>
            <w:r w:rsidRPr="000834BC">
              <w:t>Appropriate authorities</w:t>
            </w:r>
          </w:p>
          <w:p w:rsidR="00000000" w:rsidRPr="000834BC" w:rsidP="000834BC">
            <w:pPr>
              <w:pStyle w:val="ListBullet3"/>
            </w:pPr>
            <w:r w:rsidRPr="000834BC">
              <w:t>Appropriate work platform</w:t>
            </w:r>
          </w:p>
          <w:p w:rsidR="00000000" w:rsidRPr="000834BC" w:rsidP="000834BC">
            <w:pPr>
              <w:pStyle w:val="ListBullet3"/>
            </w:pPr>
            <w:r w:rsidRPr="000834BC">
              <w:t>Assessing risk</w:t>
            </w:r>
          </w:p>
          <w:p w:rsidR="00000000" w:rsidRPr="000834BC" w:rsidP="000834BC">
            <w:pPr>
              <w:pStyle w:val="ListBullet3"/>
            </w:pPr>
            <w:r w:rsidRPr="000834BC">
              <w:t>Assessment</w:t>
            </w:r>
          </w:p>
          <w:p w:rsidR="00000000" w:rsidRPr="000834BC" w:rsidP="000834BC">
            <w:pPr>
              <w:pStyle w:val="ListBullet3"/>
            </w:pPr>
            <w:r w:rsidRPr="000834BC">
              <w:t>Authorisation</w:t>
            </w:r>
          </w:p>
          <w:p w:rsidR="00000000" w:rsidRPr="000834BC" w:rsidP="000834BC">
            <w:pPr>
              <w:pStyle w:val="ListBullet3"/>
            </w:pPr>
            <w:r w:rsidRPr="000834BC">
              <w:t>Confined space</w:t>
            </w:r>
          </w:p>
          <w:p w:rsidR="00000000" w:rsidRPr="000834BC" w:rsidP="000834BC">
            <w:pPr>
              <w:pStyle w:val="ListBullet3"/>
            </w:pPr>
            <w:r w:rsidRPr="000834BC">
              <w:t>Diagnostic, testing and restoration</w:t>
            </w:r>
          </w:p>
          <w:p w:rsidR="00000000" w:rsidRPr="000834BC" w:rsidP="000834BC">
            <w:pPr>
              <w:pStyle w:val="ListBullet3"/>
            </w:pPr>
            <w:r w:rsidRPr="000834BC">
              <w:t>Documenting detail work events, record keeping and or storage of information</w:t>
            </w:r>
          </w:p>
          <w:p w:rsidR="00000000" w:rsidRPr="000834BC" w:rsidP="000834BC">
            <w:pPr>
              <w:pStyle w:val="ListBullet3"/>
            </w:pPr>
            <w:r w:rsidRPr="000834BC">
              <w:t>Drawings and specifications</w:t>
            </w:r>
          </w:p>
          <w:p w:rsidR="00000000" w:rsidRPr="000834BC" w:rsidP="000834BC">
            <w:pPr>
              <w:pStyle w:val="ListBullet3"/>
            </w:pPr>
            <w:r w:rsidRPr="000834BC">
              <w:t>Emergency</w:t>
            </w:r>
          </w:p>
          <w:p w:rsidR="00000000" w:rsidRPr="000834BC" w:rsidP="000834BC">
            <w:pPr>
              <w:pStyle w:val="ListBullet3"/>
            </w:pPr>
            <w:r w:rsidRPr="000834BC">
              <w:t>Environmental and sustainable energy procedures</w:t>
            </w:r>
          </w:p>
          <w:p w:rsidR="00000000" w:rsidRPr="000834BC" w:rsidP="000834BC">
            <w:pPr>
              <w:pStyle w:val="ListBullet3"/>
            </w:pPr>
            <w:r w:rsidRPr="000834BC">
              <w:t>Environmental legislation</w:t>
            </w:r>
          </w:p>
          <w:p w:rsidR="00000000" w:rsidRPr="000834BC" w:rsidP="000834BC">
            <w:pPr>
              <w:pStyle w:val="ListBullet3"/>
            </w:pPr>
            <w:r w:rsidRPr="000834BC">
              <w:t>Environmental management documentation</w:t>
            </w:r>
          </w:p>
          <w:p w:rsidR="00000000" w:rsidRPr="000834BC" w:rsidP="000834BC">
            <w:pPr>
              <w:pStyle w:val="ListBullet3"/>
            </w:pPr>
            <w:r w:rsidRPr="000834BC">
              <w:t>Established procedures</w:t>
            </w:r>
          </w:p>
          <w:p w:rsidR="00000000" w:rsidRPr="000834BC" w:rsidP="000834BC">
            <w:pPr>
              <w:pStyle w:val="ListBullet3"/>
            </w:pPr>
            <w:r w:rsidRPr="000834BC">
              <w:t xml:space="preserve">Fall </w:t>
            </w:r>
            <w:r w:rsidRPr="000834BC">
              <w:t>prevention</w:t>
            </w:r>
          </w:p>
          <w:p w:rsidR="00000000" w:rsidRPr="000834BC" w:rsidP="000834BC">
            <w:pPr>
              <w:pStyle w:val="ListBullet3"/>
            </w:pPr>
            <w:r w:rsidRPr="000834BC">
              <w:t>Hazards</w:t>
            </w:r>
          </w:p>
          <w:p w:rsidR="00000000" w:rsidRPr="000834BC" w:rsidP="000834BC">
            <w:pPr>
              <w:pStyle w:val="ListBullet3"/>
            </w:pPr>
            <w:r w:rsidRPr="000834BC">
              <w:t>Identifying hazards</w:t>
            </w:r>
          </w:p>
          <w:p w:rsidR="00000000" w:rsidRPr="000834BC" w:rsidP="000834BC">
            <w:pPr>
              <w:pStyle w:val="ListBullet3"/>
            </w:pPr>
            <w:r w:rsidRPr="000834BC">
              <w:t>Inspect</w:t>
            </w:r>
          </w:p>
          <w:p w:rsidR="00000000" w:rsidRPr="000834BC" w:rsidP="000834BC">
            <w:pPr>
              <w:pStyle w:val="ListBullet3"/>
            </w:pPr>
            <w:r w:rsidRPr="000834BC">
              <w:t>Legislation</w:t>
            </w:r>
          </w:p>
          <w:p w:rsidR="00000000" w:rsidRPr="000834BC" w:rsidP="000834BC">
            <w:pPr>
              <w:pStyle w:val="ListBullet3"/>
            </w:pPr>
            <w:r w:rsidRPr="000834BC">
              <w:t>MSDS</w:t>
            </w:r>
          </w:p>
          <w:p w:rsidR="00000000" w:rsidRPr="000834BC" w:rsidP="000834BC">
            <w:pPr>
              <w:pStyle w:val="ListBullet3"/>
            </w:pPr>
            <w:r w:rsidRPr="000834BC">
              <w:t>Notification.</w:t>
            </w:r>
          </w:p>
          <w:p w:rsidR="00000000" w:rsidRPr="000834BC" w:rsidP="000834BC">
            <w:pPr>
              <w:pStyle w:val="ListBullet3"/>
            </w:pPr>
            <w:r w:rsidRPr="000834BC">
              <w:t>OHS practices</w:t>
            </w:r>
          </w:p>
          <w:p w:rsidR="00000000" w:rsidRPr="000834BC" w:rsidP="000834BC">
            <w:pPr>
              <w:pStyle w:val="ListBullet3"/>
            </w:pPr>
            <w:r w:rsidRPr="000834BC">
              <w:t>OHS issues</w:t>
            </w:r>
          </w:p>
          <w:p w:rsidR="00000000" w:rsidRPr="000834BC" w:rsidP="000834BC">
            <w:pPr>
              <w:pStyle w:val="ListBullet3"/>
            </w:pPr>
            <w:r w:rsidRPr="000834BC">
              <w:t>Permits and/or permits to work</w:t>
            </w:r>
          </w:p>
          <w:p w:rsidR="00000000" w:rsidRPr="000834BC" w:rsidP="000834BC">
            <w:pPr>
              <w:pStyle w:val="ListBullet3"/>
            </w:pPr>
            <w:r w:rsidRPr="000834BC">
              <w:t>Personnel</w:t>
            </w:r>
          </w:p>
          <w:p w:rsidR="00000000" w:rsidRPr="000834BC" w:rsidP="000834BC">
            <w:pPr>
              <w:pStyle w:val="ListBullet3"/>
            </w:pPr>
            <w:r w:rsidRPr="000834BC">
              <w:t>Quality assurance systems</w:t>
            </w:r>
          </w:p>
          <w:p w:rsidR="00000000" w:rsidRPr="000834BC" w:rsidP="000834BC">
            <w:pPr>
              <w:pStyle w:val="ListBullet3"/>
            </w:pPr>
            <w:r w:rsidRPr="000834BC">
              <w:t>Requirements</w:t>
            </w:r>
          </w:p>
          <w:p w:rsidR="00000000" w:rsidRPr="000834BC" w:rsidP="000834BC">
            <w:pPr>
              <w:pStyle w:val="ListBullet3"/>
            </w:pPr>
            <w:r w:rsidRPr="000834BC">
              <w:t>Testing procedures</w:t>
            </w:r>
          </w:p>
          <w:p w:rsidR="00000000" w:rsidRPr="000834BC" w:rsidP="000834BC">
            <w:pPr>
              <w:pStyle w:val="ListBullet3"/>
            </w:pPr>
            <w:r w:rsidRPr="000834BC">
              <w:t>Work clearance systems</w:t>
            </w:r>
          </w:p>
        </w:tc>
      </w:tr>
    </w:tbl>
    <w:p w:rsidR="00D936E5" w:rsidP="000834BC">
      <w:pPr>
        <w:pStyle w:val="BodyText"/>
      </w:pPr>
    </w:p>
    <w:p w:rsidR="00D936E5" w:rsidP="000834BC">
      <w:pPr>
        <w:pStyle w:val="BodyText"/>
      </w:pPr>
    </w:p>
    <w:p w:rsidR="00000000" w:rsidRPr="000834BC" w:rsidP="000834BC">
      <w:pPr>
        <w:pStyle w:val="Heading1"/>
      </w:pPr>
      <w:bookmarkStart w:id="12" w:name="O_297116"/>
      <w:bookmarkEnd w:id="12"/>
      <w:r w:rsidRPr="000834BC">
        <w:t>Unit Sector(s)</w:t>
      </w:r>
    </w:p>
    <w:p w:rsidR="00000000" w:rsidRPr="000834BC" w:rsidP="000834BC">
      <w:pPr>
        <w:pStyle w:val="BodyText"/>
      </w:pPr>
      <w:r w:rsidRPr="000834BC">
        <w:t>Not Applicable</w:t>
      </w:r>
    </w:p>
    <w:p w:rsidR="00000000" w:rsidRPr="000834BC" w:rsidP="000834BC">
      <w:pPr>
        <w:pStyle w:val="AllowPageBreak"/>
      </w:pPr>
    </w:p>
    <w:p w:rsidR="00000000" w:rsidRPr="000834BC" w:rsidP="000834BC">
      <w:pPr>
        <w:pStyle w:val="Heading1"/>
      </w:pPr>
      <w:bookmarkStart w:id="13" w:name="O_231105"/>
      <w:bookmarkEnd w:id="13"/>
      <w:r w:rsidRPr="000834BC">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D936E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2</w:t>
            </w:r>
            <w:r w:rsidRPr="000834BC">
              <w:t>.</w:t>
            </w:r>
            <w:r w:rsidRPr="000834BC">
              <w:rPr>
                <w:rStyle w:val="SpecialBold"/>
              </w:rPr>
              <w:t>2</w:t>
            </w:r>
            <w:r w:rsidRPr="000834BC">
              <w:t xml:space="preserve">) </w:t>
            </w:r>
            <w:r w:rsidRPr="000834BC">
              <w:rPr>
                <w:rStyle w:val="SpecialBold"/>
              </w:rPr>
              <w:t>Literacy and numeracy skills</w:t>
            </w:r>
          </w:p>
          <w:p w:rsidR="00000000" w:rsidP="000834BC">
            <w:pPr>
              <w:pStyle w:val="BodyText"/>
              <w:rPr>
                <w:lang w:val="en-NZ"/>
              </w:rPr>
            </w:pPr>
            <w:r w:rsidRPr="000834BC">
              <w:t>Participants are best equipped to achieve this unit if they have reading, writing and numeracy skills indicated by the following scales. Description of each scale is given in Volume 2, Part 3 "Literacy and Numeracy"</w:t>
            </w:r>
          </w:p>
        </w:tc>
      </w:tr>
      <w:tr w:rsidTr="00D936E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Reading</w:t>
            </w:r>
          </w:p>
        </w:tc>
        <w:tc>
          <w:tcPr>
            <w:tcW w:w="1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4</w:t>
            </w:r>
          </w:p>
        </w:tc>
        <w:tc>
          <w:tcPr>
            <w:tcW w:w="1776"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Writing</w:t>
            </w:r>
          </w:p>
        </w:tc>
        <w:tc>
          <w:tcPr>
            <w:tcW w:w="1207"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4</w:t>
            </w:r>
          </w:p>
        </w:tc>
        <w:tc>
          <w:tcPr>
            <w:tcW w:w="1758"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t>Numeracy</w:t>
            </w:r>
          </w:p>
        </w:tc>
        <w:tc>
          <w:tcPr>
            <w:tcW w:w="1207"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4</w:t>
            </w:r>
          </w:p>
        </w:tc>
      </w:tr>
    </w:tbl>
    <w:p w:rsidR="00D936E5" w:rsidP="000834BC">
      <w:pPr>
        <w:pStyle w:val="BodyText"/>
      </w:pPr>
    </w:p>
    <w:p w:rsidR="00D936E5" w:rsidP="000834BC">
      <w:pPr>
        <w:pStyle w:val="BodyText"/>
      </w:pPr>
    </w:p>
    <w:p w:rsidR="00000000" w:rsidRPr="000834BC" w:rsidP="000834BC">
      <w:pPr>
        <w:pStyle w:val="Heading1"/>
      </w:pPr>
      <w:bookmarkStart w:id="14" w:name="O_231108"/>
      <w:bookmarkEnd w:id="14"/>
      <w:r w:rsidRPr="000834BC">
        <w:t>Competency Field</w:t>
      </w:r>
    </w:p>
    <w:tbl>
      <w:tblPr>
        <w:tblW w:w="0" w:type="auto"/>
        <w:tblLayout w:type="fixed"/>
        <w:tblCellMar>
          <w:left w:w="62" w:type="dxa"/>
          <w:right w:w="62" w:type="dxa"/>
        </w:tblCellMar>
        <w:tblLook w:val="0000"/>
      </w:tblPr>
      <w:tblGrid>
        <w:gridCol w:w="2758"/>
        <w:gridCol w:w="5882"/>
      </w:tblGrid>
      <w:tr w:rsidTr="00D936E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0834BC">
            <w:pPr>
              <w:pStyle w:val="BodyText"/>
              <w:rPr>
                <w:lang w:val="en-NZ"/>
              </w:rPr>
            </w:pPr>
            <w:r w:rsidRPr="000834BC">
              <w:rPr>
                <w:rStyle w:val="SpecialBold"/>
              </w:rPr>
              <w:t>5</w:t>
            </w:r>
            <w:r w:rsidRPr="000834BC">
              <w:t>)</w:t>
            </w:r>
          </w:p>
        </w:tc>
      </w:tr>
      <w:tr w:rsidTr="00D936E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834BC" w:rsidP="000834BC">
            <w:pPr>
              <w:pStyle w:val="BodyText"/>
            </w:pPr>
            <w:r w:rsidRPr="000834BC">
              <w:t>Cable Jointing</w:t>
            </w:r>
          </w:p>
        </w:tc>
      </w:tr>
    </w:tbl>
    <w:p w:rsidR="00D936E5" w:rsidP="000834BC">
      <w:pPr>
        <w:pStyle w:val="BodyText"/>
      </w:pPr>
    </w:p>
    <w:p w:rsidR="00D936E5" w:rsidP="000834BC">
      <w:pPr>
        <w:pStyle w:val="BodyText"/>
      </w:pPr>
    </w:p>
    <w:p w:rsidR="00000000" w:rsidRPr="000834BC" w:rsidP="000834BC"/>
    <w:sectPr w:rsidSect="00083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6E5" w:rsidP="00D936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5" w:rsidP="000834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D936E5" w:rsidP="00083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936E5" w:rsidP="00083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BC" w:rsidRPr="00D936E5" w:rsidP="00D936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E5" w:rsidRPr="002D2AF8" w:rsidP="000834BC">
    <w:pPr>
      <w:pStyle w:val="Header"/>
      <w:framePr w:wrap="around"/>
    </w:pPr>
    <w:r>
      <w:fldChar w:fldCharType="begin"/>
    </w:r>
    <w:r>
      <w:instrText xml:space="preserve"> TITLE   \* MERGEFORMAT </w:instrText>
    </w:r>
    <w:r>
      <w:fldChar w:fldCharType="separate"/>
    </w:r>
    <w:r>
      <w:t>UETTDRCJ12B stall and maintain oil and gas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936E5" w:rsidP="00083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27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E6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65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4BC"/>
    <w:pPr>
      <w:spacing w:before="360" w:after="60"/>
      <w:outlineLvl w:val="0"/>
    </w:pPr>
    <w:rPr>
      <w:sz w:val="32"/>
    </w:rPr>
  </w:style>
  <w:style w:type="paragraph" w:styleId="Heading2">
    <w:name w:val="heading 2"/>
    <w:basedOn w:val="HeadingBase"/>
    <w:next w:val="BodyText"/>
    <w:link w:val="Heading2Char"/>
    <w:qFormat/>
    <w:rsid w:val="000834BC"/>
    <w:pPr>
      <w:keepLines/>
      <w:spacing w:before="240" w:after="120"/>
      <w:outlineLvl w:val="1"/>
    </w:pPr>
    <w:rPr>
      <w:sz w:val="28"/>
      <w:szCs w:val="40"/>
    </w:rPr>
  </w:style>
  <w:style w:type="paragraph" w:styleId="Heading3">
    <w:name w:val="heading 3"/>
    <w:basedOn w:val="HeadingBase"/>
    <w:next w:val="BodyText"/>
    <w:link w:val="Heading3Char"/>
    <w:qFormat/>
    <w:rsid w:val="000834BC"/>
    <w:pPr>
      <w:spacing w:before="180" w:after="120"/>
      <w:outlineLvl w:val="2"/>
    </w:pPr>
    <w:rPr>
      <w:spacing w:val="-10"/>
      <w:kern w:val="32"/>
    </w:rPr>
  </w:style>
  <w:style w:type="paragraph" w:styleId="Heading4">
    <w:name w:val="heading 4"/>
    <w:basedOn w:val="HeadingBase"/>
    <w:next w:val="BodyText"/>
    <w:link w:val="Heading4Char"/>
    <w:qFormat/>
    <w:rsid w:val="000834BC"/>
    <w:pPr>
      <w:spacing w:before="160" w:after="120"/>
      <w:outlineLvl w:val="3"/>
    </w:pPr>
    <w:rPr>
      <w:sz w:val="22"/>
    </w:rPr>
  </w:style>
  <w:style w:type="paragraph" w:styleId="Heading5">
    <w:name w:val="heading 5"/>
    <w:basedOn w:val="HeadingBase"/>
    <w:next w:val="Normal"/>
    <w:link w:val="Heading5Char"/>
    <w:qFormat/>
    <w:rsid w:val="000834BC"/>
    <w:pPr>
      <w:spacing w:before="80"/>
      <w:outlineLvl w:val="4"/>
    </w:pPr>
    <w:rPr>
      <w:color w:val="918585"/>
      <w:sz w:val="20"/>
    </w:rPr>
  </w:style>
  <w:style w:type="paragraph" w:styleId="Heading6">
    <w:name w:val="heading 6"/>
    <w:basedOn w:val="HeadingBase"/>
    <w:next w:val="Normal"/>
    <w:link w:val="Heading6Char"/>
    <w:qFormat/>
    <w:rsid w:val="000834BC"/>
    <w:pPr>
      <w:spacing w:before="60"/>
      <w:outlineLvl w:val="5"/>
    </w:pPr>
    <w:rPr>
      <w:color w:val="918585"/>
      <w:sz w:val="20"/>
    </w:rPr>
  </w:style>
  <w:style w:type="paragraph" w:styleId="Heading7">
    <w:name w:val="heading 7"/>
    <w:basedOn w:val="Normal"/>
    <w:next w:val="Normal"/>
    <w:link w:val="Heading7Char"/>
    <w:qFormat/>
    <w:rsid w:val="000834BC"/>
    <w:pPr>
      <w:ind w:left="720"/>
      <w:outlineLvl w:val="6"/>
    </w:pPr>
    <w:rPr>
      <w:i/>
    </w:rPr>
  </w:style>
  <w:style w:type="paragraph" w:styleId="Heading8">
    <w:name w:val="heading 8"/>
    <w:basedOn w:val="Normal"/>
    <w:next w:val="Normal"/>
    <w:link w:val="Heading8Char"/>
    <w:qFormat/>
    <w:rsid w:val="000834BC"/>
    <w:pPr>
      <w:ind w:left="720"/>
      <w:outlineLvl w:val="7"/>
    </w:pPr>
    <w:rPr>
      <w:i/>
    </w:rPr>
  </w:style>
  <w:style w:type="paragraph" w:styleId="Heading9">
    <w:name w:val="heading 9"/>
    <w:basedOn w:val="Normal"/>
    <w:next w:val="Normal"/>
    <w:link w:val="Heading9Char"/>
    <w:qFormat/>
    <w:rsid w:val="000834BC"/>
    <w:pPr>
      <w:ind w:left="720"/>
      <w:outlineLvl w:val="8"/>
    </w:pPr>
    <w:rPr>
      <w:i/>
    </w:rPr>
  </w:style>
  <w:style w:type="character" w:default="1" w:styleId="DefaultParagraphFont">
    <w:name w:val="Default Paragraph Font"/>
    <w:uiPriority w:val="1"/>
    <w:unhideWhenUsed/>
    <w:rsid w:val="00083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4BC"/>
  </w:style>
  <w:style w:type="character" w:customStyle="1" w:styleId="Heading1Char">
    <w:name w:val="Heading 1 Char"/>
    <w:basedOn w:val="DefaultParagraphFont"/>
    <w:link w:val="Heading1"/>
    <w:rsid w:val="000834BC"/>
    <w:rPr>
      <w:rFonts w:ascii="Times New Roman" w:eastAsia="Times New Roman" w:hAnsi="Times New Roman" w:cs="Times New Roman"/>
      <w:b/>
      <w:sz w:val="32"/>
      <w:szCs w:val="20"/>
      <w:lang w:eastAsia="en-US"/>
    </w:rPr>
  </w:style>
  <w:style w:type="paragraph" w:styleId="BodyText">
    <w:name w:val="Body Text"/>
    <w:basedOn w:val="Normal"/>
    <w:link w:val="BodyTextChar"/>
    <w:rsid w:val="00083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4BC"/>
    <w:rPr>
      <w:rFonts w:ascii="Times New Roman" w:eastAsia="Times New Roman" w:hAnsi="Times New Roman" w:cs="Times New Roman"/>
      <w:sz w:val="24"/>
      <w:lang w:eastAsia="en-US"/>
    </w:rPr>
  </w:style>
  <w:style w:type="paragraph" w:styleId="Footer">
    <w:name w:val="footer"/>
    <w:basedOn w:val="Normal"/>
    <w:link w:val="FooterChar"/>
    <w:rsid w:val="00083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4BC"/>
    <w:rPr>
      <w:rFonts w:ascii="Times New Roman" w:eastAsia="Times New Roman" w:hAnsi="Times New Roman" w:cs="Times New Roman"/>
      <w:sz w:val="16"/>
      <w:lang w:eastAsia="en-US"/>
    </w:rPr>
  </w:style>
  <w:style w:type="paragraph" w:styleId="ListBullet">
    <w:name w:val="List Bullet"/>
    <w:basedOn w:val="List"/>
    <w:rsid w:val="000834BC"/>
    <w:pPr>
      <w:numPr>
        <w:numId w:val="14"/>
      </w:numPr>
      <w:tabs>
        <w:tab w:val="clear" w:pos="340"/>
      </w:tabs>
      <w:spacing w:before="40" w:after="40"/>
    </w:pPr>
  </w:style>
  <w:style w:type="character" w:customStyle="1" w:styleId="SpecialBold">
    <w:name w:val="Special Bold"/>
    <w:basedOn w:val="DefaultParagraphFont"/>
    <w:rsid w:val="000834BC"/>
    <w:rPr>
      <w:b/>
      <w:spacing w:val="0"/>
    </w:rPr>
  </w:style>
  <w:style w:type="paragraph" w:styleId="ListBullet2">
    <w:name w:val="List Bullet 2"/>
    <w:basedOn w:val="List2"/>
    <w:rsid w:val="000834BC"/>
    <w:pPr>
      <w:numPr>
        <w:numId w:val="15"/>
      </w:numPr>
      <w:tabs>
        <w:tab w:val="clear" w:pos="680"/>
      </w:tabs>
    </w:pPr>
  </w:style>
  <w:style w:type="paragraph" w:customStyle="1" w:styleId="SuperHeading">
    <w:name w:val="SuperHeading"/>
    <w:basedOn w:val="Normal"/>
    <w:rsid w:val="000834BC"/>
    <w:pPr>
      <w:spacing w:before="240" w:after="120"/>
      <w:outlineLvl w:val="0"/>
    </w:pPr>
    <w:rPr>
      <w:rFonts w:ascii="Times New Roman" w:hAnsi="Times New Roman"/>
      <w:b/>
      <w:sz w:val="28"/>
    </w:rPr>
  </w:style>
  <w:style w:type="paragraph" w:customStyle="1" w:styleId="AllowPageBreak">
    <w:name w:val="AllowPageBreak"/>
    <w:rsid w:val="000834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34BC"/>
    <w:pPr>
      <w:numPr>
        <w:numId w:val="3"/>
      </w:numPr>
      <w:tabs>
        <w:tab w:val="clear" w:pos="1021"/>
      </w:tabs>
      <w:ind w:left="1037" w:hanging="357"/>
    </w:pPr>
  </w:style>
  <w:style w:type="character" w:customStyle="1" w:styleId="Heading2Char">
    <w:name w:val="Heading 2 Char"/>
    <w:basedOn w:val="DefaultParagraphFont"/>
    <w:link w:val="Heading2"/>
    <w:rsid w:val="00083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4BC"/>
    <w:rPr>
      <w:rFonts w:ascii="Courier New" w:eastAsia="Times New Roman" w:hAnsi="Courier New" w:cs="Times New Roman"/>
      <w:i/>
      <w:szCs w:val="20"/>
      <w:lang w:eastAsia="en-US"/>
    </w:rPr>
  </w:style>
  <w:style w:type="paragraph" w:customStyle="1" w:styleId="HeadingBase">
    <w:name w:val="Heading Base"/>
    <w:rsid w:val="00083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4BC"/>
    <w:pPr>
      <w:tabs>
        <w:tab w:val="right" w:leader="dot" w:pos="9072"/>
      </w:tabs>
      <w:ind w:left="567"/>
    </w:pPr>
    <w:rPr>
      <w:szCs w:val="22"/>
    </w:rPr>
  </w:style>
  <w:style w:type="paragraph" w:customStyle="1" w:styleId="TOCBase">
    <w:name w:val="TOC Base"/>
    <w:rsid w:val="00083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4BC"/>
    <w:pPr>
      <w:tabs>
        <w:tab w:val="right" w:leader="dot" w:pos="9072"/>
      </w:tabs>
      <w:spacing w:before="40" w:after="40"/>
      <w:ind w:left="284"/>
    </w:pPr>
    <w:rPr>
      <w:rFonts w:ascii="Times New Roman" w:hAnsi="Times New Roman"/>
    </w:rPr>
  </w:style>
  <w:style w:type="paragraph" w:styleId="TOC1">
    <w:name w:val="toc 1"/>
    <w:basedOn w:val="TOCBase"/>
    <w:next w:val="Normal"/>
    <w:rsid w:val="00083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4BC"/>
    <w:pPr>
      <w:spacing w:before="5040"/>
      <w:jc w:val="center"/>
    </w:pPr>
    <w:rPr>
      <w:sz w:val="48"/>
      <w:szCs w:val="72"/>
      <w:lang w:val="en-US"/>
    </w:rPr>
  </w:style>
  <w:style w:type="character" w:customStyle="1" w:styleId="TitleChar">
    <w:name w:val="Title Char"/>
    <w:basedOn w:val="DefaultParagraphFont"/>
    <w:link w:val="Title"/>
    <w:rsid w:val="00083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4BC"/>
    <w:pPr>
      <w:tabs>
        <w:tab w:val="left" w:pos="3600"/>
        <w:tab w:val="left" w:pos="3958"/>
      </w:tabs>
    </w:pPr>
  </w:style>
  <w:style w:type="paragraph" w:styleId="List">
    <w:name w:val="List"/>
    <w:basedOn w:val="BodyText"/>
    <w:next w:val="BodyText"/>
    <w:rsid w:val="000834BC"/>
    <w:pPr>
      <w:tabs>
        <w:tab w:val="left" w:pos="340"/>
      </w:tabs>
      <w:spacing w:before="60" w:after="60"/>
      <w:ind w:left="340" w:hanging="340"/>
    </w:pPr>
  </w:style>
  <w:style w:type="paragraph" w:customStyle="1" w:styleId="Note">
    <w:name w:val="Note"/>
    <w:basedOn w:val="BodyText"/>
    <w:rsid w:val="00083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4BC"/>
    <w:pPr>
      <w:framePr w:wrap="auto" w:hAnchor="text" w:y="6049"/>
    </w:pPr>
    <w:rPr>
      <w:color w:val="000000"/>
      <w:sz w:val="40"/>
    </w:rPr>
  </w:style>
  <w:style w:type="paragraph" w:customStyle="1" w:styleId="TOCTitle">
    <w:name w:val="TOCTitle"/>
    <w:basedOn w:val="Heading1"/>
    <w:rsid w:val="000834BC"/>
    <w:pPr>
      <w:spacing w:after="240"/>
      <w:jc w:val="center"/>
      <w:outlineLvl w:val="9"/>
    </w:pPr>
    <w:rPr>
      <w:caps/>
    </w:rPr>
  </w:style>
  <w:style w:type="paragraph" w:customStyle="1" w:styleId="Version">
    <w:name w:val="Version"/>
    <w:rsid w:val="00083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4BC"/>
    <w:pPr>
      <w:keepNext w:val="0"/>
      <w:tabs>
        <w:tab w:val="right" w:pos="4176"/>
      </w:tabs>
      <w:ind w:left="198" w:hanging="198"/>
    </w:pPr>
    <w:rPr>
      <w:rFonts w:ascii="Garamond" w:hAnsi="Garamond"/>
    </w:rPr>
  </w:style>
  <w:style w:type="paragraph" w:styleId="IndexHeading">
    <w:name w:val="index heading"/>
    <w:basedOn w:val="Normal"/>
    <w:next w:val="Index1"/>
    <w:semiHidden/>
    <w:rsid w:val="000834BC"/>
    <w:pPr>
      <w:spacing w:before="120" w:after="120"/>
    </w:pPr>
    <w:rPr>
      <w:rFonts w:ascii="Arial" w:hAnsi="Arial"/>
      <w:b/>
      <w:color w:val="918585"/>
      <w:sz w:val="24"/>
    </w:rPr>
  </w:style>
  <w:style w:type="paragraph" w:styleId="Header">
    <w:name w:val="header"/>
    <w:basedOn w:val="Normal"/>
    <w:link w:val="HeaderChar"/>
    <w:rsid w:val="00083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4BC"/>
    <w:rPr>
      <w:rFonts w:ascii="Times New Roman" w:eastAsia="Times New Roman" w:hAnsi="Times New Roman" w:cs="Times New Roman"/>
      <w:sz w:val="16"/>
      <w:szCs w:val="20"/>
      <w:lang w:val="en-GB" w:eastAsia="en-US"/>
    </w:rPr>
  </w:style>
  <w:style w:type="paragraph" w:customStyle="1" w:styleId="Chapter">
    <w:name w:val="Chapter"/>
    <w:basedOn w:val="Normal"/>
    <w:rsid w:val="000834BC"/>
    <w:pPr>
      <w:spacing w:before="240"/>
    </w:pPr>
    <w:rPr>
      <w:rFonts w:ascii="Times New Roman" w:hAnsi="Times New Roman"/>
      <w:smallCaps/>
      <w:spacing w:val="80"/>
      <w:sz w:val="28"/>
    </w:rPr>
  </w:style>
  <w:style w:type="paragraph" w:customStyle="1" w:styleId="InChapter">
    <w:name w:val="InChapter"/>
    <w:basedOn w:val="Heading3"/>
    <w:rsid w:val="000834BC"/>
    <w:pPr>
      <w:spacing w:after="240"/>
      <w:outlineLvl w:val="9"/>
    </w:pPr>
    <w:rPr>
      <w:noProof/>
    </w:rPr>
  </w:style>
  <w:style w:type="paragraph" w:styleId="Index2">
    <w:name w:val="index 2"/>
    <w:basedOn w:val="Normal"/>
    <w:next w:val="Normal"/>
    <w:semiHidden/>
    <w:rsid w:val="000834BC"/>
    <w:pPr>
      <w:tabs>
        <w:tab w:val="right" w:pos="4176"/>
      </w:tabs>
      <w:ind w:left="568" w:hanging="284"/>
    </w:pPr>
    <w:rPr>
      <w:rFonts w:ascii="Garamond" w:hAnsi="Garamond"/>
    </w:rPr>
  </w:style>
  <w:style w:type="paragraph" w:customStyle="1" w:styleId="Byline">
    <w:name w:val="Byline"/>
    <w:rsid w:val="00083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4BC"/>
    <w:pPr>
      <w:tabs>
        <w:tab w:val="clear" w:pos="3600"/>
        <w:tab w:val="clear" w:pos="3958"/>
      </w:tabs>
      <w:jc w:val="right"/>
    </w:pPr>
  </w:style>
  <w:style w:type="character" w:styleId="Emphasis">
    <w:name w:val="Emphasis"/>
    <w:basedOn w:val="DefaultParagraphFont"/>
    <w:qFormat/>
    <w:rsid w:val="000834BC"/>
    <w:rPr>
      <w:i/>
    </w:rPr>
  </w:style>
  <w:style w:type="paragraph" w:styleId="Caption">
    <w:name w:val="caption"/>
    <w:basedOn w:val="BodyText"/>
    <w:next w:val="Normal"/>
    <w:qFormat/>
    <w:rsid w:val="000834BC"/>
    <w:pPr>
      <w:framePr w:w="2268" w:hSpace="181" w:vSpace="181" w:wrap="around" w:vAnchor="text" w:hAnchor="page" w:x="1135" w:y="285" w:anchorLock="1"/>
    </w:pPr>
    <w:rPr>
      <w:i/>
    </w:rPr>
  </w:style>
  <w:style w:type="paragraph" w:customStyle="1" w:styleId="MiniTOCTitle">
    <w:name w:val="MiniTOCTitle"/>
    <w:basedOn w:val="Heading4"/>
    <w:rsid w:val="000834BC"/>
    <w:pPr>
      <w:spacing w:before="240"/>
      <w:outlineLvl w:val="9"/>
    </w:pPr>
    <w:rPr>
      <w:noProof/>
      <w:sz w:val="24"/>
    </w:rPr>
  </w:style>
  <w:style w:type="paragraph" w:customStyle="1" w:styleId="MiniTOCItem">
    <w:name w:val="MiniTOCItem"/>
    <w:basedOn w:val="ListBullet"/>
    <w:rsid w:val="000834BC"/>
    <w:pPr>
      <w:numPr>
        <w:numId w:val="0"/>
      </w:numPr>
      <w:tabs>
        <w:tab w:val="right" w:leader="dot" w:pos="6521"/>
      </w:tabs>
      <w:spacing w:before="0" w:after="0"/>
    </w:pPr>
  </w:style>
  <w:style w:type="paragraph" w:customStyle="1" w:styleId="TOFTitle">
    <w:name w:val="TOFTitle"/>
    <w:basedOn w:val="TOCTitle"/>
    <w:rsid w:val="000834BC"/>
  </w:style>
  <w:style w:type="paragraph" w:styleId="TableofFigures">
    <w:name w:val="table of figures"/>
    <w:basedOn w:val="Normal"/>
    <w:next w:val="Normal"/>
    <w:semiHidden/>
    <w:rsid w:val="000834BC"/>
    <w:pPr>
      <w:tabs>
        <w:tab w:val="right" w:leader="dot" w:pos="9072"/>
      </w:tabs>
      <w:ind w:left="970" w:hanging="403"/>
    </w:pPr>
    <w:rPr>
      <w:rFonts w:ascii="Times New Roman" w:hAnsi="Times New Roman"/>
      <w:b/>
    </w:rPr>
  </w:style>
  <w:style w:type="paragraph" w:styleId="ListNumber">
    <w:name w:val="List Number"/>
    <w:basedOn w:val="List"/>
    <w:rsid w:val="000834BC"/>
    <w:pPr>
      <w:numPr>
        <w:numId w:val="12"/>
      </w:numPr>
    </w:pPr>
  </w:style>
  <w:style w:type="character" w:customStyle="1" w:styleId="WingdingSymbols">
    <w:name w:val="Wingding Symbols"/>
    <w:rsid w:val="000834BC"/>
    <w:rPr>
      <w:rFonts w:ascii="Wingdings" w:hAnsi="Wingdings"/>
    </w:rPr>
  </w:style>
  <w:style w:type="paragraph" w:customStyle="1" w:styleId="TableHeading">
    <w:name w:val="Table Heading"/>
    <w:basedOn w:val="HeadingBase"/>
    <w:rsid w:val="000834BC"/>
    <w:pPr>
      <w:keepLines/>
      <w:pBdr>
        <w:bottom w:val="single" w:sz="6" w:space="1" w:color="918585"/>
      </w:pBdr>
      <w:spacing w:before="240"/>
    </w:pPr>
  </w:style>
  <w:style w:type="character" w:customStyle="1" w:styleId="HotSpot">
    <w:name w:val="HotSpot"/>
    <w:rsid w:val="000834BC"/>
    <w:rPr>
      <w:color w:val="0033CC"/>
      <w:u w:val="none"/>
    </w:rPr>
  </w:style>
  <w:style w:type="paragraph" w:customStyle="1" w:styleId="BodyTextRight">
    <w:name w:val="Body Text Right"/>
    <w:basedOn w:val="BodyText"/>
    <w:rsid w:val="000834BC"/>
    <w:pPr>
      <w:spacing w:before="0" w:after="0"/>
      <w:jc w:val="right"/>
    </w:pPr>
  </w:style>
  <w:style w:type="paragraph" w:styleId="Index3">
    <w:name w:val="index 3"/>
    <w:basedOn w:val="ListNumber2"/>
    <w:next w:val="Normal"/>
    <w:semiHidden/>
    <w:rsid w:val="000834BC"/>
    <w:pPr>
      <w:numPr>
        <w:numId w:val="0"/>
      </w:numPr>
      <w:tabs>
        <w:tab w:val="right" w:leader="dot" w:pos="4176"/>
      </w:tabs>
    </w:pPr>
  </w:style>
  <w:style w:type="paragraph" w:styleId="ListNumber2">
    <w:name w:val="List Number 2"/>
    <w:basedOn w:val="List2"/>
    <w:rsid w:val="000834BC"/>
    <w:pPr>
      <w:numPr>
        <w:numId w:val="11"/>
      </w:numPr>
      <w:tabs>
        <w:tab w:val="clear" w:pos="1060"/>
      </w:tabs>
    </w:pPr>
  </w:style>
  <w:style w:type="paragraph" w:customStyle="1" w:styleId="MarginNote">
    <w:name w:val="Margin Note"/>
    <w:basedOn w:val="BodyText"/>
    <w:rsid w:val="00083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4BC"/>
    <w:rPr>
      <w:sz w:val="32"/>
    </w:rPr>
  </w:style>
  <w:style w:type="paragraph" w:customStyle="1" w:styleId="HeadingProcedure">
    <w:name w:val="Heading Procedure"/>
    <w:basedOn w:val="HeadingBase"/>
    <w:next w:val="Normal"/>
    <w:rsid w:val="000834BC"/>
    <w:pPr>
      <w:tabs>
        <w:tab w:val="left" w:pos="0"/>
      </w:tabs>
      <w:spacing w:before="120" w:after="60"/>
    </w:pPr>
    <w:rPr>
      <w:i/>
      <w:color w:val="918585"/>
      <w:sz w:val="22"/>
    </w:rPr>
  </w:style>
  <w:style w:type="paragraph" w:customStyle="1" w:styleId="TableBodyText">
    <w:name w:val="Table Body Text"/>
    <w:basedOn w:val="BodyText"/>
    <w:rsid w:val="000834BC"/>
    <w:pPr>
      <w:spacing w:before="60" w:after="60"/>
    </w:pPr>
  </w:style>
  <w:style w:type="paragraph" w:styleId="ListContinue">
    <w:name w:val="List Continue"/>
    <w:basedOn w:val="List"/>
    <w:rsid w:val="000834BC"/>
    <w:pPr>
      <w:ind w:firstLine="0"/>
    </w:pPr>
  </w:style>
  <w:style w:type="paragraph" w:customStyle="1" w:styleId="ListNote">
    <w:name w:val="List Note"/>
    <w:basedOn w:val="List"/>
    <w:rsid w:val="000834BC"/>
    <w:pPr>
      <w:pBdr>
        <w:top w:val="single" w:sz="6" w:space="2" w:color="918585"/>
        <w:bottom w:val="single" w:sz="6" w:space="2" w:color="918585"/>
      </w:pBdr>
      <w:tabs>
        <w:tab w:val="left" w:pos="1021"/>
      </w:tabs>
      <w:ind w:firstLine="0"/>
    </w:pPr>
  </w:style>
  <w:style w:type="paragraph" w:customStyle="1" w:styleId="Warning">
    <w:name w:val="Warning"/>
    <w:basedOn w:val="BodyText"/>
    <w:rsid w:val="000834BC"/>
    <w:pPr>
      <w:shd w:val="clear" w:color="auto" w:fill="D9D9D9"/>
      <w:tabs>
        <w:tab w:val="left" w:pos="992"/>
      </w:tabs>
      <w:ind w:left="119" w:right="119"/>
    </w:pPr>
    <w:rPr>
      <w:sz w:val="20"/>
    </w:rPr>
  </w:style>
  <w:style w:type="paragraph" w:customStyle="1" w:styleId="MarginIcons">
    <w:name w:val="Margin Icons"/>
    <w:basedOn w:val="BodyText"/>
    <w:rsid w:val="00083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4BC"/>
    <w:rPr>
      <w:rFonts w:ascii="Courier New" w:hAnsi="Courier New"/>
    </w:rPr>
  </w:style>
  <w:style w:type="paragraph" w:customStyle="1" w:styleId="NoteBullet">
    <w:name w:val="Note Bullet"/>
    <w:basedOn w:val="Note"/>
    <w:rsid w:val="000834BC"/>
    <w:pPr>
      <w:tabs>
        <w:tab w:val="clear" w:pos="680"/>
      </w:tabs>
      <w:spacing w:before="60" w:after="60"/>
    </w:pPr>
  </w:style>
  <w:style w:type="paragraph" w:customStyle="1" w:styleId="SubHeading2">
    <w:name w:val="SubHeading2"/>
    <w:basedOn w:val="HeadingBase"/>
    <w:rsid w:val="000834BC"/>
    <w:pPr>
      <w:spacing w:before="240" w:after="60"/>
    </w:pPr>
    <w:rPr>
      <w:sz w:val="20"/>
    </w:rPr>
  </w:style>
  <w:style w:type="paragraph" w:customStyle="1" w:styleId="SubHeading1">
    <w:name w:val="SubHeading1"/>
    <w:basedOn w:val="HeadingBase"/>
    <w:rsid w:val="000834BC"/>
    <w:pPr>
      <w:spacing w:before="240" w:after="60"/>
    </w:pPr>
    <w:rPr>
      <w:color w:val="918585"/>
      <w:sz w:val="22"/>
    </w:rPr>
  </w:style>
  <w:style w:type="paragraph" w:customStyle="1" w:styleId="SideHeading">
    <w:name w:val="Side Heading"/>
    <w:basedOn w:val="HeadingBase"/>
    <w:rsid w:val="00083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4BC"/>
    <w:pPr>
      <w:numPr>
        <w:numId w:val="13"/>
      </w:numPr>
    </w:pPr>
  </w:style>
  <w:style w:type="paragraph" w:styleId="PlainText">
    <w:name w:val="Plain Text"/>
    <w:basedOn w:val="Normal"/>
    <w:link w:val="PlainTextChar"/>
    <w:rsid w:val="000834BC"/>
    <w:rPr>
      <w:sz w:val="20"/>
    </w:rPr>
  </w:style>
  <w:style w:type="character" w:customStyle="1" w:styleId="PlainTextChar">
    <w:name w:val="Plain Text Char"/>
    <w:basedOn w:val="DefaultParagraphFont"/>
    <w:link w:val="PlainText"/>
    <w:rsid w:val="000834BC"/>
    <w:rPr>
      <w:rFonts w:ascii="Courier New" w:eastAsia="Times New Roman" w:hAnsi="Courier New" w:cs="Times New Roman"/>
      <w:sz w:val="20"/>
      <w:szCs w:val="20"/>
      <w:lang w:eastAsia="en-US"/>
    </w:rPr>
  </w:style>
  <w:style w:type="character" w:customStyle="1" w:styleId="MenuOption">
    <w:name w:val="Menu Option"/>
    <w:basedOn w:val="DefaultParagraphFont"/>
    <w:rsid w:val="000834BC"/>
    <w:rPr>
      <w:b/>
      <w:smallCaps/>
    </w:rPr>
  </w:style>
  <w:style w:type="paragraph" w:customStyle="1" w:styleId="TableListNumber">
    <w:name w:val="Table List Number"/>
    <w:basedOn w:val="ListNumber"/>
    <w:rsid w:val="000834BC"/>
    <w:pPr>
      <w:numPr>
        <w:numId w:val="0"/>
      </w:numPr>
    </w:pPr>
  </w:style>
  <w:style w:type="paragraph" w:styleId="TOC4">
    <w:name w:val="toc 4"/>
    <w:basedOn w:val="TOCBase"/>
    <w:next w:val="Normal"/>
    <w:semiHidden/>
    <w:rsid w:val="000834BC"/>
    <w:pPr>
      <w:tabs>
        <w:tab w:val="right" w:leader="dot" w:pos="9071"/>
      </w:tabs>
      <w:ind w:left="1701"/>
    </w:pPr>
  </w:style>
  <w:style w:type="paragraph" w:customStyle="1" w:styleId="ListAlpha">
    <w:name w:val="List Alpha"/>
    <w:basedOn w:val="List"/>
    <w:rsid w:val="000834BC"/>
    <w:pPr>
      <w:numPr>
        <w:numId w:val="10"/>
      </w:numPr>
    </w:pPr>
  </w:style>
  <w:style w:type="paragraph" w:customStyle="1" w:styleId="ListAlpha2">
    <w:name w:val="List Alpha 2"/>
    <w:basedOn w:val="List2"/>
    <w:rsid w:val="000834BC"/>
    <w:pPr>
      <w:numPr>
        <w:numId w:val="9"/>
      </w:numPr>
    </w:pPr>
  </w:style>
  <w:style w:type="paragraph" w:styleId="List2">
    <w:name w:val="List 2"/>
    <w:basedOn w:val="BodyText"/>
    <w:rsid w:val="000834BC"/>
    <w:pPr>
      <w:tabs>
        <w:tab w:val="left" w:pos="680"/>
      </w:tabs>
      <w:spacing w:before="60" w:after="60"/>
      <w:ind w:left="680" w:hanging="340"/>
    </w:pPr>
  </w:style>
  <w:style w:type="paragraph" w:styleId="List3">
    <w:name w:val="List 3"/>
    <w:basedOn w:val="BodyText"/>
    <w:rsid w:val="000834BC"/>
    <w:pPr>
      <w:tabs>
        <w:tab w:val="left" w:pos="1021"/>
      </w:tabs>
      <w:spacing w:before="60" w:after="60"/>
      <w:ind w:left="1020" w:hanging="340"/>
    </w:pPr>
  </w:style>
  <w:style w:type="paragraph" w:styleId="List4">
    <w:name w:val="List 4"/>
    <w:basedOn w:val="BodyText"/>
    <w:rsid w:val="000834BC"/>
    <w:pPr>
      <w:tabs>
        <w:tab w:val="left" w:pos="1361"/>
      </w:tabs>
      <w:spacing w:before="60" w:after="60"/>
      <w:ind w:left="1361" w:hanging="340"/>
    </w:pPr>
  </w:style>
  <w:style w:type="paragraph" w:styleId="List5">
    <w:name w:val="List 5"/>
    <w:basedOn w:val="BodyText"/>
    <w:rsid w:val="000834BC"/>
    <w:pPr>
      <w:tabs>
        <w:tab w:val="left" w:pos="1701"/>
      </w:tabs>
      <w:spacing w:before="60" w:after="60"/>
      <w:ind w:left="1701" w:hanging="340"/>
    </w:pPr>
  </w:style>
  <w:style w:type="paragraph" w:styleId="ListBullet4">
    <w:name w:val="List Bullet 4"/>
    <w:basedOn w:val="List4"/>
    <w:rsid w:val="000834BC"/>
    <w:pPr>
      <w:numPr>
        <w:numId w:val="4"/>
      </w:numPr>
    </w:pPr>
  </w:style>
  <w:style w:type="paragraph" w:styleId="ListBullet5">
    <w:name w:val="List Bullet 5"/>
    <w:basedOn w:val="List5"/>
    <w:rsid w:val="000834BC"/>
    <w:pPr>
      <w:numPr>
        <w:numId w:val="5"/>
      </w:numPr>
    </w:pPr>
  </w:style>
  <w:style w:type="paragraph" w:styleId="ListContinue2">
    <w:name w:val="List Continue 2"/>
    <w:basedOn w:val="List2"/>
    <w:rsid w:val="000834BC"/>
    <w:pPr>
      <w:ind w:firstLine="0"/>
    </w:pPr>
  </w:style>
  <w:style w:type="paragraph" w:styleId="ListContinue3">
    <w:name w:val="List Continue 3"/>
    <w:basedOn w:val="List3"/>
    <w:rsid w:val="000834BC"/>
    <w:pPr>
      <w:ind w:left="1021" w:firstLine="0"/>
    </w:pPr>
  </w:style>
  <w:style w:type="paragraph" w:styleId="ListContinue4">
    <w:name w:val="List Continue 4"/>
    <w:basedOn w:val="List4"/>
    <w:rsid w:val="000834BC"/>
    <w:pPr>
      <w:ind w:firstLine="0"/>
    </w:pPr>
  </w:style>
  <w:style w:type="paragraph" w:styleId="ListContinue5">
    <w:name w:val="List Continue 5"/>
    <w:basedOn w:val="List5"/>
    <w:rsid w:val="000834BC"/>
    <w:pPr>
      <w:ind w:firstLine="0"/>
    </w:pPr>
  </w:style>
  <w:style w:type="paragraph" w:styleId="ListNumber3">
    <w:name w:val="List Number 3"/>
    <w:basedOn w:val="List3"/>
    <w:rsid w:val="000834BC"/>
    <w:pPr>
      <w:numPr>
        <w:numId w:val="6"/>
      </w:numPr>
    </w:pPr>
  </w:style>
  <w:style w:type="paragraph" w:styleId="ListNumber4">
    <w:name w:val="List Number 4"/>
    <w:basedOn w:val="List4"/>
    <w:rsid w:val="000834BC"/>
    <w:pPr>
      <w:numPr>
        <w:numId w:val="7"/>
      </w:numPr>
    </w:pPr>
  </w:style>
  <w:style w:type="paragraph" w:styleId="ListNumber5">
    <w:name w:val="List Number 5"/>
    <w:basedOn w:val="List5"/>
    <w:rsid w:val="000834BC"/>
    <w:pPr>
      <w:numPr>
        <w:numId w:val="8"/>
      </w:numPr>
    </w:pPr>
  </w:style>
  <w:style w:type="paragraph" w:styleId="BlockText">
    <w:name w:val="Block Text"/>
    <w:basedOn w:val="Normal"/>
    <w:rsid w:val="000834BC"/>
    <w:pPr>
      <w:spacing w:after="120"/>
      <w:ind w:left="1440" w:right="1440"/>
    </w:pPr>
  </w:style>
  <w:style w:type="character" w:customStyle="1" w:styleId="Subscript">
    <w:name w:val="Subscript"/>
    <w:basedOn w:val="DefaultParagraphFont"/>
    <w:rsid w:val="000834BC"/>
    <w:rPr>
      <w:sz w:val="16"/>
      <w:vertAlign w:val="subscript"/>
    </w:rPr>
  </w:style>
  <w:style w:type="character" w:customStyle="1" w:styleId="Superscript">
    <w:name w:val="Superscript"/>
    <w:basedOn w:val="DefaultParagraphFont"/>
    <w:rsid w:val="000834BC"/>
    <w:rPr>
      <w:sz w:val="16"/>
      <w:vertAlign w:val="superscript"/>
    </w:rPr>
  </w:style>
  <w:style w:type="character" w:customStyle="1" w:styleId="Symbols">
    <w:name w:val="Symbols"/>
    <w:basedOn w:val="DefaultParagraphFont"/>
    <w:rsid w:val="000834BC"/>
    <w:rPr>
      <w:rFonts w:ascii="Symbol" w:hAnsi="Symbol"/>
    </w:rPr>
  </w:style>
  <w:style w:type="character" w:customStyle="1" w:styleId="MenuOptions">
    <w:name w:val="Menu Options"/>
    <w:basedOn w:val="DefaultParagraphFont"/>
    <w:rsid w:val="000834BC"/>
    <w:rPr>
      <w:rFonts w:ascii="Arial Narrow" w:hAnsi="Arial Narrow"/>
      <w:smallCaps/>
    </w:rPr>
  </w:style>
  <w:style w:type="character" w:customStyle="1" w:styleId="Buttons">
    <w:name w:val="Buttons"/>
    <w:basedOn w:val="DefaultParagraphFont"/>
    <w:rsid w:val="000834BC"/>
    <w:rPr>
      <w:b/>
    </w:rPr>
  </w:style>
  <w:style w:type="character" w:customStyle="1" w:styleId="Underlined">
    <w:name w:val="Underlined"/>
    <w:basedOn w:val="DefaultParagraphFont"/>
    <w:rsid w:val="000834BC"/>
    <w:rPr>
      <w:u w:val="single"/>
    </w:rPr>
  </w:style>
  <w:style w:type="paragraph" w:customStyle="1" w:styleId="TableBodyTextRight">
    <w:name w:val="Table Body Text Right"/>
    <w:basedOn w:val="TableBodyText"/>
    <w:rsid w:val="000834BC"/>
    <w:pPr>
      <w:widowControl w:val="0"/>
      <w:autoSpaceDE w:val="0"/>
      <w:autoSpaceDN w:val="0"/>
      <w:adjustRightInd w:val="0"/>
      <w:jc w:val="right"/>
    </w:pPr>
    <w:rPr>
      <w:rFonts w:cs="Arial"/>
      <w:szCs w:val="18"/>
    </w:rPr>
  </w:style>
  <w:style w:type="paragraph" w:customStyle="1" w:styleId="CopyrightText">
    <w:name w:val="Copyright Text"/>
    <w:basedOn w:val="BodyText"/>
    <w:rsid w:val="000834BC"/>
    <w:rPr>
      <w:sz w:val="18"/>
    </w:rPr>
  </w:style>
  <w:style w:type="paragraph" w:customStyle="1" w:styleId="BodySmallRight">
    <w:name w:val="Body Small Right"/>
    <w:basedOn w:val="BodyTextRight"/>
    <w:rsid w:val="000834BC"/>
    <w:rPr>
      <w:sz w:val="18"/>
      <w:szCs w:val="18"/>
    </w:rPr>
  </w:style>
  <w:style w:type="paragraph" w:customStyle="1" w:styleId="MarginEdition">
    <w:name w:val="Margin Edition"/>
    <w:basedOn w:val="MarginNote"/>
    <w:rsid w:val="000834BC"/>
    <w:pPr>
      <w:spacing w:before="0" w:after="0"/>
    </w:pPr>
    <w:rPr>
      <w:rFonts w:ascii="Times New Roman" w:hAnsi="Times New Roman"/>
      <w:color w:val="999999"/>
    </w:rPr>
  </w:style>
  <w:style w:type="paragraph" w:customStyle="1" w:styleId="Spacer">
    <w:name w:val="Spacer"/>
    <w:basedOn w:val="Normal"/>
    <w:rsid w:val="000834BC"/>
    <w:rPr>
      <w:sz w:val="2"/>
      <w:szCs w:val="2"/>
    </w:rPr>
  </w:style>
  <w:style w:type="character" w:customStyle="1" w:styleId="Small">
    <w:name w:val="Small"/>
    <w:basedOn w:val="DefaultParagraphFont"/>
    <w:rsid w:val="000834BC"/>
    <w:rPr>
      <w:sz w:val="16"/>
    </w:rPr>
  </w:style>
  <w:style w:type="paragraph" w:customStyle="1" w:styleId="WideTable">
    <w:name w:val="Wide Table"/>
    <w:basedOn w:val="Normal"/>
    <w:rsid w:val="000834BC"/>
    <w:pPr>
      <w:ind w:left="-1418"/>
    </w:pPr>
    <w:rPr>
      <w:sz w:val="2"/>
      <w:szCs w:val="2"/>
    </w:rPr>
  </w:style>
  <w:style w:type="character" w:styleId="PageNumber">
    <w:name w:val="page number"/>
    <w:basedOn w:val="DefaultParagraphFont"/>
    <w:rsid w:val="000834BC"/>
  </w:style>
  <w:style w:type="paragraph" w:styleId="Quote">
    <w:name w:val="Quote"/>
    <w:basedOn w:val="Heading1"/>
    <w:link w:val="QuoteChar"/>
    <w:qFormat/>
    <w:rsid w:val="000834BC"/>
    <w:rPr>
      <w:b w:val="0"/>
      <w:sz w:val="72"/>
      <w:szCs w:val="72"/>
      <w:lang w:val="en-NZ"/>
    </w:rPr>
  </w:style>
  <w:style w:type="character" w:customStyle="1" w:styleId="QuoteChar">
    <w:name w:val="Quote Char"/>
    <w:basedOn w:val="DefaultParagraphFont"/>
    <w:link w:val="Quote"/>
    <w:rsid w:val="00083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4BC"/>
    <w:pPr>
      <w:pageBreakBefore/>
    </w:pPr>
  </w:style>
  <w:style w:type="paragraph" w:customStyle="1" w:styleId="Border">
    <w:name w:val="Border"/>
    <w:basedOn w:val="Normal"/>
    <w:qFormat/>
    <w:rsid w:val="00083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4BC"/>
    <w:rPr>
      <w:b/>
      <w:bCs/>
      <w:i/>
      <w:iCs/>
      <w:color w:val="auto"/>
    </w:rPr>
  </w:style>
  <w:style w:type="paragraph" w:styleId="IntenseQuote">
    <w:name w:val="Intense Quote"/>
    <w:basedOn w:val="Normal"/>
    <w:next w:val="Normal"/>
    <w:link w:val="IntenseQuoteChar"/>
    <w:uiPriority w:val="30"/>
    <w:qFormat/>
    <w:rsid w:val="00083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4BC"/>
    <w:rPr>
      <w:smallCaps/>
      <w:color w:val="auto"/>
      <w:u w:val="single"/>
    </w:rPr>
  </w:style>
  <w:style w:type="character" w:styleId="IntenseReference">
    <w:name w:val="Intense Reference"/>
    <w:basedOn w:val="DefaultParagraphFont"/>
    <w:uiPriority w:val="32"/>
    <w:qFormat/>
    <w:rsid w:val="000834BC"/>
    <w:rPr>
      <w:b/>
      <w:bCs/>
      <w:smallCaps/>
      <w:color w:val="auto"/>
      <w:spacing w:val="5"/>
      <w:u w:val="single"/>
    </w:rPr>
  </w:style>
  <w:style w:type="paragraph" w:customStyle="1" w:styleId="2ColumnHeading">
    <w:name w:val="2Column Heading"/>
    <w:basedOn w:val="BodyText"/>
    <w:qFormat/>
    <w:rsid w:val="000834BC"/>
    <w:pPr>
      <w:spacing w:after="60"/>
      <w:ind w:left="-2268"/>
    </w:pPr>
    <w:rPr>
      <w:b/>
    </w:rPr>
  </w:style>
  <w:style w:type="paragraph" w:customStyle="1" w:styleId="Heading1TOC">
    <w:name w:val="Heading1 TOC"/>
    <w:basedOn w:val="Normal"/>
    <w:qFormat/>
    <w:rsid w:val="000834BC"/>
    <w:pPr>
      <w:spacing w:before="240" w:after="120"/>
    </w:pPr>
    <w:rPr>
      <w:rFonts w:ascii="Times New Roman" w:hAnsi="Times New Roman"/>
      <w:b/>
      <w:sz w:val="32"/>
    </w:rPr>
  </w:style>
  <w:style w:type="paragraph" w:customStyle="1" w:styleId="Heading2TOC">
    <w:name w:val="Heading2 TOC"/>
    <w:basedOn w:val="Normal"/>
    <w:qFormat/>
    <w:rsid w:val="000834BC"/>
    <w:pPr>
      <w:spacing w:before="240" w:after="60"/>
    </w:pPr>
    <w:rPr>
      <w:rFonts w:ascii="Times New Roman" w:hAnsi="Times New Roman"/>
      <w:b/>
      <w:sz w:val="28"/>
    </w:rPr>
  </w:style>
  <w:style w:type="character" w:customStyle="1" w:styleId="Underline">
    <w:name w:val="Underline"/>
    <w:basedOn w:val="DefaultParagraphFont"/>
    <w:qFormat/>
    <w:rsid w:val="000834BC"/>
    <w:rPr>
      <w:u w:val="single"/>
    </w:rPr>
  </w:style>
  <w:style w:type="character" w:customStyle="1" w:styleId="BoldandItalics">
    <w:name w:val="Bold and Italics"/>
    <w:qFormat/>
    <w:rsid w:val="000834BC"/>
    <w:rPr>
      <w:b/>
      <w:i/>
      <w:u w:val="none"/>
    </w:rPr>
  </w:style>
  <w:style w:type="paragraph" w:styleId="BalloonText">
    <w:name w:val="Balloon Text"/>
    <w:basedOn w:val="Normal"/>
    <w:link w:val="BalloonTextChar"/>
    <w:rsid w:val="000834BC"/>
    <w:rPr>
      <w:rFonts w:ascii="Tahoma" w:hAnsi="Tahoma" w:cs="Tahoma"/>
      <w:sz w:val="16"/>
      <w:szCs w:val="16"/>
    </w:rPr>
  </w:style>
  <w:style w:type="character" w:customStyle="1" w:styleId="BalloonTextChar">
    <w:name w:val="Balloon Text Char"/>
    <w:basedOn w:val="DefaultParagraphFont"/>
    <w:link w:val="BalloonText"/>
    <w:rsid w:val="00083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4BC"/>
    <w:rPr>
      <w:b/>
      <w:color w:val="660033"/>
      <w:spacing w:val="0"/>
    </w:rPr>
  </w:style>
  <w:style w:type="paragraph" w:customStyle="1" w:styleId="Nameditemlist">
    <w:name w:val="Named item list"/>
    <w:basedOn w:val="BodyText"/>
    <w:qFormat/>
    <w:rsid w:val="000834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2535</Words>
  <Characters>15762</Characters>
  <Application>Microsoft Office Word</Application>
  <DocSecurity>0</DocSecurity>
  <Lines>636</Lines>
  <Paragraphs>252</Paragraphs>
  <ScaleCrop>false</ScaleCrop>
  <Company>Author-it Software Corporation Ltd.</Company>
  <LinksUpToDate>false</LinksUpToDate>
  <CharactersWithSpaces>18093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UETTDRCJ12B stall and maintain oil and gas pressure systems for specialised underground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2012-10-10T06:18:00Z</dcterms:created>
  <dcterms:modified xsi:type="dcterms:W3CDTF">2012-10-10T06:18:00Z</dcterms:modified>
</cp:coreProperties>
</file>