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245" w:rsidP="00880245">
      <w:pPr>
        <w:pStyle w:val="Title"/>
      </w:pPr>
      <w:r>
        <w:fldChar w:fldCharType="begin"/>
      </w:r>
      <w:r>
        <w:instrText xml:space="preserve"> TITLE   \* MERGEFORMAT </w:instrText>
      </w:r>
      <w:r>
        <w:fldChar w:fldCharType="separate"/>
      </w:r>
      <w:r>
        <w:t>UETTDRCJ01B Lay electrical cables</w:t>
      </w:r>
      <w:r>
        <w:fldChar w:fldCharType="end"/>
      </w:r>
    </w:p>
    <w:p w:rsidR="00880245" w:rsidP="00880245">
      <w:pPr>
        <w:pStyle w:val="Version"/>
        <w:sectPr w:rsidSect="00EB6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C2E" w:rsidP="00EB6C2E">
      <w:pPr>
        <w:pStyle w:val="SuperHeading"/>
      </w:pPr>
      <w:r w:rsidRPr="00EB6C2E">
        <w:t>UETTDRCJ01B Lay electrical cables</w:t>
      </w:r>
    </w:p>
    <w:p w:rsidR="00000000" w:rsidRPr="00EB6C2E" w:rsidP="00EB6C2E">
      <w:pPr>
        <w:pStyle w:val="Heading1"/>
      </w:pPr>
      <w:bookmarkStart w:id="1" w:name="O_275411"/>
      <w:bookmarkEnd w:id="1"/>
      <w:r w:rsidRPr="00EB6C2E">
        <w:t>Modification History</w:t>
      </w:r>
    </w:p>
    <w:p w:rsidR="00000000" w:rsidRPr="00EB6C2E" w:rsidP="00EB6C2E">
      <w:pPr>
        <w:pStyle w:val="BodyText"/>
      </w:pPr>
      <w:r w:rsidRPr="00EB6C2E">
        <w:t>Not Applicable</w:t>
      </w:r>
    </w:p>
    <w:p w:rsidR="00000000" w:rsidRPr="00EB6C2E" w:rsidP="00EB6C2E">
      <w:pPr>
        <w:pStyle w:val="AllowPageBreak"/>
      </w:pPr>
    </w:p>
    <w:p w:rsidR="00000000" w:rsidRPr="00EB6C2E" w:rsidP="00EB6C2E">
      <w:pPr>
        <w:pStyle w:val="Heading1"/>
      </w:pPr>
      <w:bookmarkStart w:id="2" w:name="O_231025"/>
      <w:bookmarkEnd w:id="2"/>
      <w:r w:rsidRPr="00EB6C2E">
        <w:t>Unit Descriptor</w:t>
      </w:r>
    </w:p>
    <w:tbl>
      <w:tblPr>
        <w:tblW w:w="0" w:type="auto"/>
        <w:tblLayout w:type="fixed"/>
        <w:tblCellMar>
          <w:left w:w="62" w:type="dxa"/>
          <w:right w:w="62" w:type="dxa"/>
        </w:tblCellMar>
        <w:tblLook w:val="0000"/>
      </w:tblPr>
      <w:tblGrid>
        <w:gridCol w:w="2700"/>
        <w:gridCol w:w="5940"/>
      </w:tblGrid>
      <w:tr w:rsidTr="008802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1</w:t>
            </w:r>
            <w:r w:rsidRPr="00EB6C2E">
              <w:t xml:space="preserve">) </w:t>
            </w:r>
          </w:p>
          <w:p w:rsidR="00000000" w:rsidP="00EB6C2E">
            <w:pPr>
              <w:pStyle w:val="BodyText"/>
              <w:rPr>
                <w:lang w:val="en-NZ"/>
              </w:rPr>
            </w:pPr>
            <w:r w:rsidRPr="00EB6C2E">
              <w:rPr>
                <w:rStyle w:val="SpecialBold"/>
              </w:rPr>
              <w:t>1</w:t>
            </w:r>
            <w:r w:rsidRPr="00EB6C2E">
              <w:t>.</w:t>
            </w:r>
            <w:r w:rsidRPr="00EB6C2E">
              <w:rPr>
                <w:rStyle w:val="SpecialBold"/>
              </w:rPr>
              <w:t>1</w:t>
            </w:r>
            <w:r w:rsidRPr="00EB6C2E">
              <w:t xml:space="preserve">) </w:t>
            </w:r>
            <w:r w:rsidRPr="00EB6C2E">
              <w:rPr>
                <w:rStyle w:val="SpecialBold"/>
              </w:rPr>
              <w:t>Descriptor</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This Competency Standard Unit covers the laying of cables for electrical purposes and includes the laying of ducts and/or conduit for such cables. It could include direct laying of cables in trenches, on racks, in troughs and /or in conduit or ducts. It al</w:t>
            </w:r>
            <w:r w:rsidRPr="00EB6C2E">
              <w:t>so encompasses cable pulling methods, pulling tensions, minimum bending radii, reduction of frictional forces, use of supporting plant (e.g. dynamometers, rigging, winches), working on FRC, PVC, A/C ducted systems and the sealing of cables.</w:t>
            </w:r>
          </w:p>
        </w:tc>
      </w:tr>
    </w:tbl>
    <w:p w:rsidR="00880245" w:rsidP="00EB6C2E">
      <w:pPr>
        <w:pStyle w:val="BodyText"/>
      </w:pPr>
    </w:p>
    <w:p w:rsidR="00880245" w:rsidP="00EB6C2E">
      <w:pPr>
        <w:pStyle w:val="BodyText"/>
      </w:pPr>
    </w:p>
    <w:p w:rsidR="00000000" w:rsidRPr="00EB6C2E" w:rsidP="00EB6C2E">
      <w:pPr>
        <w:pStyle w:val="Heading1"/>
      </w:pPr>
      <w:bookmarkStart w:id="3" w:name="O_231030"/>
      <w:bookmarkEnd w:id="3"/>
      <w:r w:rsidRPr="00EB6C2E">
        <w:t>Application of the Unit</w:t>
      </w:r>
    </w:p>
    <w:tbl>
      <w:tblPr>
        <w:tblW w:w="0" w:type="auto"/>
        <w:tblLayout w:type="fixed"/>
        <w:tblCellMar>
          <w:left w:w="62" w:type="dxa"/>
          <w:right w:w="62" w:type="dxa"/>
        </w:tblCellMar>
        <w:tblLook w:val="0000"/>
      </w:tblPr>
      <w:tblGrid>
        <w:gridCol w:w="2700"/>
        <w:gridCol w:w="5940"/>
      </w:tblGrid>
      <w:tr w:rsidTr="008802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4</w:t>
            </w:r>
            <w:r w:rsidRPr="00EB6C2E">
              <w:t>)</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This Competency Standard Unit is intended to augment formally acquired competencies. It is suitable for employment-based programs under an approved contract of training.</w:t>
            </w:r>
          </w:p>
        </w:tc>
      </w:tr>
    </w:tbl>
    <w:p w:rsidR="00880245" w:rsidP="00EB6C2E">
      <w:pPr>
        <w:pStyle w:val="BodyText"/>
      </w:pPr>
    </w:p>
    <w:p w:rsidR="00880245" w:rsidP="00EB6C2E">
      <w:pPr>
        <w:pStyle w:val="BodyText"/>
      </w:pPr>
    </w:p>
    <w:p w:rsidR="00000000" w:rsidRPr="00EB6C2E" w:rsidP="00EB6C2E">
      <w:pPr>
        <w:pStyle w:val="Heading1"/>
      </w:pPr>
      <w:bookmarkStart w:id="4" w:name="O_231026"/>
      <w:bookmarkEnd w:id="4"/>
      <w:r w:rsidRPr="00EB6C2E">
        <w:t>Licensing/Regulatory Information</w:t>
      </w:r>
    </w:p>
    <w:tbl>
      <w:tblPr>
        <w:tblW w:w="0" w:type="auto"/>
        <w:tblLayout w:type="fixed"/>
        <w:tblCellMar>
          <w:left w:w="62" w:type="dxa"/>
          <w:right w:w="62" w:type="dxa"/>
        </w:tblCellMar>
        <w:tblLook w:val="0000"/>
      </w:tblPr>
      <w:tblGrid>
        <w:gridCol w:w="8640"/>
      </w:tblGrid>
      <w:tr w:rsidTr="0088024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1</w:t>
            </w:r>
            <w:r w:rsidRPr="00EB6C2E">
              <w:t>.</w:t>
            </w:r>
            <w:r w:rsidRPr="00EB6C2E">
              <w:rPr>
                <w:rStyle w:val="SpecialBold"/>
              </w:rPr>
              <w:t>2</w:t>
            </w:r>
            <w:r w:rsidRPr="00EB6C2E">
              <w:t xml:space="preserve">) </w:t>
            </w:r>
            <w:r w:rsidRPr="00EB6C2E">
              <w:rPr>
                <w:rStyle w:val="SpecialBold"/>
              </w:rPr>
              <w:t>License to practice</w:t>
            </w:r>
          </w:p>
        </w:tc>
      </w:tr>
      <w:tr w:rsidTr="008802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The skills and knowledge described in this unit may require a licence/registration to practice in the work place subject to regulations for undertaking of electrical work. Practice in workplace and</w:t>
            </w:r>
            <w:r w:rsidRPr="00EB6C2E">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EB6C2E">
              <w:t>ommonwealth, State/Territory or Local Government legislation and regulations may exist that limits the age of operating certain equipment.</w:t>
            </w:r>
          </w:p>
        </w:tc>
      </w:tr>
    </w:tbl>
    <w:p w:rsidR="00880245" w:rsidP="00EB6C2E">
      <w:pPr>
        <w:pStyle w:val="BodyText"/>
      </w:pPr>
    </w:p>
    <w:p w:rsidR="00880245" w:rsidP="00EB6C2E">
      <w:pPr>
        <w:pStyle w:val="BodyText"/>
      </w:pPr>
    </w:p>
    <w:p w:rsidR="00000000" w:rsidRPr="00EB6C2E" w:rsidP="00EB6C2E">
      <w:pPr>
        <w:pStyle w:val="Heading1"/>
      </w:pPr>
      <w:bookmarkStart w:id="5" w:name="O_231027"/>
      <w:bookmarkEnd w:id="5"/>
      <w:r w:rsidRPr="00EB6C2E">
        <w:t>Pre-Requisites</w:t>
      </w:r>
    </w:p>
    <w:tbl>
      <w:tblPr>
        <w:tblW w:w="0" w:type="auto"/>
        <w:tblLayout w:type="fixed"/>
        <w:tblCellMar>
          <w:left w:w="62" w:type="dxa"/>
          <w:right w:w="62" w:type="dxa"/>
        </w:tblCellMar>
        <w:tblLook w:val="0000"/>
      </w:tblPr>
      <w:tblGrid>
        <w:gridCol w:w="2700"/>
        <w:gridCol w:w="720"/>
        <w:gridCol w:w="2071"/>
        <w:gridCol w:w="3149"/>
      </w:tblGrid>
      <w:tr w:rsidTr="008802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Prerequisite Unit</w:t>
            </w:r>
            <w:r w:rsidRPr="00EB6C2E">
              <w:t>(</w:t>
            </w:r>
            <w:r w:rsidRPr="00EB6C2E">
              <w:rPr>
                <w:rStyle w:val="SpecialBold"/>
              </w:rPr>
              <w:t>s</w:t>
            </w:r>
            <w:r w:rsidRPr="00EB6C2E">
              <w:t>)</w:t>
            </w:r>
          </w:p>
        </w:tc>
        <w:tc>
          <w:tcPr>
            <w:tcW w:w="5940" w:type="dxa"/>
            <w:gridSpan w:val="3"/>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2</w:t>
            </w:r>
            <w:r w:rsidRPr="00EB6C2E">
              <w:t xml:space="preserve">) </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6C2E">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2</w:t>
            </w:r>
            <w:r w:rsidRPr="00EB6C2E">
              <w:t>.</w:t>
            </w:r>
            <w:r w:rsidRPr="00EB6C2E">
              <w:rPr>
                <w:rStyle w:val="SpecialBold"/>
              </w:rPr>
              <w:t>1</w:t>
            </w:r>
            <w:r w:rsidRPr="00EB6C2E">
              <w:t xml:space="preserve">) </w:t>
            </w:r>
            <w:r w:rsidRPr="00EB6C2E">
              <w:rPr>
                <w:rStyle w:val="SpecialBold"/>
              </w:rPr>
              <w:t>Competencies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Granting of competency in this unit shall be made only after competency in the following unit(s) has/have been confirmed:.</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UETTDREL01B </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Apply environment and sustainable energy procedures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UETTDREL02B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Operate plant and equipment near energised and exposed electrical conductors/apparatus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UETTDREL04B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Working safely near live electrical apparatus as a non-electrical worker</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UEENEEE001B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Apply OHS practices in the workplace</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UEENEEE002B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Disma</w:t>
            </w:r>
            <w:r w:rsidRPr="00EB6C2E">
              <w:t>ntle, assemble and fabricate electrotechnology components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UEENEEE004B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Solve problems in multiple path d.c. circuits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UEENEEE005B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Fix and secure equipment</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UEENEEE007B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Use drawing, diagrams, schedules and service manuals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UEENEEG001B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Solve problems in electromagnetic circuits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and</w:t>
            </w:r>
          </w:p>
        </w:tc>
        <w:tc>
          <w:tcPr>
            <w:tcW w:w="20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UEENEEG002B</w:t>
            </w:r>
          </w:p>
        </w:tc>
        <w:tc>
          <w:tcPr>
            <w:tcW w:w="3149"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Solve problems in single and three phase low voltage circuits </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For the full prerequisite chain details for this unit please refer to Table 3 in Volume 1, Part 2</w:t>
            </w:r>
          </w:p>
        </w:tc>
      </w:tr>
    </w:tbl>
    <w:p w:rsidR="00880245" w:rsidP="00EB6C2E">
      <w:pPr>
        <w:pStyle w:val="BodyText"/>
      </w:pPr>
    </w:p>
    <w:p w:rsidR="00880245" w:rsidP="00EB6C2E">
      <w:pPr>
        <w:pStyle w:val="BodyText"/>
      </w:pPr>
    </w:p>
    <w:p w:rsidR="00000000" w:rsidRPr="00EB6C2E" w:rsidP="00EB6C2E">
      <w:pPr>
        <w:pStyle w:val="Heading1"/>
      </w:pPr>
      <w:bookmarkStart w:id="6" w:name="O_231029"/>
      <w:bookmarkEnd w:id="6"/>
      <w:r w:rsidRPr="00EB6C2E">
        <w:t>Employability Skills Information</w:t>
      </w:r>
    </w:p>
    <w:tbl>
      <w:tblPr>
        <w:tblW w:w="0" w:type="auto"/>
        <w:tblLayout w:type="fixed"/>
        <w:tblCellMar>
          <w:left w:w="62" w:type="dxa"/>
          <w:right w:w="62" w:type="dxa"/>
        </w:tblCellMar>
        <w:tblLook w:val="0000"/>
      </w:tblPr>
      <w:tblGrid>
        <w:gridCol w:w="2700"/>
        <w:gridCol w:w="5940"/>
      </w:tblGrid>
      <w:tr w:rsidTr="008802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3</w:t>
            </w:r>
            <w:r w:rsidRPr="00EB6C2E">
              <w:t>)</w:t>
            </w:r>
          </w:p>
          <w:p w:rsidR="00000000" w:rsidRPr="00EB6C2E" w:rsidP="00EB6C2E">
            <w:pPr>
              <w:pStyle w:val="BodyText"/>
            </w:pPr>
            <w:r w:rsidRPr="00EB6C2E">
              <w:t>The required outcomes described in this unit of competency contain applicable facets of Employability Skills. The Employability Skills Summary of the qualification in which this unit of competency is</w:t>
            </w:r>
            <w:r w:rsidRPr="00EB6C2E">
              <w:t xml:space="preserve"> packaged will assist in identifying Employability Skill requirements.</w:t>
            </w:r>
          </w:p>
        </w:tc>
      </w:tr>
    </w:tbl>
    <w:p w:rsidR="00880245" w:rsidP="00EB6C2E">
      <w:pPr>
        <w:pStyle w:val="BodyText"/>
      </w:pPr>
    </w:p>
    <w:p w:rsidR="00880245" w:rsidP="00EB6C2E">
      <w:pPr>
        <w:pStyle w:val="BodyText"/>
      </w:pPr>
    </w:p>
    <w:p w:rsidR="00000000" w:rsidRPr="00EB6C2E" w:rsidP="00EB6C2E">
      <w:pPr>
        <w:pStyle w:val="Heading1"/>
      </w:pPr>
      <w:bookmarkStart w:id="7" w:name="O_293457"/>
      <w:bookmarkEnd w:id="7"/>
      <w:r w:rsidRPr="00EB6C2E">
        <w:t>Elements and Performance Criteria Pre-Content</w:t>
      </w:r>
    </w:p>
    <w:tbl>
      <w:tblPr>
        <w:tblW w:w="0" w:type="auto"/>
        <w:tblLayout w:type="fixed"/>
        <w:tblCellMar>
          <w:left w:w="62" w:type="dxa"/>
          <w:right w:w="62" w:type="dxa"/>
        </w:tblCellMar>
        <w:tblLook w:val="0000"/>
      </w:tblPr>
      <w:tblGrid>
        <w:gridCol w:w="2700"/>
        <w:gridCol w:w="5940"/>
      </w:tblGrid>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6</w:t>
            </w:r>
            <w:r w:rsidRPr="00EB6C2E">
              <w:t>) 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Performance criteria describe the required performance needed to demonstrate achievement of the element. Assessment of performance is to be consistent with the evidence guide.</w:t>
            </w:r>
          </w:p>
        </w:tc>
      </w:tr>
    </w:tbl>
    <w:p w:rsidR="00000000" w:rsidRPr="00EB6C2E" w:rsidP="00EB6C2E">
      <w:pPr>
        <w:pStyle w:val="BodyText"/>
      </w:pPr>
    </w:p>
    <w:p w:rsidR="00000000" w:rsidRPr="00EB6C2E" w:rsidP="00EB6C2E">
      <w:pPr>
        <w:pStyle w:val="AllowPageBreak"/>
      </w:pPr>
    </w:p>
    <w:p w:rsidR="00000000" w:rsidRPr="00EB6C2E" w:rsidP="00EB6C2E">
      <w:pPr>
        <w:pStyle w:val="Heading1"/>
      </w:pPr>
      <w:bookmarkStart w:id="8" w:name="O_240125"/>
      <w:bookmarkEnd w:id="8"/>
      <w:r w:rsidRPr="00EB6C2E">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88024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PERFORMANCE CRITER</w:t>
            </w:r>
            <w:r w:rsidRPr="00EB6C2E">
              <w:rPr>
                <w:rStyle w:val="SpecialBold"/>
              </w:rPr>
              <w:t>IA</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w:t>
            </w:r>
          </w:p>
        </w:tc>
        <w:tc>
          <w:tcPr>
            <w:tcW w:w="2296" w:type="dxa"/>
            <w:vMerge w:val="restart"/>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Prepare to lay electrical cables</w:t>
            </w: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1.1</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Works schedule(s), including drawings, plans, requirements, established procedures, and material lists, are received and confirmed, if necessary, by site inspection</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1.2</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Relevant requirements and established procedures for the work are discussed with other personnel and identified for all work sites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1.3</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OHS policies and procedures related to requirements and established procedures for the laying of electrical cables are obtained and confirmed for the purposes of the work to be performed and communicated</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1.4</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Work is prioritised and sequenced following c</w:t>
            </w:r>
            <w:r w:rsidRPr="00EB6C2E">
              <w:t>onsultation with others for completion within acceptable timeframes and in accordance with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1.5</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Hazards are identified, OHS risks assessed and control measures are prioritised, implemented and monitored including emergency exits ke</w:t>
            </w:r>
            <w:r w:rsidRPr="00EB6C2E">
              <w:t>pt clear according to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1.6</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Relevant work permits are obtained to access and perform work according to requirements and/or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1.7</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Resources including personnel, equipment, tools and personal protective equipment required for the job are obtained and confirmed in working order.</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1.8</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Relevant personnel at work site are confirmed current in First Aid and other related work procedures </w:t>
            </w:r>
            <w:r w:rsidRPr="00EB6C2E">
              <w:t>according to requirements.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1.9</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Liaison and communication issues with other/authorised personnel, authorities, clients and land owners are resolved to carry out work where necessary.</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1.10</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Site is prepared according to the work schedule and to minimise risk and damage to property, commerce, and individuals in accordance with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1.11</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Personnel participating in the work, including plant operators and contractors, are fu</w:t>
            </w:r>
            <w:r w:rsidRPr="00EB6C2E">
              <w:t>lly briefed and respective responsibilities confirmed where applicable in accordance with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1.12</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Traffic management plan is identified and implemented.</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w:t>
            </w:r>
          </w:p>
        </w:tc>
        <w:tc>
          <w:tcPr>
            <w:tcW w:w="2296" w:type="dxa"/>
            <w:vMerge w:val="restart"/>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Carry out the laying of electrical cables</w:t>
            </w: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2.1</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OHS, sustainable energy and en</w:t>
            </w:r>
            <w:r w:rsidRPr="00EB6C2E">
              <w:t>vironmental principles and practices to reduce the incidents of accidents and minimise waste are followed in accordance with requirements and/or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2.2</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Lifting, climbing, working in confined spaces and aloft, and use of power tools/equipment, techniques and practices are safely followed and, currency according to requirements confirmed.</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2.3</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Essential knowledge and associated skills are applied in the s</w:t>
            </w:r>
            <w:r w:rsidRPr="00EB6C2E">
              <w:t>afe laying of electrical cables to ensure completion in an agreed timeframe and, to quality standards with a minimum of waste according to requirements.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2.4</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Electrical cables are laid in accordance with the work schedule and requirements/es</w:t>
            </w:r>
            <w:r w:rsidRPr="00EB6C2E">
              <w:t>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2.5</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Hazard warnings and safety signs are recognised and hazards and assessed OHS risks are reported to the immediate authorised persons for directions according to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2.6</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Unplanned events in the laying of el</w:t>
            </w:r>
            <w:r w:rsidRPr="00EB6C2E">
              <w:t>ectrical cables are undertaken within the scope of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2.7</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Known solutions to a variety of problems are applied using routine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2.8</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On going checks of quality of the work are undertaken in accordance with instructions and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w:t>
            </w:r>
          </w:p>
        </w:tc>
        <w:tc>
          <w:tcPr>
            <w:tcW w:w="2296" w:type="dxa"/>
            <w:vMerge w:val="restart"/>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Complete the laying of electrical cables</w:t>
            </w: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3.1</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Work undertaken is checked against works schedule for conformance with requirements and anomal</w:t>
            </w:r>
            <w:r w:rsidRPr="00EB6C2E">
              <w:t>ies reported in accordance with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3.2</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Accidents and/or injuries are reported in accordance with requirements/established procedures, where applicable.</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3.3</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Work site is rehabilitated, cleaned up and made safe in accordance with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3.4</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Tools, equipment and any surplus resources and materials are, where appropriate, cleaned, checked and returned to storage or disposed of in accordance wi</w:t>
            </w:r>
            <w:r w:rsidRPr="00EB6C2E">
              <w:t>th established procedures.</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3.5</w:t>
            </w:r>
          </w:p>
        </w:tc>
        <w:tc>
          <w:tcPr>
            <w:tcW w:w="50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Relevant work permit(s), works completion records, reports, drawings and/or documentation and information are actually completed and appropriate personnel notified.</w:t>
            </w:r>
          </w:p>
        </w:tc>
      </w:tr>
      <w:tr w:rsidTr="008802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3.6</w:t>
            </w:r>
          </w:p>
        </w:tc>
        <w:tc>
          <w:tcPr>
            <w:tcW w:w="50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Works completion records, reports, as installed /modified drawing and/or documentation and information are finalised and processed and appropriate personnel notified</w:t>
            </w:r>
          </w:p>
        </w:tc>
      </w:tr>
    </w:tbl>
    <w:p w:rsidR="00880245" w:rsidP="00EB6C2E">
      <w:pPr>
        <w:pStyle w:val="BodyText"/>
      </w:pPr>
    </w:p>
    <w:p w:rsidR="00880245" w:rsidP="00EB6C2E">
      <w:pPr>
        <w:pStyle w:val="BodyText"/>
      </w:pPr>
    </w:p>
    <w:p w:rsidR="00000000" w:rsidRPr="00EB6C2E" w:rsidP="00EB6C2E">
      <w:pPr>
        <w:pStyle w:val="Heading1"/>
      </w:pPr>
      <w:bookmarkStart w:id="9" w:name="O_263916"/>
      <w:bookmarkEnd w:id="9"/>
      <w:r w:rsidRPr="00EB6C2E">
        <w:t>Required Skills and Knowledge</w:t>
      </w:r>
    </w:p>
    <w:tbl>
      <w:tblPr>
        <w:tblW w:w="0" w:type="auto"/>
        <w:tblLayout w:type="fixed"/>
        <w:tblCellMar>
          <w:left w:w="62" w:type="dxa"/>
          <w:right w:w="62" w:type="dxa"/>
        </w:tblCellMar>
        <w:tblLook w:val="0000"/>
      </w:tblPr>
      <w:tblGrid>
        <w:gridCol w:w="2700"/>
        <w:gridCol w:w="1260"/>
        <w:gridCol w:w="4680"/>
      </w:tblGrid>
      <w:tr w:rsidTr="0088024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REQUIRED SKILLS AND KNOWLEDGE</w:t>
            </w:r>
          </w:p>
        </w:tc>
      </w:tr>
      <w:tr w:rsidTr="0088024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7</w:t>
            </w:r>
            <w:r w:rsidRPr="00EB6C2E">
              <w:t xml:space="preserve">) </w:t>
            </w:r>
            <w:r w:rsidRPr="00EB6C2E">
              <w:rPr>
                <w:rStyle w:val="SpecialBold"/>
              </w:rPr>
              <w:t>Esse</w:t>
            </w:r>
            <w:r w:rsidRPr="00EB6C2E">
              <w:rPr>
                <w:rStyle w:val="SpecialBold"/>
              </w:rPr>
              <w:t>ntial knowledge and associated skills</w:t>
            </w:r>
            <w:r w:rsidRPr="00EB6C2E">
              <w:t xml:space="preserve"> (</w:t>
            </w:r>
            <w:r w:rsidRPr="00EB6C2E">
              <w:rPr>
                <w:rStyle w:val="SpecialBold"/>
              </w:rPr>
              <w:t>EKAS</w:t>
            </w:r>
            <w:r w:rsidRPr="00EB6C2E">
              <w:t>): This describes the essential skills and knowledge and their level, required for this unit.</w:t>
            </w:r>
          </w:p>
        </w:tc>
      </w:tr>
      <w:tr w:rsidTr="0088024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Evidence shall show that knowledge has been acquired of laying electrical cables.</w:t>
            </w:r>
          </w:p>
          <w:p w:rsidR="00000000" w:rsidRPr="00EB6C2E" w:rsidP="00EB6C2E">
            <w:pPr>
              <w:pStyle w:val="BodyText"/>
            </w:pPr>
            <w:r w:rsidRPr="00EB6C2E">
              <w:t>All knowledge and skills detailed in this unit should be contextualised to current industry practices and technologies.</w:t>
            </w:r>
          </w:p>
          <w:p w:rsidR="00000000" w:rsidP="00EB6C2E">
            <w:pPr>
              <w:pStyle w:val="BodyText"/>
              <w:rPr>
                <w:lang w:val="en-NZ"/>
              </w:rPr>
            </w:pPr>
            <w:r w:rsidRPr="00EB6C2E">
              <w:t>The extent of the essential knowledge and associated skills required is given Volume 2 Part 2, Clauses: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T2.1.9.</w:t>
            </w:r>
          </w:p>
        </w:tc>
        <w:tc>
          <w:tcPr>
            <w:tcW w:w="468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Stores procedures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T2.2.1 </w:t>
            </w:r>
          </w:p>
        </w:tc>
        <w:tc>
          <w:tcPr>
            <w:tcW w:w="468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Generation power systems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T2.2.2 </w:t>
            </w:r>
          </w:p>
        </w:tc>
        <w:tc>
          <w:tcPr>
            <w:tcW w:w="468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Transmission, distribution and rail power systems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T2.2.3 </w:t>
            </w:r>
          </w:p>
        </w:tc>
        <w:tc>
          <w:tcPr>
            <w:tcW w:w="468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Substations, power transformers and reactors fundamentals.</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T2.2.12 </w:t>
            </w:r>
          </w:p>
        </w:tc>
        <w:tc>
          <w:tcPr>
            <w:tcW w:w="468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Underground cable installation</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T2.2.23 </w:t>
            </w:r>
          </w:p>
        </w:tc>
        <w:tc>
          <w:tcPr>
            <w:tcW w:w="468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Underground cable construction</w:t>
            </w:r>
          </w:p>
        </w:tc>
      </w:tr>
    </w:tbl>
    <w:p w:rsidR="00880245" w:rsidP="00EB6C2E">
      <w:pPr>
        <w:pStyle w:val="BodyText"/>
      </w:pPr>
    </w:p>
    <w:p w:rsidR="00880245" w:rsidP="00EB6C2E">
      <w:pPr>
        <w:pStyle w:val="BodyText"/>
      </w:pPr>
    </w:p>
    <w:p w:rsidR="00000000" w:rsidRPr="00EB6C2E" w:rsidP="00EB6C2E">
      <w:pPr>
        <w:pStyle w:val="Heading1"/>
      </w:pPr>
      <w:bookmarkStart w:id="10" w:name="O_248108"/>
      <w:bookmarkEnd w:id="10"/>
      <w:r w:rsidRPr="00EB6C2E">
        <w:t>Evidence Guide</w:t>
      </w:r>
    </w:p>
    <w:tbl>
      <w:tblPr>
        <w:tblW w:w="0" w:type="auto"/>
        <w:tblLayout w:type="fixed"/>
        <w:tblCellMar>
          <w:left w:w="62" w:type="dxa"/>
          <w:right w:w="62" w:type="dxa"/>
        </w:tblCellMar>
        <w:tblLook w:val="0000"/>
      </w:tblPr>
      <w:tblGrid>
        <w:gridCol w:w="2160"/>
        <w:gridCol w:w="540"/>
        <w:gridCol w:w="1260"/>
        <w:gridCol w:w="2160"/>
        <w:gridCol w:w="2520"/>
      </w:tblGrid>
      <w:tr w:rsidTr="00880245">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EVIDENCE GUIDE</w:t>
            </w:r>
          </w:p>
        </w:tc>
      </w:tr>
      <w:tr w:rsidTr="00880245">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9</w:t>
            </w:r>
            <w:r w:rsidRPr="00EB6C2E">
              <w:t xml:space="preserve">) This provides essential advice for assessment of the unit of competency and must be read in conjunction </w:t>
            </w:r>
            <w:r w:rsidRPr="00EB6C2E">
              <w:t>with the performance criteria and the range statement of the unit of competency and the Training Package Assessment Guidelines.</w:t>
            </w:r>
          </w:p>
          <w:p w:rsidR="00000000" w:rsidP="00EB6C2E">
            <w:pPr>
              <w:pStyle w:val="BodyText"/>
              <w:rPr>
                <w:lang w:val="en-NZ"/>
              </w:rPr>
            </w:pPr>
            <w:r w:rsidRPr="00EB6C2E">
              <w:t>The Evidence Guide forms an integral part of this Competency Standard Unit and shall be used in conjunction with all component p</w:t>
            </w:r>
            <w:r w:rsidRPr="00EB6C2E">
              <w:t>arts of this unit and, performed in accordance with the Assessment Guidelines of this Training Package.</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9</w:t>
            </w:r>
            <w:r w:rsidRPr="00EB6C2E">
              <w:t>.</w:t>
            </w:r>
            <w:r w:rsidRPr="00EB6C2E">
              <w:rPr>
                <w:rStyle w:val="SpecialBold"/>
              </w:rPr>
              <w:t>1</w:t>
            </w:r>
            <w:r w:rsidRPr="00EB6C2E">
              <w:t xml:space="preserve">) </w:t>
            </w:r>
          </w:p>
          <w:p w:rsidR="00000000" w:rsidRPr="00EB6C2E" w:rsidP="00EB6C2E">
            <w:pPr>
              <w:pStyle w:val="BodyText"/>
            </w:pPr>
            <w:r w:rsidRPr="00EB6C2E">
              <w:t>Longitudinal competency development approaches to assessment, such as Profiling, require data to be reliably gathered in a form that can be consistently interpreted over time. This approach is best utilised in Apprenticeship programs and reduces assessment</w:t>
            </w:r>
            <w:r w:rsidRPr="00EB6C2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B6C2E">
              <w:t>tency in a realistically simulated work environment. It is recognised that, in some circumstances, assessment in part or full can occur outside the workplace. However, it must be in accord with Industry and, Regulatory policy in this regard.</w:t>
            </w:r>
          </w:p>
          <w:p w:rsidR="00000000" w:rsidRPr="00EB6C2E" w:rsidP="00EB6C2E">
            <w:pPr>
              <w:pStyle w:val="BodyText"/>
            </w:pPr>
            <w:r w:rsidRPr="00EB6C2E">
              <w:t>Methods chosen for a particular assessment will be influenced by various factors. These include the extent of the assessment, the most effective locations for the assessment activities to take place, access to physical resources, additional safety measures</w:t>
            </w:r>
            <w:r w:rsidRPr="00EB6C2E">
              <w:t xml:space="preserve"> that may be required and the critical nature of the competencies being assessed.</w:t>
            </w:r>
          </w:p>
          <w:p w:rsidR="00000000" w:rsidRPr="00EB6C2E" w:rsidP="00EB6C2E">
            <w:pPr>
              <w:pStyle w:val="BodyText"/>
            </w:pPr>
            <w:r w:rsidRPr="00EB6C2E">
              <w:t>The critical safety nature of working with electricity, electrical equipment, gas or any other hazardous substance/material carries risk in deeming a person competent. Hence,</w:t>
            </w:r>
            <w:r w:rsidRPr="00EB6C2E">
              <w:t xml:space="preserve"> sources of evidence need to be 'rich' in nature so as to minimise error in judgment.</w:t>
            </w:r>
          </w:p>
          <w:p w:rsidR="00000000" w:rsidP="00EB6C2E">
            <w:pPr>
              <w:pStyle w:val="BodyText"/>
              <w:rPr>
                <w:lang w:val="en-NZ"/>
              </w:rPr>
            </w:pPr>
            <w:r w:rsidRPr="00EB6C2E">
              <w:t xml:space="preserve">Activities associated with normal every day work have a bearing on the decision as to how much and how detailed the data gathered will contribute to its 'richness'. Some </w:t>
            </w:r>
            <w:r w:rsidRPr="00EB6C2E">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EB6C2E">
              <w:t>Sample assessment instruments are included for Assessors in the Assessment Guidelines of this Training Package.</w:t>
            </w:r>
          </w:p>
        </w:tc>
      </w:tr>
      <w:tr w:rsidTr="0088024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9</w:t>
            </w:r>
            <w:r w:rsidRPr="00EB6C2E">
              <w:t>.</w:t>
            </w:r>
            <w:r w:rsidRPr="00EB6C2E">
              <w:rPr>
                <w:rStyle w:val="SpecialBold"/>
              </w:rPr>
              <w:t>2</w:t>
            </w:r>
            <w:r w:rsidRPr="00EB6C2E">
              <w:t xml:space="preserve">) </w:t>
            </w:r>
          </w:p>
          <w:p w:rsidR="00000000" w:rsidP="00EB6C2E">
            <w:pPr>
              <w:pStyle w:val="BodyText"/>
              <w:rPr>
                <w:lang w:val="en-NZ"/>
              </w:rPr>
            </w:pPr>
            <w:r w:rsidRPr="00EB6C2E">
              <w:t>Before the critical aspects of evidence are considered al</w:t>
            </w:r>
            <w:r w:rsidRPr="00EB6C2E">
              <w:t>l prerequisites shall be met.</w:t>
            </w:r>
          </w:p>
        </w:tc>
      </w:tr>
      <w:tr w:rsidTr="008802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 xml:space="preserve">Evidence for competence in this unit shall be considered holistically. Each element and associated performance criteria shall be demonstrated </w:t>
            </w:r>
            <w:r w:rsidRPr="00EB6C2E">
              <w:t>on at least two occasions in accordance with the "Assessment Guidelines - UET09". Evidence shall also comprise:</w:t>
            </w:r>
          </w:p>
          <w:p w:rsidR="00000000" w:rsidP="00EB6C2E">
            <w:pPr>
              <w:pStyle w:val="ListBullet"/>
              <w:rPr>
                <w:lang w:val="en-NZ"/>
              </w:rPr>
            </w:pPr>
            <w:r w:rsidRPr="00EB6C2E">
              <w:t>A representative body of performance criteria demonstrated within the timeframes typically expected of the discipline, work function and indust</w:t>
            </w:r>
            <w:r w:rsidRPr="00EB6C2E">
              <w:t>rial environment. In particular this shall incorporate evidence that shows a candidate is able to:</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EB6C2E" w:rsidP="00EB6C2E">
            <w:pPr>
              <w:pStyle w:val="ListBullet2"/>
            </w:pPr>
            <w:r w:rsidRPr="00EB6C2E">
              <w:t xml:space="preserve">Implement Occupational Health and Safety workplace procedures and practices including the use of risk control measures as specified in the performance </w:t>
            </w:r>
            <w:r w:rsidRPr="00EB6C2E">
              <w:t>criteria and range; and</w:t>
            </w:r>
          </w:p>
          <w:p w:rsidR="00000000" w:rsidRPr="00EB6C2E" w:rsidP="00EB6C2E">
            <w:pPr>
              <w:pStyle w:val="ListBullet2"/>
            </w:pPr>
            <w:r w:rsidRPr="00EB6C2E">
              <w:t>Apply sustainable energy principles and practices as specified in the performance criteria and range; and</w:t>
            </w:r>
          </w:p>
          <w:p w:rsidR="00000000" w:rsidRPr="00EB6C2E" w:rsidP="00EB6C2E">
            <w:pPr>
              <w:pStyle w:val="ListBullet2"/>
            </w:pPr>
            <w:r w:rsidRPr="00EB6C2E">
              <w:t>Demonstrate an understanding of the essential knowledge and associated skills as described in this unit to such an extent that the learner's performance outcome is reported in accordance with the preferred approach; namely a percentile graded result, where</w:t>
            </w:r>
            <w:r w:rsidRPr="00EB6C2E">
              <w:t xml:space="preserve"> required by the regulated environment; and</w:t>
            </w:r>
          </w:p>
          <w:p w:rsidR="00000000" w:rsidRPr="00EB6C2E" w:rsidP="00EB6C2E">
            <w:pPr>
              <w:pStyle w:val="ListBullet2"/>
            </w:pPr>
            <w:r w:rsidRPr="00EB6C2E">
              <w:t>Demonstrate an appropriate level of employability skills; and</w:t>
            </w:r>
          </w:p>
          <w:p w:rsidR="00000000" w:rsidP="00EB6C2E">
            <w:pPr>
              <w:pStyle w:val="ListBullet2"/>
              <w:rPr>
                <w:lang w:val="en-NZ"/>
              </w:rPr>
            </w:pPr>
            <w:r w:rsidRPr="00EB6C2E">
              <w:t>Conduct work observing the relevant Anti Discrimination legislation, regulations, policies and workplace procedures; and</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EB6C2E">
            <w:pPr>
              <w:pStyle w:val="ListBullet"/>
              <w:rPr>
                <w:lang w:val="en-NZ"/>
              </w:rPr>
            </w:pPr>
            <w:r w:rsidRPr="00EB6C2E">
              <w:t>Demonstrated performanc</w:t>
            </w:r>
            <w:r w:rsidRPr="00EB6C2E">
              <w:t>e across a representative range of contexts from the prescribed items below:</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EB6C2E">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rPr>
                <w:rStyle w:val="SpecialBold"/>
              </w:rPr>
              <w:t>Range of tools</w:t>
            </w:r>
            <w:r w:rsidRPr="00EB6C2E">
              <w:t>/</w:t>
            </w:r>
            <w:r w:rsidRPr="00EB6C2E">
              <w:rPr>
                <w:rStyle w:val="SpecialBold"/>
              </w:rPr>
              <w:t>equipment</w:t>
            </w:r>
            <w:r w:rsidRPr="00EB6C2E">
              <w:t>/</w:t>
            </w:r>
            <w:r w:rsidRPr="00EB6C2E">
              <w:rPr>
                <w:rStyle w:val="SpecialBold"/>
              </w:rPr>
              <w:t>materials</w:t>
            </w:r>
            <w:r w:rsidRPr="00EB6C2E">
              <w:t>/</w:t>
            </w:r>
            <w:r w:rsidRPr="00EB6C2E">
              <w:rPr>
                <w:rStyle w:val="SpecialBold"/>
              </w:rPr>
              <w:t>procedures</w:t>
            </w:r>
            <w:r w:rsidRPr="00EB6C2E">
              <w:t>/</w:t>
            </w:r>
            <w:r w:rsidRPr="00EB6C2E">
              <w:rPr>
                <w:rStyle w:val="SpecialBold"/>
              </w:rPr>
              <w:t>workplaces</w:t>
            </w:r>
            <w:r w:rsidRPr="00EB6C2E">
              <w:t>/</w:t>
            </w:r>
            <w:r w:rsidRPr="00EB6C2E">
              <w:rPr>
                <w:rStyle w:val="SpecialBold"/>
              </w:rPr>
              <w:t>other variables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EB6C2E">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rPr>
                <w:rStyle w:val="SpecialBold"/>
              </w:rPr>
              <w:t>Group No</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rPr>
                <w:rStyle w:val="SpecialBold"/>
              </w:rPr>
              <w:t>The minimum number of items on which skill is to be demonstrated</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rPr>
                <w:rStyle w:val="SpecialBold"/>
              </w:rPr>
              <w:t>Item List</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one of the following:</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t>HV polymeric</w:t>
            </w:r>
          </w:p>
          <w:p w:rsidR="00000000" w:rsidP="00EB6C2E">
            <w:pPr>
              <w:pStyle w:val="BodyText"/>
              <w:rPr>
                <w:lang w:val="en-NZ"/>
              </w:rPr>
            </w:pPr>
            <w:r w:rsidRPr="00EB6C2E">
              <w:t>HV paper insulated</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B</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one of the following:</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t>LV polymeric</w:t>
            </w:r>
          </w:p>
          <w:p w:rsidR="00000000" w:rsidP="00EB6C2E">
            <w:pPr>
              <w:pStyle w:val="BodyText"/>
              <w:rPr>
                <w:lang w:val="en-NZ"/>
              </w:rPr>
            </w:pPr>
            <w:r w:rsidRPr="00EB6C2E">
              <w:t>LV paper insulated</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one of the following:</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t>Direct lay</w:t>
            </w:r>
          </w:p>
          <w:p w:rsidR="00000000" w:rsidRPr="00EB6C2E" w:rsidP="00EB6C2E">
            <w:pPr>
              <w:pStyle w:val="BodyText"/>
            </w:pPr>
            <w:r w:rsidRPr="00EB6C2E">
              <w:t>On racks</w:t>
            </w:r>
          </w:p>
          <w:p w:rsidR="00000000" w:rsidP="00EB6C2E">
            <w:pPr>
              <w:pStyle w:val="BodyText"/>
              <w:rPr>
                <w:lang w:val="en-NZ"/>
              </w:rPr>
            </w:pPr>
            <w:r w:rsidRPr="00EB6C2E">
              <w:t>In conduits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D</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one cable pulling methods of the following:</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t>Stocking pulling</w:t>
            </w:r>
          </w:p>
          <w:p w:rsidR="00000000" w:rsidRPr="00EB6C2E" w:rsidP="00EB6C2E">
            <w:pPr>
              <w:pStyle w:val="BodyText"/>
            </w:pPr>
            <w:r w:rsidRPr="00EB6C2E">
              <w:t>Bond pulling</w:t>
            </w:r>
          </w:p>
          <w:p w:rsidR="00000000" w:rsidRPr="00EB6C2E" w:rsidP="00EB6C2E">
            <w:pPr>
              <w:pStyle w:val="BodyText"/>
            </w:pPr>
            <w:r w:rsidRPr="00EB6C2E">
              <w:t>Armour pulling</w:t>
            </w:r>
          </w:p>
          <w:p w:rsidR="00000000" w:rsidP="00EB6C2E">
            <w:pPr>
              <w:pStyle w:val="BodyText"/>
              <w:rPr>
                <w:lang w:val="en-NZ"/>
              </w:rPr>
            </w:pPr>
            <w:r w:rsidRPr="00EB6C2E">
              <w:t>Nose pull attachments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two cable sealing methods of the following:</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t>Heat shrinkable</w:t>
            </w:r>
          </w:p>
          <w:p w:rsidR="00000000" w:rsidRPr="00EB6C2E" w:rsidP="00EB6C2E">
            <w:pPr>
              <w:pStyle w:val="BodyText"/>
            </w:pPr>
            <w:r w:rsidRPr="00EB6C2E">
              <w:t>Pre-stretched materials</w:t>
            </w:r>
          </w:p>
          <w:p w:rsidR="00000000" w:rsidRPr="00EB6C2E" w:rsidP="00EB6C2E">
            <w:pPr>
              <w:pStyle w:val="BodyText"/>
            </w:pPr>
            <w:r w:rsidRPr="00EB6C2E">
              <w:t>Tin/lead wiping</w:t>
            </w:r>
          </w:p>
          <w:p w:rsidR="00000000" w:rsidP="00EB6C2E">
            <w:pPr>
              <w:pStyle w:val="BodyText"/>
              <w:rPr>
                <w:lang w:val="en-NZ"/>
              </w:rPr>
            </w:pPr>
            <w:r w:rsidRPr="00EB6C2E">
              <w:t>Pre-moulded components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F</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one cable cut</w:t>
            </w:r>
            <w:r w:rsidRPr="00EB6C2E">
              <w:t>ting methods of the following:</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t>Hydraulic cutters</w:t>
            </w:r>
          </w:p>
          <w:p w:rsidR="00000000" w:rsidRPr="00EB6C2E" w:rsidP="00EB6C2E">
            <w:pPr>
              <w:pStyle w:val="BodyText"/>
            </w:pPr>
            <w:r w:rsidRPr="00EB6C2E">
              <w:t>Electric reciprocating</w:t>
            </w:r>
          </w:p>
          <w:p w:rsidR="00000000" w:rsidRPr="00EB6C2E" w:rsidP="00EB6C2E">
            <w:pPr>
              <w:pStyle w:val="BodyText"/>
            </w:pPr>
            <w:r w:rsidRPr="00EB6C2E">
              <w:t>Motorised</w:t>
            </w:r>
          </w:p>
          <w:p w:rsidR="00000000" w:rsidP="00EB6C2E">
            <w:pPr>
              <w:pStyle w:val="BodyText"/>
              <w:rPr>
                <w:lang w:val="en-NZ"/>
              </w:rPr>
            </w:pPr>
            <w:r w:rsidRPr="00EB6C2E">
              <w:t>Hand tools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four of the following:</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2E" w:rsidP="00EB6C2E">
            <w:pPr>
              <w:pStyle w:val="BodyText"/>
            </w:pPr>
            <w:r w:rsidRPr="00EB6C2E">
              <w:t>Drum jacks</w:t>
            </w:r>
          </w:p>
          <w:p w:rsidR="00000000" w:rsidRPr="00EB6C2E" w:rsidP="00EB6C2E">
            <w:pPr>
              <w:pStyle w:val="BodyText"/>
            </w:pPr>
            <w:r w:rsidRPr="00EB6C2E">
              <w:t>Winches</w:t>
            </w:r>
          </w:p>
          <w:p w:rsidR="00000000" w:rsidRPr="00EB6C2E" w:rsidP="00EB6C2E">
            <w:pPr>
              <w:pStyle w:val="BodyText"/>
            </w:pPr>
            <w:r w:rsidRPr="00EB6C2E">
              <w:t>Spindles</w:t>
            </w:r>
          </w:p>
          <w:p w:rsidR="00000000" w:rsidRPr="00EB6C2E" w:rsidP="00EB6C2E">
            <w:pPr>
              <w:pStyle w:val="BodyText"/>
            </w:pPr>
            <w:r w:rsidRPr="00EB6C2E">
              <w:t>Capstans</w:t>
            </w:r>
          </w:p>
          <w:p w:rsidR="00000000" w:rsidRPr="00EB6C2E" w:rsidP="00EB6C2E">
            <w:pPr>
              <w:pStyle w:val="BodyText"/>
            </w:pPr>
            <w:r w:rsidRPr="00EB6C2E">
              <w:t>Bollards</w:t>
            </w:r>
          </w:p>
          <w:p w:rsidR="00000000" w:rsidRPr="00EB6C2E" w:rsidP="00EB6C2E">
            <w:pPr>
              <w:pStyle w:val="BodyText"/>
            </w:pPr>
            <w:r w:rsidRPr="00EB6C2E">
              <w:t>Cable trailers</w:t>
            </w:r>
          </w:p>
          <w:p w:rsidR="00000000" w:rsidRPr="00EB6C2E" w:rsidP="00EB6C2E">
            <w:pPr>
              <w:pStyle w:val="BodyText"/>
            </w:pPr>
            <w:r w:rsidRPr="00EB6C2E">
              <w:t>Rollers</w:t>
            </w:r>
          </w:p>
          <w:p w:rsidR="00000000" w:rsidRPr="00EB6C2E" w:rsidP="00EB6C2E">
            <w:pPr>
              <w:pStyle w:val="BodyText"/>
            </w:pPr>
            <w:r w:rsidRPr="00EB6C2E">
              <w:t>Lubricants</w:t>
            </w:r>
          </w:p>
          <w:p w:rsidR="00000000" w:rsidRPr="00EB6C2E" w:rsidP="00EB6C2E">
            <w:pPr>
              <w:pStyle w:val="BodyText"/>
            </w:pPr>
            <w:r w:rsidRPr="00EB6C2E">
              <w:t>Ropes</w:t>
            </w:r>
          </w:p>
          <w:p w:rsidR="00000000" w:rsidRPr="00EB6C2E" w:rsidP="00EB6C2E">
            <w:pPr>
              <w:pStyle w:val="BodyText"/>
            </w:pPr>
            <w:r w:rsidRPr="00EB6C2E">
              <w:t>Bell mouths</w:t>
            </w:r>
          </w:p>
          <w:p w:rsidR="00000000" w:rsidP="00EB6C2E">
            <w:pPr>
              <w:pStyle w:val="BodyText"/>
              <w:rPr>
                <w:lang w:val="en-NZ"/>
              </w:rPr>
            </w:pPr>
            <w:r w:rsidRPr="00EB6C2E">
              <w:t>Draw wires/rods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H</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At least one occasion</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2E">
            <w:pPr>
              <w:pStyle w:val="BodyText"/>
              <w:rPr>
                <w:lang w:val="en-NZ"/>
              </w:rPr>
            </w:pPr>
            <w:r w:rsidRPr="00EB6C2E">
              <w:t>Dealing with an unplanned event by drawing on essential knowledge and associated skills to provide appropriate solutions incorporated in the holistic assessment with the above listed items.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Context of and specific resources for asses</w:t>
            </w:r>
            <w:r w:rsidRPr="00EB6C2E">
              <w:rPr>
                <w:rStyle w:val="SpecialBold"/>
              </w:rPr>
              <w:t>sment</w:t>
            </w:r>
          </w:p>
        </w:tc>
        <w:tc>
          <w:tcPr>
            <w:tcW w:w="6480" w:type="dxa"/>
            <w:gridSpan w:val="4"/>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9</w:t>
            </w:r>
            <w:r w:rsidRPr="00EB6C2E">
              <w:t>.</w:t>
            </w:r>
            <w:r w:rsidRPr="00EB6C2E">
              <w:rPr>
                <w:rStyle w:val="SpecialBold"/>
              </w:rPr>
              <w:t>3</w:t>
            </w:r>
            <w:r w:rsidRPr="00EB6C2E">
              <w:t xml:space="preserve">) </w:t>
            </w:r>
          </w:p>
          <w:p w:rsidR="00000000" w:rsidRPr="00EB6C2E" w:rsidP="00EB6C2E">
            <w:pPr>
              <w:pStyle w:val="BodyText"/>
            </w:pPr>
            <w:r w:rsidRPr="00EB6C2E">
              <w:t>This unit should be assessed as it relates to normal work practice using procedures, information and resources typical of a workplace. This should include:</w:t>
            </w:r>
          </w:p>
          <w:p w:rsidR="00000000" w:rsidRPr="00EB6C2E" w:rsidP="00EB6C2E">
            <w:pPr>
              <w:pStyle w:val="ListBullet"/>
            </w:pPr>
            <w:r w:rsidRPr="00EB6C2E">
              <w:t>OHS policy and work procedures and instructions.</w:t>
            </w:r>
          </w:p>
          <w:p w:rsidR="00000000" w:rsidP="00EB6C2E">
            <w:pPr>
              <w:pStyle w:val="ListBullet"/>
              <w:rPr>
                <w:lang w:val="en-NZ"/>
              </w:rPr>
            </w:pPr>
            <w:r w:rsidRPr="00EB6C2E">
              <w:t>Suitable work environment, facili</w:t>
            </w:r>
            <w:r w:rsidRPr="00EB6C2E">
              <w:t>ties, equipment and materials to undertake actual work as prescribed by this Competency Standard Unit.</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In addition to the resources listed above, in context of and specific resources for assessment, evidence should show demonstrated competency working</w:t>
            </w:r>
            <w:r w:rsidRPr="00EB6C2E">
              <w:t xml:space="preserve"> below ground, in limited spaces, with different structural/construction types and method and in a variety of environments. </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9</w:t>
            </w:r>
            <w:r w:rsidRPr="00EB6C2E">
              <w:t>.</w:t>
            </w:r>
            <w:r w:rsidRPr="00EB6C2E">
              <w:rPr>
                <w:rStyle w:val="SpecialBold"/>
              </w:rPr>
              <w:t>4</w:t>
            </w:r>
            <w:r w:rsidRPr="00EB6C2E">
              <w:t xml:space="preserve">) </w:t>
            </w:r>
          </w:p>
          <w:p w:rsidR="00000000" w:rsidRPr="00EB6C2E" w:rsidP="00EB6C2E">
            <w:pPr>
              <w:pStyle w:val="BodyText"/>
            </w:pPr>
            <w:r w:rsidRPr="00EB6C2E">
              <w:t>This Competency Standard Unit shall be assessed by methods given in Volume 1, Part 3 "Assessment Gui</w:t>
            </w:r>
            <w:r w:rsidRPr="00EB6C2E">
              <w:t>delines".</w:t>
            </w:r>
          </w:p>
          <w:p w:rsidR="00000000" w:rsidP="00EB6C2E">
            <w:pPr>
              <w:pStyle w:val="BodyText"/>
              <w:rPr>
                <w:lang w:val="en-NZ"/>
              </w:rPr>
            </w:pPr>
            <w:r w:rsidRPr="00EB6C2E">
              <w:t>Note:</w:t>
            </w:r>
            <w:r w:rsidRPr="00EB6C2E">
              <w:br/>
            </w:r>
            <w:r w:rsidRPr="00EB6C2E">
              <w:t>Competent performance with inherent safe working practices is expected in the Industry to which this Competency Standard Unit applies. This requires that the specified essential knowledge and associated skills are assessed in a structured environment which</w:t>
            </w:r>
            <w:r w:rsidRPr="00EB6C2E">
              <w:t xml:space="preserve"> is primarily intended for learning/assessment and incorporates all necessary equipment and facilities for learners to develop and demonstrate the essential knowledge and associated skills described in this unit.</w:t>
            </w:r>
          </w:p>
        </w:tc>
      </w:tr>
      <w:tr w:rsidTr="0088024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 xml:space="preserve">Concurrent assessment and relationship </w:t>
            </w:r>
            <w:r w:rsidRPr="00EB6C2E">
              <w:rPr>
                <w:rStyle w:val="SpecialBold"/>
              </w:rPr>
              <w:t>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9</w:t>
            </w:r>
            <w:r w:rsidRPr="00EB6C2E">
              <w:t>.</w:t>
            </w:r>
            <w:r w:rsidRPr="00EB6C2E">
              <w:rPr>
                <w:rStyle w:val="SpecialBold"/>
              </w:rPr>
              <w:t>5</w:t>
            </w:r>
            <w:r w:rsidRPr="00EB6C2E">
              <w:t>)</w:t>
            </w:r>
          </w:p>
        </w:tc>
      </w:tr>
      <w:tr w:rsidTr="008802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 xml:space="preserve">For optimisation of training and assessment effort, competence in this unit may be assessed concurrently with the following units: </w:t>
            </w:r>
          </w:p>
        </w:tc>
      </w:tr>
      <w:tr w:rsidTr="008802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UETTDRCJ02B</w:t>
            </w:r>
          </w:p>
        </w:tc>
        <w:tc>
          <w:tcPr>
            <w:tcW w:w="4680" w:type="dxa"/>
            <w:gridSpan w:val="2"/>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Install and maintain de-energised LV underground paper insulated cables</w:t>
            </w:r>
          </w:p>
        </w:tc>
      </w:tr>
      <w:tr w:rsidTr="008802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UETTDRCJ03B</w:t>
            </w:r>
          </w:p>
        </w:tc>
        <w:tc>
          <w:tcPr>
            <w:tcW w:w="4680" w:type="dxa"/>
            <w:gridSpan w:val="2"/>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Install and maintain de-energised HV underground paper insulated cables</w:t>
            </w:r>
          </w:p>
        </w:tc>
      </w:tr>
      <w:tr w:rsidTr="008802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UETTDRCJ06B</w:t>
            </w:r>
          </w:p>
        </w:tc>
        <w:tc>
          <w:tcPr>
            <w:tcW w:w="4680" w:type="dxa"/>
            <w:gridSpan w:val="2"/>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Install and maintain de-energised LV underground polymeric cables</w:t>
            </w:r>
          </w:p>
        </w:tc>
      </w:tr>
    </w:tbl>
    <w:p w:rsidR="00880245" w:rsidP="00EB6C2E">
      <w:pPr>
        <w:pStyle w:val="BodyText"/>
      </w:pPr>
    </w:p>
    <w:p w:rsidR="00880245" w:rsidP="00EB6C2E">
      <w:pPr>
        <w:pStyle w:val="BodyText"/>
      </w:pPr>
    </w:p>
    <w:p w:rsidR="00000000" w:rsidRPr="00EB6C2E" w:rsidP="00EB6C2E">
      <w:pPr>
        <w:pStyle w:val="Heading1"/>
      </w:pPr>
      <w:bookmarkStart w:id="11" w:name="O_256092"/>
      <w:bookmarkEnd w:id="11"/>
      <w:r w:rsidRPr="00EB6C2E">
        <w:t>Range Statement</w:t>
      </w:r>
    </w:p>
    <w:tbl>
      <w:tblPr>
        <w:tblW w:w="0" w:type="auto"/>
        <w:tblLayout w:type="fixed"/>
        <w:tblCellMar>
          <w:left w:w="62" w:type="dxa"/>
          <w:right w:w="62" w:type="dxa"/>
        </w:tblCellMar>
        <w:tblLook w:val="0000"/>
      </w:tblPr>
      <w:tblGrid>
        <w:gridCol w:w="8640"/>
      </w:tblGrid>
      <w:tr w:rsidTr="0088024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RANGE STATEMENT</w:t>
            </w:r>
          </w:p>
        </w:tc>
      </w:tr>
      <w:tr w:rsidTr="008802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8</w:t>
            </w:r>
            <w:r w:rsidRPr="00EB6C2E">
              <w:t>) This relates to the unit of competency as a whole providing the range of contexts and conditions to which the performance criteria apply. It allows for different work environments and situations that will affect performance.</w:t>
            </w:r>
          </w:p>
        </w:tc>
      </w:tr>
      <w:tr w:rsidTr="008802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This Competency Standard Uni</w:t>
            </w:r>
            <w:r w:rsidRPr="00EB6C2E">
              <w:t xml:space="preserve">t shall/may be demonstrated in relation to the laying of cables for electrical purposes and includes the laying of ducts and/or conduit for electrical cables. </w:t>
            </w:r>
          </w:p>
          <w:p w:rsidR="00000000" w:rsidRPr="00EB6C2E" w:rsidP="00EB6C2E">
            <w:pPr>
              <w:pStyle w:val="BodyText"/>
            </w:pPr>
            <w:r w:rsidRPr="00EB6C2E">
              <w:t>The unit includes the laying of cables direct in trenches, on racks, in troughs and /or in condu</w:t>
            </w:r>
            <w:r w:rsidRPr="00EB6C2E">
              <w:t xml:space="preserve">it or ducts. </w:t>
            </w:r>
          </w:p>
          <w:p w:rsidR="00000000" w:rsidRPr="00EB6C2E" w:rsidP="00EB6C2E">
            <w:pPr>
              <w:pStyle w:val="BodyText"/>
            </w:pPr>
            <w:r w:rsidRPr="00EB6C2E">
              <w:t>It also encompasses cable pulling methods, pulling tensions, minimum bending radii, reduction of frictional forces, use of supporting plant (e.g. dynamometers, rigging, winches, etc), working on FRC, PVC, A/C ducted systems and the cutting an</w:t>
            </w:r>
            <w:r w:rsidRPr="00EB6C2E">
              <w:t>d sealing of cables.</w:t>
            </w:r>
          </w:p>
          <w:p w:rsidR="00000000" w:rsidRPr="00EB6C2E" w:rsidP="00EB6C2E">
            <w:pPr>
              <w:pStyle w:val="BodyText"/>
            </w:pPr>
            <w:r w:rsidRPr="00EB6C2E">
              <w:t>The following constants and variables included in the element/performance criteria in this unit are fully described in the Definitions Section 1 of this volume and form an integral part of the Range Statement of this unit:</w:t>
            </w:r>
          </w:p>
          <w:p w:rsidR="00000000" w:rsidRPr="00EB6C2E" w:rsidP="00EB6C2E">
            <w:pPr>
              <w:pStyle w:val="ListBullet2"/>
            </w:pPr>
            <w:r w:rsidRPr="00EB6C2E">
              <w:t>Appropriate</w:t>
            </w:r>
            <w:r w:rsidRPr="00EB6C2E">
              <w:t xml:space="preserve"> and relevant persons (see Personnel)</w:t>
            </w:r>
          </w:p>
          <w:p w:rsidR="00000000" w:rsidRPr="00EB6C2E" w:rsidP="00EB6C2E">
            <w:pPr>
              <w:pStyle w:val="ListBullet2"/>
            </w:pPr>
            <w:r w:rsidRPr="00EB6C2E">
              <w:t xml:space="preserve">Appropriate authorities </w:t>
            </w:r>
          </w:p>
          <w:p w:rsidR="00000000" w:rsidRPr="00EB6C2E" w:rsidP="00EB6C2E">
            <w:pPr>
              <w:pStyle w:val="ListBullet2"/>
            </w:pPr>
            <w:r w:rsidRPr="00EB6C2E">
              <w:t>Appropriate work platform</w:t>
            </w:r>
          </w:p>
          <w:p w:rsidR="00000000" w:rsidRPr="00EB6C2E" w:rsidP="00EB6C2E">
            <w:pPr>
              <w:pStyle w:val="ListBullet2"/>
            </w:pPr>
            <w:r w:rsidRPr="00EB6C2E">
              <w:t>Assessing risk</w:t>
            </w:r>
          </w:p>
          <w:p w:rsidR="00000000" w:rsidRPr="00EB6C2E" w:rsidP="00EB6C2E">
            <w:pPr>
              <w:pStyle w:val="ListBullet2"/>
            </w:pPr>
            <w:r w:rsidRPr="00EB6C2E">
              <w:t>Assessment</w:t>
            </w:r>
          </w:p>
          <w:p w:rsidR="00000000" w:rsidRPr="00EB6C2E" w:rsidP="00EB6C2E">
            <w:pPr>
              <w:pStyle w:val="ListBullet2"/>
            </w:pPr>
            <w:r w:rsidRPr="00EB6C2E">
              <w:t xml:space="preserve">Authorisation </w:t>
            </w:r>
          </w:p>
          <w:p w:rsidR="00000000" w:rsidRPr="00EB6C2E" w:rsidP="00EB6C2E">
            <w:pPr>
              <w:pStyle w:val="ListBullet2"/>
            </w:pPr>
            <w:r w:rsidRPr="00EB6C2E">
              <w:t>Confined space</w:t>
            </w:r>
          </w:p>
          <w:p w:rsidR="00000000" w:rsidRPr="00EB6C2E" w:rsidP="00EB6C2E">
            <w:pPr>
              <w:pStyle w:val="ListBullet2"/>
            </w:pPr>
            <w:r w:rsidRPr="00EB6C2E">
              <w:t>Documenting detail work events, record keeping and or storage of information.</w:t>
            </w:r>
          </w:p>
          <w:p w:rsidR="00000000" w:rsidRPr="00EB6C2E" w:rsidP="00EB6C2E">
            <w:pPr>
              <w:pStyle w:val="ListBullet2"/>
            </w:pPr>
            <w:r w:rsidRPr="00EB6C2E">
              <w:t xml:space="preserve">Drawings and specifications </w:t>
            </w:r>
          </w:p>
          <w:p w:rsidR="00000000" w:rsidRPr="00EB6C2E" w:rsidP="00EB6C2E">
            <w:pPr>
              <w:pStyle w:val="ListBullet2"/>
            </w:pPr>
            <w:r w:rsidRPr="00EB6C2E">
              <w:t>Emergency</w:t>
            </w:r>
          </w:p>
          <w:p w:rsidR="00000000" w:rsidRPr="00EB6C2E" w:rsidP="00EB6C2E">
            <w:pPr>
              <w:pStyle w:val="ListBullet2"/>
            </w:pPr>
            <w:r w:rsidRPr="00EB6C2E">
              <w:t>Environmental and sustainable energy procedures</w:t>
            </w:r>
          </w:p>
          <w:p w:rsidR="00000000" w:rsidRPr="00EB6C2E" w:rsidP="00EB6C2E">
            <w:pPr>
              <w:pStyle w:val="ListBullet2"/>
            </w:pPr>
            <w:r w:rsidRPr="00EB6C2E">
              <w:t>Environmental legislation</w:t>
            </w:r>
          </w:p>
          <w:p w:rsidR="00000000" w:rsidRPr="00EB6C2E" w:rsidP="00EB6C2E">
            <w:pPr>
              <w:pStyle w:val="ListBullet2"/>
            </w:pPr>
            <w:r w:rsidRPr="00EB6C2E">
              <w:t>Environmental management documentation</w:t>
            </w:r>
          </w:p>
          <w:p w:rsidR="00000000" w:rsidRPr="00EB6C2E" w:rsidP="00EB6C2E">
            <w:pPr>
              <w:pStyle w:val="ListBullet2"/>
            </w:pPr>
            <w:r w:rsidRPr="00EB6C2E">
              <w:t>Established procedures</w:t>
            </w:r>
          </w:p>
          <w:p w:rsidR="00000000" w:rsidRPr="00EB6C2E" w:rsidP="00EB6C2E">
            <w:pPr>
              <w:pStyle w:val="ListBullet2"/>
            </w:pPr>
            <w:r w:rsidRPr="00EB6C2E">
              <w:t>Fall prevention</w:t>
            </w:r>
          </w:p>
          <w:p w:rsidR="00000000" w:rsidRPr="00EB6C2E" w:rsidP="00EB6C2E">
            <w:pPr>
              <w:pStyle w:val="ListBullet2"/>
            </w:pPr>
            <w:r w:rsidRPr="00EB6C2E">
              <w:t>Hazards</w:t>
            </w:r>
          </w:p>
          <w:p w:rsidR="00000000" w:rsidRPr="00EB6C2E" w:rsidP="00EB6C2E">
            <w:pPr>
              <w:pStyle w:val="ListBullet2"/>
            </w:pPr>
            <w:r w:rsidRPr="00EB6C2E">
              <w:t>Identifying hazards</w:t>
            </w:r>
          </w:p>
          <w:p w:rsidR="00000000" w:rsidRPr="00EB6C2E" w:rsidP="00EB6C2E">
            <w:pPr>
              <w:pStyle w:val="ListBullet2"/>
            </w:pPr>
            <w:r w:rsidRPr="00EB6C2E">
              <w:t>Inspect</w:t>
            </w:r>
          </w:p>
          <w:p w:rsidR="00000000" w:rsidRPr="00EB6C2E" w:rsidP="00EB6C2E">
            <w:pPr>
              <w:pStyle w:val="ListBullet2"/>
            </w:pPr>
            <w:r w:rsidRPr="00EB6C2E">
              <w:t>Legislation</w:t>
            </w:r>
          </w:p>
          <w:p w:rsidR="00000000" w:rsidRPr="00EB6C2E" w:rsidP="00EB6C2E">
            <w:pPr>
              <w:pStyle w:val="ListBullet2"/>
            </w:pPr>
            <w:r w:rsidRPr="00EB6C2E">
              <w:t>MSDS</w:t>
            </w:r>
          </w:p>
          <w:p w:rsidR="00000000" w:rsidRPr="00EB6C2E" w:rsidP="00EB6C2E">
            <w:pPr>
              <w:pStyle w:val="ListBullet2"/>
            </w:pPr>
            <w:r w:rsidRPr="00EB6C2E">
              <w:t>Notification</w:t>
            </w:r>
          </w:p>
          <w:p w:rsidR="00000000" w:rsidRPr="00EB6C2E" w:rsidP="00EB6C2E">
            <w:pPr>
              <w:pStyle w:val="ListBullet2"/>
            </w:pPr>
            <w:r w:rsidRPr="00EB6C2E">
              <w:t>OHS practices</w:t>
            </w:r>
          </w:p>
          <w:p w:rsidR="00000000" w:rsidRPr="00EB6C2E" w:rsidP="00EB6C2E">
            <w:pPr>
              <w:pStyle w:val="ListBullet2"/>
            </w:pPr>
            <w:r w:rsidRPr="00EB6C2E">
              <w:t>OHS issues</w:t>
            </w:r>
          </w:p>
          <w:p w:rsidR="00000000" w:rsidRPr="00EB6C2E" w:rsidP="00EB6C2E">
            <w:pPr>
              <w:pStyle w:val="ListBullet2"/>
            </w:pPr>
            <w:r w:rsidRPr="00EB6C2E">
              <w:t>Permits and/or permits to work</w:t>
            </w:r>
          </w:p>
          <w:p w:rsidR="00000000" w:rsidRPr="00EB6C2E" w:rsidP="00EB6C2E">
            <w:pPr>
              <w:pStyle w:val="ListBullet2"/>
            </w:pPr>
            <w:r w:rsidRPr="00EB6C2E">
              <w:t>Personnel</w:t>
            </w:r>
          </w:p>
        </w:tc>
      </w:tr>
    </w:tbl>
    <w:p w:rsidR="00880245" w:rsidP="00EB6C2E">
      <w:pPr>
        <w:pStyle w:val="BodyText"/>
      </w:pPr>
    </w:p>
    <w:p w:rsidR="00880245" w:rsidP="00EB6C2E">
      <w:pPr>
        <w:pStyle w:val="BodyText"/>
      </w:pPr>
    </w:p>
    <w:p w:rsidR="00000000" w:rsidRPr="00EB6C2E" w:rsidP="00EB6C2E">
      <w:pPr>
        <w:pStyle w:val="Heading1"/>
      </w:pPr>
      <w:bookmarkStart w:id="12" w:name="O_297105"/>
      <w:bookmarkEnd w:id="12"/>
      <w:r w:rsidRPr="00EB6C2E">
        <w:t>Unit Sector(s)</w:t>
      </w:r>
    </w:p>
    <w:p w:rsidR="00000000" w:rsidRPr="00EB6C2E" w:rsidP="00EB6C2E">
      <w:pPr>
        <w:pStyle w:val="BodyText"/>
      </w:pPr>
      <w:r w:rsidRPr="00EB6C2E">
        <w:t>Not Applicable</w:t>
      </w:r>
    </w:p>
    <w:p w:rsidR="00000000" w:rsidRPr="00EB6C2E" w:rsidP="00EB6C2E">
      <w:pPr>
        <w:pStyle w:val="AllowPageBreak"/>
      </w:pPr>
    </w:p>
    <w:p w:rsidR="00000000" w:rsidRPr="00EB6C2E" w:rsidP="00EB6C2E">
      <w:pPr>
        <w:pStyle w:val="Heading1"/>
      </w:pPr>
      <w:bookmarkStart w:id="13" w:name="O_231028"/>
      <w:bookmarkEnd w:id="13"/>
      <w:r w:rsidRPr="00EB6C2E">
        <w:t>Custom Content Section</w:t>
      </w:r>
    </w:p>
    <w:tbl>
      <w:tblPr>
        <w:tblW w:w="0" w:type="auto"/>
        <w:tblLayout w:type="fixed"/>
        <w:tblCellMar>
          <w:left w:w="62" w:type="dxa"/>
          <w:right w:w="62" w:type="dxa"/>
        </w:tblCellMar>
        <w:tblLook w:val="0000"/>
      </w:tblPr>
      <w:tblGrid>
        <w:gridCol w:w="1570"/>
        <w:gridCol w:w="1833"/>
        <w:gridCol w:w="1571"/>
        <w:gridCol w:w="1171"/>
        <w:gridCol w:w="1705"/>
        <w:gridCol w:w="790"/>
      </w:tblGrid>
      <w:tr w:rsidTr="0088024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2</w:t>
            </w:r>
            <w:r w:rsidRPr="00EB6C2E">
              <w:t>.</w:t>
            </w:r>
            <w:r w:rsidRPr="00EB6C2E">
              <w:rPr>
                <w:rStyle w:val="SpecialBold"/>
              </w:rPr>
              <w:t>2</w:t>
            </w:r>
            <w:r w:rsidRPr="00EB6C2E">
              <w:t xml:space="preserve">) </w:t>
            </w:r>
            <w:r w:rsidRPr="00EB6C2E">
              <w:rPr>
                <w:rStyle w:val="SpecialBold"/>
              </w:rPr>
              <w:t>Literacy and numeracy skills</w:t>
            </w:r>
          </w:p>
          <w:p w:rsidR="00000000" w:rsidP="00EB6C2E">
            <w:pPr>
              <w:pStyle w:val="BodyText"/>
              <w:rPr>
                <w:lang w:val="en-NZ"/>
              </w:rPr>
            </w:pPr>
            <w:r w:rsidRPr="00EB6C2E">
              <w:t>Participants are best equipped to achieve this unit if they have reading, writing and numer</w:t>
            </w:r>
            <w:r w:rsidRPr="00EB6C2E">
              <w:t>acy skills indicated by the following scales. Description of each scale is given in Volume 2, Part 3 "Literacy and Numeracy"</w:t>
            </w:r>
          </w:p>
        </w:tc>
      </w:tr>
      <w:tr w:rsidTr="00880245">
        <w:tblPrEx>
          <w:tblW w:w="0" w:type="auto"/>
          <w:tblLayout w:type="fixed"/>
          <w:tblCellMar>
            <w:left w:w="62" w:type="dxa"/>
            <w:right w:w="62" w:type="dxa"/>
          </w:tblCellMar>
          <w:tblLook w:val="0000"/>
        </w:tblPrEx>
        <w:tc>
          <w:tcPr>
            <w:tcW w:w="157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Reading</w:t>
            </w:r>
          </w:p>
        </w:tc>
        <w:tc>
          <w:tcPr>
            <w:tcW w:w="1833"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w:t>
            </w:r>
          </w:p>
        </w:tc>
        <w:tc>
          <w:tcPr>
            <w:tcW w:w="15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Writing</w:t>
            </w:r>
          </w:p>
        </w:tc>
        <w:tc>
          <w:tcPr>
            <w:tcW w:w="1171"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3</w:t>
            </w:r>
          </w:p>
        </w:tc>
        <w:tc>
          <w:tcPr>
            <w:tcW w:w="1705"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t>Numeracy</w:t>
            </w:r>
          </w:p>
        </w:tc>
        <w:tc>
          <w:tcPr>
            <w:tcW w:w="79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3</w:t>
            </w:r>
          </w:p>
        </w:tc>
      </w:tr>
    </w:tbl>
    <w:p w:rsidR="00880245" w:rsidP="00EB6C2E">
      <w:pPr>
        <w:pStyle w:val="BodyText"/>
      </w:pPr>
    </w:p>
    <w:p w:rsidR="00880245" w:rsidP="00EB6C2E">
      <w:pPr>
        <w:pStyle w:val="BodyText"/>
      </w:pPr>
    </w:p>
    <w:p w:rsidR="00000000" w:rsidRPr="00EB6C2E" w:rsidP="00EB6C2E">
      <w:pPr>
        <w:pStyle w:val="Heading1"/>
      </w:pPr>
      <w:bookmarkStart w:id="14" w:name="O_231031"/>
      <w:bookmarkEnd w:id="14"/>
      <w:r w:rsidRPr="00EB6C2E">
        <w:t>Competency Field</w:t>
      </w:r>
    </w:p>
    <w:tbl>
      <w:tblPr>
        <w:tblW w:w="0" w:type="auto"/>
        <w:tblLayout w:type="fixed"/>
        <w:tblCellMar>
          <w:left w:w="62" w:type="dxa"/>
          <w:right w:w="62" w:type="dxa"/>
        </w:tblCellMar>
        <w:tblLook w:val="0000"/>
      </w:tblPr>
      <w:tblGrid>
        <w:gridCol w:w="2700"/>
        <w:gridCol w:w="5940"/>
      </w:tblGrid>
      <w:tr w:rsidTr="008802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EB6C2E">
            <w:pPr>
              <w:pStyle w:val="BodyText"/>
              <w:rPr>
                <w:lang w:val="en-NZ"/>
              </w:rPr>
            </w:pPr>
            <w:r w:rsidRPr="00EB6C2E">
              <w:rPr>
                <w:rStyle w:val="SpecialBold"/>
              </w:rPr>
              <w:t>5</w:t>
            </w:r>
            <w:r w:rsidRPr="00EB6C2E">
              <w:t>)</w:t>
            </w:r>
          </w:p>
        </w:tc>
      </w:tr>
      <w:tr w:rsidTr="008802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EB6C2E" w:rsidP="00EB6C2E">
            <w:pPr>
              <w:pStyle w:val="BodyText"/>
            </w:pPr>
            <w:r w:rsidRPr="00EB6C2E">
              <w:t>Cable Jointing</w:t>
            </w:r>
          </w:p>
        </w:tc>
      </w:tr>
    </w:tbl>
    <w:p w:rsidR="00880245" w:rsidP="00EB6C2E">
      <w:pPr>
        <w:pStyle w:val="BodyText"/>
      </w:pPr>
    </w:p>
    <w:p w:rsidR="00880245" w:rsidP="00EB6C2E">
      <w:pPr>
        <w:pStyle w:val="BodyText"/>
      </w:pPr>
    </w:p>
    <w:p w:rsidR="00000000" w:rsidRPr="00EB6C2E" w:rsidP="00EB6C2E"/>
    <w:sectPr w:rsidSect="00EB6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0245" w:rsidP="00880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45" w:rsidP="00EB6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80245" w:rsidP="00EB6C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0245" w:rsidP="00EB6C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0245" w:rsidP="008802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45" w:rsidP="00EB6C2E">
    <w:pPr>
      <w:pStyle w:val="Header"/>
      <w:framePr w:wrap="around"/>
    </w:pPr>
    <w:r>
      <w:fldChar w:fldCharType="begin"/>
    </w:r>
    <w:r>
      <w:instrText xml:space="preserve"> TITLE   \* MERGEFORMAT </w:instrText>
    </w:r>
    <w:r>
      <w:fldChar w:fldCharType="separate"/>
    </w:r>
    <w:r>
      <w:t>UETTDRCJ01B Lay electrical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0245" w:rsidP="00EB6C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168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34B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A0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C2E"/>
    <w:pPr>
      <w:spacing w:before="360" w:after="60"/>
      <w:outlineLvl w:val="0"/>
    </w:pPr>
    <w:rPr>
      <w:sz w:val="32"/>
    </w:rPr>
  </w:style>
  <w:style w:type="paragraph" w:styleId="Heading2">
    <w:name w:val="heading 2"/>
    <w:basedOn w:val="HeadingBase"/>
    <w:next w:val="BodyText"/>
    <w:link w:val="Heading2Char"/>
    <w:qFormat/>
    <w:rsid w:val="00EB6C2E"/>
    <w:pPr>
      <w:keepLines/>
      <w:spacing w:before="240" w:after="120"/>
      <w:outlineLvl w:val="1"/>
    </w:pPr>
    <w:rPr>
      <w:sz w:val="28"/>
      <w:szCs w:val="40"/>
    </w:rPr>
  </w:style>
  <w:style w:type="paragraph" w:styleId="Heading3">
    <w:name w:val="heading 3"/>
    <w:basedOn w:val="HeadingBase"/>
    <w:next w:val="BodyText"/>
    <w:link w:val="Heading3Char"/>
    <w:qFormat/>
    <w:rsid w:val="00EB6C2E"/>
    <w:pPr>
      <w:spacing w:before="180" w:after="120"/>
      <w:outlineLvl w:val="2"/>
    </w:pPr>
    <w:rPr>
      <w:spacing w:val="-10"/>
      <w:kern w:val="32"/>
    </w:rPr>
  </w:style>
  <w:style w:type="paragraph" w:styleId="Heading4">
    <w:name w:val="heading 4"/>
    <w:basedOn w:val="HeadingBase"/>
    <w:next w:val="BodyText"/>
    <w:link w:val="Heading4Char"/>
    <w:qFormat/>
    <w:rsid w:val="00EB6C2E"/>
    <w:pPr>
      <w:spacing w:before="160" w:after="120"/>
      <w:outlineLvl w:val="3"/>
    </w:pPr>
    <w:rPr>
      <w:sz w:val="22"/>
    </w:rPr>
  </w:style>
  <w:style w:type="paragraph" w:styleId="Heading5">
    <w:name w:val="heading 5"/>
    <w:basedOn w:val="HeadingBase"/>
    <w:next w:val="Normal"/>
    <w:link w:val="Heading5Char"/>
    <w:qFormat/>
    <w:rsid w:val="00EB6C2E"/>
    <w:pPr>
      <w:spacing w:before="80"/>
      <w:outlineLvl w:val="4"/>
    </w:pPr>
    <w:rPr>
      <w:color w:val="918585"/>
      <w:sz w:val="20"/>
    </w:rPr>
  </w:style>
  <w:style w:type="paragraph" w:styleId="Heading6">
    <w:name w:val="heading 6"/>
    <w:basedOn w:val="HeadingBase"/>
    <w:next w:val="Normal"/>
    <w:link w:val="Heading6Char"/>
    <w:qFormat/>
    <w:rsid w:val="00EB6C2E"/>
    <w:pPr>
      <w:spacing w:before="60"/>
      <w:outlineLvl w:val="5"/>
    </w:pPr>
    <w:rPr>
      <w:color w:val="918585"/>
      <w:sz w:val="20"/>
    </w:rPr>
  </w:style>
  <w:style w:type="paragraph" w:styleId="Heading7">
    <w:name w:val="heading 7"/>
    <w:basedOn w:val="Normal"/>
    <w:next w:val="Normal"/>
    <w:link w:val="Heading7Char"/>
    <w:qFormat/>
    <w:rsid w:val="00EB6C2E"/>
    <w:pPr>
      <w:ind w:left="720"/>
      <w:outlineLvl w:val="6"/>
    </w:pPr>
    <w:rPr>
      <w:i/>
    </w:rPr>
  </w:style>
  <w:style w:type="paragraph" w:styleId="Heading8">
    <w:name w:val="heading 8"/>
    <w:basedOn w:val="Normal"/>
    <w:next w:val="Normal"/>
    <w:link w:val="Heading8Char"/>
    <w:qFormat/>
    <w:rsid w:val="00EB6C2E"/>
    <w:pPr>
      <w:ind w:left="720"/>
      <w:outlineLvl w:val="7"/>
    </w:pPr>
    <w:rPr>
      <w:i/>
    </w:rPr>
  </w:style>
  <w:style w:type="paragraph" w:styleId="Heading9">
    <w:name w:val="heading 9"/>
    <w:basedOn w:val="Normal"/>
    <w:next w:val="Normal"/>
    <w:link w:val="Heading9Char"/>
    <w:qFormat/>
    <w:rsid w:val="00EB6C2E"/>
    <w:pPr>
      <w:ind w:left="720"/>
      <w:outlineLvl w:val="8"/>
    </w:pPr>
    <w:rPr>
      <w:i/>
    </w:rPr>
  </w:style>
  <w:style w:type="character" w:default="1" w:styleId="DefaultParagraphFont">
    <w:name w:val="Default Paragraph Font"/>
    <w:uiPriority w:val="1"/>
    <w:unhideWhenUsed/>
    <w:rsid w:val="00EB6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C2E"/>
  </w:style>
  <w:style w:type="character" w:customStyle="1" w:styleId="Heading1Char">
    <w:name w:val="Heading 1 Char"/>
    <w:basedOn w:val="DefaultParagraphFont"/>
    <w:link w:val="Heading1"/>
    <w:rsid w:val="00EB6C2E"/>
    <w:rPr>
      <w:rFonts w:ascii="Times New Roman" w:eastAsia="Times New Roman" w:hAnsi="Times New Roman" w:cs="Times New Roman"/>
      <w:b/>
      <w:sz w:val="32"/>
      <w:szCs w:val="20"/>
      <w:lang w:eastAsia="en-US"/>
    </w:rPr>
  </w:style>
  <w:style w:type="paragraph" w:styleId="BodyText">
    <w:name w:val="Body Text"/>
    <w:basedOn w:val="Normal"/>
    <w:link w:val="BodyTextChar"/>
    <w:rsid w:val="00EB6C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C2E"/>
    <w:rPr>
      <w:rFonts w:ascii="Times New Roman" w:eastAsia="Times New Roman" w:hAnsi="Times New Roman" w:cs="Times New Roman"/>
      <w:sz w:val="24"/>
      <w:lang w:val="en-US" w:eastAsia="en-US"/>
    </w:rPr>
  </w:style>
  <w:style w:type="paragraph" w:styleId="Footer">
    <w:name w:val="footer"/>
    <w:basedOn w:val="Normal"/>
    <w:link w:val="FooterChar"/>
    <w:rsid w:val="00EB6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C2E"/>
    <w:rPr>
      <w:rFonts w:ascii="Times New Roman" w:eastAsia="Times New Roman" w:hAnsi="Times New Roman" w:cs="Times New Roman"/>
      <w:sz w:val="16"/>
      <w:lang w:val="en-US" w:eastAsia="en-US"/>
    </w:rPr>
  </w:style>
  <w:style w:type="paragraph" w:styleId="ListBullet">
    <w:name w:val="List Bullet"/>
    <w:basedOn w:val="List"/>
    <w:rsid w:val="00EB6C2E"/>
    <w:pPr>
      <w:numPr>
        <w:numId w:val="13"/>
      </w:numPr>
      <w:tabs>
        <w:tab w:val="clear" w:pos="340"/>
      </w:tabs>
      <w:spacing w:before="40" w:after="40"/>
    </w:pPr>
  </w:style>
  <w:style w:type="character" w:customStyle="1" w:styleId="SpecialBold">
    <w:name w:val="Special Bold"/>
    <w:basedOn w:val="DefaultParagraphFont"/>
    <w:rsid w:val="00EB6C2E"/>
    <w:rPr>
      <w:b/>
      <w:spacing w:val="0"/>
    </w:rPr>
  </w:style>
  <w:style w:type="paragraph" w:styleId="ListBullet2">
    <w:name w:val="List Bullet 2"/>
    <w:basedOn w:val="List2"/>
    <w:rsid w:val="00EB6C2E"/>
    <w:pPr>
      <w:numPr>
        <w:numId w:val="14"/>
      </w:numPr>
      <w:tabs>
        <w:tab w:val="clear" w:pos="680"/>
      </w:tabs>
    </w:pPr>
  </w:style>
  <w:style w:type="paragraph" w:styleId="Header">
    <w:name w:val="header"/>
    <w:basedOn w:val="Normal"/>
    <w:link w:val="HeaderChar"/>
    <w:rsid w:val="00EB6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C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6C2E"/>
    <w:pPr>
      <w:spacing w:before="240" w:after="120"/>
      <w:outlineLvl w:val="0"/>
    </w:pPr>
    <w:rPr>
      <w:rFonts w:ascii="Times New Roman" w:hAnsi="Times New Roman"/>
      <w:b/>
      <w:sz w:val="28"/>
    </w:rPr>
  </w:style>
  <w:style w:type="paragraph" w:customStyle="1" w:styleId="AllowPageBreak">
    <w:name w:val="AllowPageBreak"/>
    <w:rsid w:val="00EB6C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C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C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C2E"/>
    <w:rPr>
      <w:rFonts w:ascii="Courier New" w:eastAsia="Times New Roman" w:hAnsi="Courier New" w:cs="Times New Roman"/>
      <w:i/>
      <w:szCs w:val="20"/>
      <w:lang w:val="en-US" w:eastAsia="en-US"/>
    </w:rPr>
  </w:style>
  <w:style w:type="paragraph" w:customStyle="1" w:styleId="HeadingBase">
    <w:name w:val="Heading Base"/>
    <w:rsid w:val="00EB6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C2E"/>
    <w:pPr>
      <w:tabs>
        <w:tab w:val="right" w:leader="dot" w:pos="9072"/>
      </w:tabs>
      <w:ind w:left="567"/>
    </w:pPr>
    <w:rPr>
      <w:szCs w:val="22"/>
    </w:rPr>
  </w:style>
  <w:style w:type="paragraph" w:customStyle="1" w:styleId="TOCBase">
    <w:name w:val="TOC Base"/>
    <w:rsid w:val="00EB6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C2E"/>
    <w:pPr>
      <w:tabs>
        <w:tab w:val="right" w:leader="dot" w:pos="9072"/>
      </w:tabs>
      <w:spacing w:before="40" w:after="40"/>
      <w:ind w:left="284"/>
    </w:pPr>
    <w:rPr>
      <w:rFonts w:ascii="Times New Roman" w:hAnsi="Times New Roman"/>
    </w:rPr>
  </w:style>
  <w:style w:type="paragraph" w:styleId="TOC1">
    <w:name w:val="toc 1"/>
    <w:basedOn w:val="TOCBase"/>
    <w:next w:val="Normal"/>
    <w:rsid w:val="00EB6C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C2E"/>
    <w:pPr>
      <w:spacing w:before="5040"/>
      <w:jc w:val="center"/>
    </w:pPr>
    <w:rPr>
      <w:sz w:val="48"/>
      <w:szCs w:val="72"/>
      <w:lang w:val="en-US"/>
    </w:rPr>
  </w:style>
  <w:style w:type="character" w:customStyle="1" w:styleId="TitleChar">
    <w:name w:val="Title Char"/>
    <w:basedOn w:val="DefaultParagraphFont"/>
    <w:link w:val="Title"/>
    <w:rsid w:val="00EB6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C2E"/>
    <w:pPr>
      <w:tabs>
        <w:tab w:val="left" w:pos="3600"/>
        <w:tab w:val="left" w:pos="3958"/>
      </w:tabs>
    </w:pPr>
  </w:style>
  <w:style w:type="paragraph" w:styleId="List">
    <w:name w:val="List"/>
    <w:basedOn w:val="BodyText"/>
    <w:next w:val="BodyText"/>
    <w:rsid w:val="00EB6C2E"/>
    <w:pPr>
      <w:tabs>
        <w:tab w:val="left" w:pos="340"/>
      </w:tabs>
      <w:spacing w:before="60" w:after="60"/>
      <w:ind w:left="340" w:hanging="340"/>
    </w:pPr>
  </w:style>
  <w:style w:type="paragraph" w:customStyle="1" w:styleId="Note">
    <w:name w:val="Note"/>
    <w:basedOn w:val="BodyText"/>
    <w:rsid w:val="00EB6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C2E"/>
    <w:pPr>
      <w:framePr w:wrap="auto" w:hAnchor="text" w:y="6049"/>
    </w:pPr>
    <w:rPr>
      <w:color w:val="000000"/>
      <w:sz w:val="40"/>
    </w:rPr>
  </w:style>
  <w:style w:type="paragraph" w:customStyle="1" w:styleId="TOCTitle">
    <w:name w:val="TOCTitle"/>
    <w:basedOn w:val="Heading1"/>
    <w:rsid w:val="00EB6C2E"/>
    <w:pPr>
      <w:spacing w:after="240"/>
      <w:jc w:val="center"/>
      <w:outlineLvl w:val="9"/>
    </w:pPr>
    <w:rPr>
      <w:caps/>
    </w:rPr>
  </w:style>
  <w:style w:type="paragraph" w:customStyle="1" w:styleId="Version">
    <w:name w:val="Version"/>
    <w:rsid w:val="00EB6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C2E"/>
    <w:pPr>
      <w:keepNext w:val="0"/>
      <w:tabs>
        <w:tab w:val="right" w:pos="4176"/>
      </w:tabs>
      <w:ind w:left="198" w:hanging="198"/>
    </w:pPr>
    <w:rPr>
      <w:rFonts w:ascii="Garamond" w:hAnsi="Garamond"/>
    </w:rPr>
  </w:style>
  <w:style w:type="paragraph" w:styleId="IndexHeading">
    <w:name w:val="index heading"/>
    <w:basedOn w:val="Normal"/>
    <w:next w:val="Index1"/>
    <w:semiHidden/>
    <w:rsid w:val="00EB6C2E"/>
    <w:pPr>
      <w:spacing w:before="120" w:after="120"/>
    </w:pPr>
    <w:rPr>
      <w:rFonts w:ascii="Arial" w:hAnsi="Arial"/>
      <w:b/>
      <w:color w:val="918585"/>
      <w:sz w:val="24"/>
    </w:rPr>
  </w:style>
  <w:style w:type="paragraph" w:customStyle="1" w:styleId="Chapter">
    <w:name w:val="Chapter"/>
    <w:basedOn w:val="Normal"/>
    <w:rsid w:val="00EB6C2E"/>
    <w:pPr>
      <w:spacing w:before="240"/>
    </w:pPr>
    <w:rPr>
      <w:rFonts w:ascii="Times New Roman" w:hAnsi="Times New Roman"/>
      <w:smallCaps/>
      <w:spacing w:val="80"/>
      <w:sz w:val="28"/>
    </w:rPr>
  </w:style>
  <w:style w:type="paragraph" w:customStyle="1" w:styleId="InChapter">
    <w:name w:val="InChapter"/>
    <w:basedOn w:val="Heading3"/>
    <w:rsid w:val="00EB6C2E"/>
    <w:pPr>
      <w:spacing w:after="240"/>
      <w:outlineLvl w:val="9"/>
    </w:pPr>
    <w:rPr>
      <w:noProof/>
    </w:rPr>
  </w:style>
  <w:style w:type="paragraph" w:styleId="Index2">
    <w:name w:val="index 2"/>
    <w:basedOn w:val="Normal"/>
    <w:next w:val="Normal"/>
    <w:semiHidden/>
    <w:rsid w:val="00EB6C2E"/>
    <w:pPr>
      <w:tabs>
        <w:tab w:val="right" w:pos="4176"/>
      </w:tabs>
      <w:ind w:left="568" w:hanging="284"/>
    </w:pPr>
    <w:rPr>
      <w:rFonts w:ascii="Garamond" w:hAnsi="Garamond"/>
    </w:rPr>
  </w:style>
  <w:style w:type="paragraph" w:customStyle="1" w:styleId="Byline">
    <w:name w:val="Byline"/>
    <w:rsid w:val="00EB6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C2E"/>
    <w:pPr>
      <w:tabs>
        <w:tab w:val="clear" w:pos="3600"/>
        <w:tab w:val="clear" w:pos="3958"/>
      </w:tabs>
      <w:jc w:val="right"/>
    </w:pPr>
  </w:style>
  <w:style w:type="character" w:styleId="Emphasis">
    <w:name w:val="Emphasis"/>
    <w:basedOn w:val="DefaultParagraphFont"/>
    <w:qFormat/>
    <w:rsid w:val="00EB6C2E"/>
    <w:rPr>
      <w:i/>
    </w:rPr>
  </w:style>
  <w:style w:type="paragraph" w:styleId="Caption">
    <w:name w:val="caption"/>
    <w:basedOn w:val="BodyText"/>
    <w:next w:val="Normal"/>
    <w:qFormat/>
    <w:rsid w:val="00EB6C2E"/>
    <w:pPr>
      <w:framePr w:w="2268" w:hSpace="181" w:vSpace="181" w:wrap="around" w:vAnchor="text" w:hAnchor="page" w:x="1135" w:y="285" w:anchorLock="1"/>
    </w:pPr>
    <w:rPr>
      <w:i/>
    </w:rPr>
  </w:style>
  <w:style w:type="paragraph" w:customStyle="1" w:styleId="MiniTOCTitle">
    <w:name w:val="MiniTOCTitle"/>
    <w:basedOn w:val="Heading4"/>
    <w:rsid w:val="00EB6C2E"/>
    <w:pPr>
      <w:spacing w:before="240"/>
      <w:outlineLvl w:val="9"/>
    </w:pPr>
    <w:rPr>
      <w:noProof/>
      <w:sz w:val="24"/>
    </w:rPr>
  </w:style>
  <w:style w:type="paragraph" w:customStyle="1" w:styleId="MiniTOCItem">
    <w:name w:val="MiniTOCItem"/>
    <w:basedOn w:val="ListBullet"/>
    <w:rsid w:val="00EB6C2E"/>
    <w:pPr>
      <w:numPr>
        <w:numId w:val="0"/>
      </w:numPr>
      <w:tabs>
        <w:tab w:val="right" w:leader="dot" w:pos="6521"/>
      </w:tabs>
      <w:spacing w:before="0" w:after="0"/>
    </w:pPr>
  </w:style>
  <w:style w:type="paragraph" w:customStyle="1" w:styleId="TOFTitle">
    <w:name w:val="TOFTitle"/>
    <w:basedOn w:val="TOCTitle"/>
    <w:rsid w:val="00EB6C2E"/>
  </w:style>
  <w:style w:type="paragraph" w:styleId="TableofFigures">
    <w:name w:val="table of figures"/>
    <w:basedOn w:val="Normal"/>
    <w:next w:val="Normal"/>
    <w:semiHidden/>
    <w:rsid w:val="00EB6C2E"/>
    <w:pPr>
      <w:tabs>
        <w:tab w:val="right" w:leader="dot" w:pos="9072"/>
      </w:tabs>
      <w:ind w:left="970" w:hanging="403"/>
    </w:pPr>
    <w:rPr>
      <w:rFonts w:ascii="Times New Roman" w:hAnsi="Times New Roman"/>
      <w:b/>
    </w:rPr>
  </w:style>
  <w:style w:type="paragraph" w:styleId="ListNumber">
    <w:name w:val="List Number"/>
    <w:basedOn w:val="List"/>
    <w:rsid w:val="00EB6C2E"/>
    <w:pPr>
      <w:numPr>
        <w:numId w:val="11"/>
      </w:numPr>
    </w:pPr>
  </w:style>
  <w:style w:type="character" w:customStyle="1" w:styleId="WingdingSymbols">
    <w:name w:val="Wingding Symbols"/>
    <w:rsid w:val="00EB6C2E"/>
    <w:rPr>
      <w:rFonts w:ascii="Wingdings" w:hAnsi="Wingdings"/>
    </w:rPr>
  </w:style>
  <w:style w:type="paragraph" w:customStyle="1" w:styleId="TableHeading">
    <w:name w:val="Table Heading"/>
    <w:basedOn w:val="HeadingBase"/>
    <w:rsid w:val="00EB6C2E"/>
    <w:pPr>
      <w:keepLines/>
      <w:pBdr>
        <w:bottom w:val="single" w:sz="6" w:space="1" w:color="918585"/>
      </w:pBdr>
      <w:spacing w:before="240"/>
    </w:pPr>
  </w:style>
  <w:style w:type="character" w:customStyle="1" w:styleId="HotSpot">
    <w:name w:val="HotSpot"/>
    <w:rsid w:val="00EB6C2E"/>
    <w:rPr>
      <w:color w:val="0033CC"/>
      <w:u w:val="none"/>
    </w:rPr>
  </w:style>
  <w:style w:type="paragraph" w:customStyle="1" w:styleId="BodyTextRight">
    <w:name w:val="Body Text Right"/>
    <w:basedOn w:val="BodyText"/>
    <w:rsid w:val="00EB6C2E"/>
    <w:pPr>
      <w:spacing w:before="0" w:after="0"/>
      <w:jc w:val="right"/>
    </w:pPr>
  </w:style>
  <w:style w:type="paragraph" w:styleId="Index3">
    <w:name w:val="index 3"/>
    <w:basedOn w:val="ListNumber2"/>
    <w:next w:val="Normal"/>
    <w:semiHidden/>
    <w:rsid w:val="00EB6C2E"/>
    <w:pPr>
      <w:numPr>
        <w:numId w:val="0"/>
      </w:numPr>
      <w:tabs>
        <w:tab w:val="right" w:leader="dot" w:pos="4176"/>
      </w:tabs>
    </w:pPr>
  </w:style>
  <w:style w:type="paragraph" w:styleId="ListNumber2">
    <w:name w:val="List Number 2"/>
    <w:basedOn w:val="List2"/>
    <w:rsid w:val="00EB6C2E"/>
    <w:pPr>
      <w:numPr>
        <w:numId w:val="10"/>
      </w:numPr>
      <w:tabs>
        <w:tab w:val="clear" w:pos="1060"/>
      </w:tabs>
    </w:pPr>
  </w:style>
  <w:style w:type="paragraph" w:customStyle="1" w:styleId="MarginNote">
    <w:name w:val="Margin Note"/>
    <w:basedOn w:val="BodyText"/>
    <w:rsid w:val="00EB6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C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C2E"/>
    <w:rPr>
      <w:sz w:val="32"/>
    </w:rPr>
  </w:style>
  <w:style w:type="paragraph" w:customStyle="1" w:styleId="HeadingProcedure">
    <w:name w:val="Heading Procedure"/>
    <w:basedOn w:val="HeadingBase"/>
    <w:next w:val="Normal"/>
    <w:rsid w:val="00EB6C2E"/>
    <w:pPr>
      <w:tabs>
        <w:tab w:val="left" w:pos="0"/>
      </w:tabs>
      <w:spacing w:before="120" w:after="60"/>
    </w:pPr>
    <w:rPr>
      <w:i/>
      <w:color w:val="918585"/>
      <w:sz w:val="22"/>
    </w:rPr>
  </w:style>
  <w:style w:type="paragraph" w:customStyle="1" w:styleId="TableBodyText">
    <w:name w:val="Table Body Text"/>
    <w:basedOn w:val="BodyText"/>
    <w:rsid w:val="00EB6C2E"/>
    <w:pPr>
      <w:spacing w:before="60" w:after="60"/>
    </w:pPr>
  </w:style>
  <w:style w:type="paragraph" w:styleId="ListContinue">
    <w:name w:val="List Continue"/>
    <w:basedOn w:val="List"/>
    <w:rsid w:val="00EB6C2E"/>
    <w:pPr>
      <w:ind w:firstLine="0"/>
    </w:pPr>
  </w:style>
  <w:style w:type="paragraph" w:customStyle="1" w:styleId="ListNote">
    <w:name w:val="List Note"/>
    <w:basedOn w:val="List"/>
    <w:rsid w:val="00EB6C2E"/>
    <w:pPr>
      <w:pBdr>
        <w:top w:val="single" w:sz="6" w:space="2" w:color="918585"/>
        <w:bottom w:val="single" w:sz="6" w:space="2" w:color="918585"/>
      </w:pBdr>
      <w:tabs>
        <w:tab w:val="left" w:pos="1021"/>
      </w:tabs>
      <w:ind w:firstLine="0"/>
    </w:pPr>
  </w:style>
  <w:style w:type="paragraph" w:customStyle="1" w:styleId="Warning">
    <w:name w:val="Warning"/>
    <w:basedOn w:val="BodyText"/>
    <w:rsid w:val="00EB6C2E"/>
    <w:pPr>
      <w:shd w:val="clear" w:color="auto" w:fill="D9D9D9"/>
      <w:tabs>
        <w:tab w:val="left" w:pos="992"/>
      </w:tabs>
      <w:ind w:left="119" w:right="119"/>
    </w:pPr>
    <w:rPr>
      <w:sz w:val="20"/>
    </w:rPr>
  </w:style>
  <w:style w:type="paragraph" w:customStyle="1" w:styleId="MarginIcons">
    <w:name w:val="Margin Icons"/>
    <w:basedOn w:val="BodyText"/>
    <w:rsid w:val="00EB6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C2E"/>
    <w:rPr>
      <w:rFonts w:ascii="Courier New" w:hAnsi="Courier New"/>
    </w:rPr>
  </w:style>
  <w:style w:type="paragraph" w:customStyle="1" w:styleId="NoteBullet">
    <w:name w:val="Note Bullet"/>
    <w:basedOn w:val="Note"/>
    <w:rsid w:val="00EB6C2E"/>
    <w:pPr>
      <w:tabs>
        <w:tab w:val="clear" w:pos="680"/>
      </w:tabs>
      <w:spacing w:before="60" w:after="60"/>
    </w:pPr>
  </w:style>
  <w:style w:type="paragraph" w:customStyle="1" w:styleId="SubHeading2">
    <w:name w:val="SubHeading2"/>
    <w:basedOn w:val="HeadingBase"/>
    <w:rsid w:val="00EB6C2E"/>
    <w:pPr>
      <w:spacing w:before="240" w:after="60"/>
    </w:pPr>
    <w:rPr>
      <w:sz w:val="20"/>
    </w:rPr>
  </w:style>
  <w:style w:type="paragraph" w:customStyle="1" w:styleId="SubHeading1">
    <w:name w:val="SubHeading1"/>
    <w:basedOn w:val="HeadingBase"/>
    <w:rsid w:val="00EB6C2E"/>
    <w:pPr>
      <w:spacing w:before="240" w:after="60"/>
    </w:pPr>
    <w:rPr>
      <w:color w:val="918585"/>
      <w:sz w:val="22"/>
    </w:rPr>
  </w:style>
  <w:style w:type="paragraph" w:customStyle="1" w:styleId="SideHeading">
    <w:name w:val="Side Heading"/>
    <w:basedOn w:val="HeadingBase"/>
    <w:rsid w:val="00EB6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C2E"/>
    <w:pPr>
      <w:numPr>
        <w:numId w:val="12"/>
      </w:numPr>
    </w:pPr>
  </w:style>
  <w:style w:type="paragraph" w:styleId="PlainText">
    <w:name w:val="Plain Text"/>
    <w:basedOn w:val="Normal"/>
    <w:link w:val="PlainTextChar"/>
    <w:rsid w:val="00EB6C2E"/>
    <w:rPr>
      <w:sz w:val="20"/>
    </w:rPr>
  </w:style>
  <w:style w:type="character" w:customStyle="1" w:styleId="PlainTextChar">
    <w:name w:val="Plain Text Char"/>
    <w:basedOn w:val="DefaultParagraphFont"/>
    <w:link w:val="PlainText"/>
    <w:rsid w:val="00EB6C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C2E"/>
    <w:rPr>
      <w:b/>
      <w:smallCaps/>
    </w:rPr>
  </w:style>
  <w:style w:type="paragraph" w:customStyle="1" w:styleId="TableListNumber">
    <w:name w:val="Table List Number"/>
    <w:basedOn w:val="ListNumber"/>
    <w:rsid w:val="00EB6C2E"/>
    <w:pPr>
      <w:numPr>
        <w:numId w:val="0"/>
      </w:numPr>
    </w:pPr>
  </w:style>
  <w:style w:type="paragraph" w:styleId="TOC4">
    <w:name w:val="toc 4"/>
    <w:basedOn w:val="TOCBase"/>
    <w:next w:val="Normal"/>
    <w:semiHidden/>
    <w:rsid w:val="00EB6C2E"/>
    <w:pPr>
      <w:tabs>
        <w:tab w:val="right" w:leader="dot" w:pos="9071"/>
      </w:tabs>
      <w:ind w:left="1701"/>
    </w:pPr>
  </w:style>
  <w:style w:type="paragraph" w:customStyle="1" w:styleId="ListAlpha">
    <w:name w:val="List Alpha"/>
    <w:basedOn w:val="List"/>
    <w:rsid w:val="00EB6C2E"/>
    <w:pPr>
      <w:numPr>
        <w:numId w:val="9"/>
      </w:numPr>
    </w:pPr>
  </w:style>
  <w:style w:type="paragraph" w:customStyle="1" w:styleId="ListAlpha2">
    <w:name w:val="List Alpha 2"/>
    <w:basedOn w:val="List2"/>
    <w:rsid w:val="00EB6C2E"/>
    <w:pPr>
      <w:numPr>
        <w:numId w:val="8"/>
      </w:numPr>
    </w:pPr>
  </w:style>
  <w:style w:type="paragraph" w:styleId="List2">
    <w:name w:val="List 2"/>
    <w:basedOn w:val="BodyText"/>
    <w:rsid w:val="00EB6C2E"/>
    <w:pPr>
      <w:tabs>
        <w:tab w:val="left" w:pos="680"/>
      </w:tabs>
      <w:spacing w:before="60" w:after="60"/>
      <w:ind w:left="680" w:hanging="340"/>
    </w:pPr>
  </w:style>
  <w:style w:type="paragraph" w:styleId="List3">
    <w:name w:val="List 3"/>
    <w:basedOn w:val="BodyText"/>
    <w:rsid w:val="00EB6C2E"/>
    <w:pPr>
      <w:tabs>
        <w:tab w:val="left" w:pos="1021"/>
      </w:tabs>
      <w:spacing w:before="60" w:after="60"/>
      <w:ind w:left="1020" w:hanging="340"/>
    </w:pPr>
  </w:style>
  <w:style w:type="paragraph" w:styleId="List4">
    <w:name w:val="List 4"/>
    <w:basedOn w:val="BodyText"/>
    <w:rsid w:val="00EB6C2E"/>
    <w:pPr>
      <w:tabs>
        <w:tab w:val="left" w:pos="1361"/>
      </w:tabs>
      <w:spacing w:before="60" w:after="60"/>
      <w:ind w:left="1361" w:hanging="340"/>
    </w:pPr>
  </w:style>
  <w:style w:type="paragraph" w:styleId="List5">
    <w:name w:val="List 5"/>
    <w:basedOn w:val="BodyText"/>
    <w:rsid w:val="00EB6C2E"/>
    <w:pPr>
      <w:tabs>
        <w:tab w:val="left" w:pos="1701"/>
      </w:tabs>
      <w:spacing w:before="60" w:after="60"/>
      <w:ind w:left="1701" w:hanging="340"/>
    </w:pPr>
  </w:style>
  <w:style w:type="paragraph" w:styleId="ListBullet3">
    <w:name w:val="List Bullet 3"/>
    <w:basedOn w:val="List3"/>
    <w:rsid w:val="00EB6C2E"/>
    <w:pPr>
      <w:numPr>
        <w:numId w:val="15"/>
      </w:numPr>
      <w:tabs>
        <w:tab w:val="clear" w:pos="1021"/>
      </w:tabs>
      <w:ind w:left="1037" w:hanging="357"/>
    </w:pPr>
  </w:style>
  <w:style w:type="paragraph" w:styleId="ListBullet4">
    <w:name w:val="List Bullet 4"/>
    <w:basedOn w:val="List4"/>
    <w:rsid w:val="00EB6C2E"/>
    <w:pPr>
      <w:numPr>
        <w:numId w:val="3"/>
      </w:numPr>
    </w:pPr>
  </w:style>
  <w:style w:type="paragraph" w:styleId="ListBullet5">
    <w:name w:val="List Bullet 5"/>
    <w:basedOn w:val="List5"/>
    <w:rsid w:val="00EB6C2E"/>
    <w:pPr>
      <w:numPr>
        <w:numId w:val="4"/>
      </w:numPr>
    </w:pPr>
  </w:style>
  <w:style w:type="paragraph" w:styleId="ListContinue2">
    <w:name w:val="List Continue 2"/>
    <w:basedOn w:val="List2"/>
    <w:rsid w:val="00EB6C2E"/>
    <w:pPr>
      <w:ind w:firstLine="0"/>
    </w:pPr>
  </w:style>
  <w:style w:type="paragraph" w:styleId="ListContinue3">
    <w:name w:val="List Continue 3"/>
    <w:basedOn w:val="List3"/>
    <w:rsid w:val="00EB6C2E"/>
    <w:pPr>
      <w:ind w:left="1021" w:firstLine="0"/>
    </w:pPr>
  </w:style>
  <w:style w:type="paragraph" w:styleId="ListContinue4">
    <w:name w:val="List Continue 4"/>
    <w:basedOn w:val="List4"/>
    <w:rsid w:val="00EB6C2E"/>
    <w:pPr>
      <w:ind w:firstLine="0"/>
    </w:pPr>
  </w:style>
  <w:style w:type="paragraph" w:styleId="ListContinue5">
    <w:name w:val="List Continue 5"/>
    <w:basedOn w:val="List5"/>
    <w:rsid w:val="00EB6C2E"/>
    <w:pPr>
      <w:ind w:firstLine="0"/>
    </w:pPr>
  </w:style>
  <w:style w:type="paragraph" w:styleId="ListNumber3">
    <w:name w:val="List Number 3"/>
    <w:basedOn w:val="List3"/>
    <w:rsid w:val="00EB6C2E"/>
    <w:pPr>
      <w:numPr>
        <w:numId w:val="5"/>
      </w:numPr>
    </w:pPr>
  </w:style>
  <w:style w:type="paragraph" w:styleId="ListNumber4">
    <w:name w:val="List Number 4"/>
    <w:basedOn w:val="List4"/>
    <w:rsid w:val="00EB6C2E"/>
    <w:pPr>
      <w:numPr>
        <w:numId w:val="6"/>
      </w:numPr>
    </w:pPr>
  </w:style>
  <w:style w:type="paragraph" w:styleId="ListNumber5">
    <w:name w:val="List Number 5"/>
    <w:basedOn w:val="List5"/>
    <w:rsid w:val="00EB6C2E"/>
    <w:pPr>
      <w:numPr>
        <w:numId w:val="7"/>
      </w:numPr>
    </w:pPr>
  </w:style>
  <w:style w:type="paragraph" w:styleId="BlockText">
    <w:name w:val="Block Text"/>
    <w:basedOn w:val="Normal"/>
    <w:rsid w:val="00EB6C2E"/>
    <w:pPr>
      <w:spacing w:after="120"/>
      <w:ind w:left="1440" w:right="1440"/>
    </w:pPr>
  </w:style>
  <w:style w:type="character" w:customStyle="1" w:styleId="Subscript">
    <w:name w:val="Subscript"/>
    <w:basedOn w:val="DefaultParagraphFont"/>
    <w:rsid w:val="00EB6C2E"/>
    <w:rPr>
      <w:sz w:val="16"/>
      <w:vertAlign w:val="subscript"/>
    </w:rPr>
  </w:style>
  <w:style w:type="character" w:customStyle="1" w:styleId="Superscript">
    <w:name w:val="Superscript"/>
    <w:basedOn w:val="DefaultParagraphFont"/>
    <w:rsid w:val="00EB6C2E"/>
    <w:rPr>
      <w:sz w:val="16"/>
      <w:vertAlign w:val="superscript"/>
    </w:rPr>
  </w:style>
  <w:style w:type="character" w:customStyle="1" w:styleId="Symbols">
    <w:name w:val="Symbols"/>
    <w:basedOn w:val="DefaultParagraphFont"/>
    <w:rsid w:val="00EB6C2E"/>
    <w:rPr>
      <w:rFonts w:ascii="Symbol" w:hAnsi="Symbol"/>
    </w:rPr>
  </w:style>
  <w:style w:type="character" w:customStyle="1" w:styleId="MenuOptions">
    <w:name w:val="Menu Options"/>
    <w:basedOn w:val="DefaultParagraphFont"/>
    <w:rsid w:val="00EB6C2E"/>
    <w:rPr>
      <w:rFonts w:ascii="Arial Narrow" w:hAnsi="Arial Narrow"/>
      <w:smallCaps/>
    </w:rPr>
  </w:style>
  <w:style w:type="character" w:customStyle="1" w:styleId="Buttons">
    <w:name w:val="Buttons"/>
    <w:basedOn w:val="DefaultParagraphFont"/>
    <w:rsid w:val="00EB6C2E"/>
    <w:rPr>
      <w:b/>
    </w:rPr>
  </w:style>
  <w:style w:type="character" w:customStyle="1" w:styleId="Underlined">
    <w:name w:val="Underlined"/>
    <w:basedOn w:val="DefaultParagraphFont"/>
    <w:rsid w:val="00EB6C2E"/>
    <w:rPr>
      <w:u w:val="single"/>
    </w:rPr>
  </w:style>
  <w:style w:type="paragraph" w:customStyle="1" w:styleId="TableBodyTextRight">
    <w:name w:val="Table Body Text Right"/>
    <w:basedOn w:val="TableBodyText"/>
    <w:rsid w:val="00EB6C2E"/>
    <w:pPr>
      <w:widowControl w:val="0"/>
      <w:autoSpaceDE w:val="0"/>
      <w:autoSpaceDN w:val="0"/>
      <w:adjustRightInd w:val="0"/>
      <w:jc w:val="right"/>
    </w:pPr>
    <w:rPr>
      <w:rFonts w:cs="Arial"/>
      <w:szCs w:val="18"/>
    </w:rPr>
  </w:style>
  <w:style w:type="paragraph" w:customStyle="1" w:styleId="CopyrightText">
    <w:name w:val="Copyright Text"/>
    <w:basedOn w:val="BodyText"/>
    <w:rsid w:val="00EB6C2E"/>
    <w:rPr>
      <w:sz w:val="18"/>
    </w:rPr>
  </w:style>
  <w:style w:type="paragraph" w:customStyle="1" w:styleId="BodySmallRight">
    <w:name w:val="Body Small Right"/>
    <w:basedOn w:val="BodyTextRight"/>
    <w:rsid w:val="00EB6C2E"/>
    <w:rPr>
      <w:sz w:val="18"/>
      <w:szCs w:val="18"/>
    </w:rPr>
  </w:style>
  <w:style w:type="paragraph" w:customStyle="1" w:styleId="MarginEdition">
    <w:name w:val="Margin Edition"/>
    <w:basedOn w:val="MarginNote"/>
    <w:rsid w:val="00EB6C2E"/>
    <w:pPr>
      <w:spacing w:before="0" w:after="0"/>
    </w:pPr>
    <w:rPr>
      <w:rFonts w:ascii="Times New Roman" w:hAnsi="Times New Roman"/>
      <w:color w:val="999999"/>
    </w:rPr>
  </w:style>
  <w:style w:type="paragraph" w:customStyle="1" w:styleId="Spacer">
    <w:name w:val="Spacer"/>
    <w:basedOn w:val="Normal"/>
    <w:rsid w:val="00EB6C2E"/>
    <w:rPr>
      <w:sz w:val="2"/>
      <w:szCs w:val="2"/>
    </w:rPr>
  </w:style>
  <w:style w:type="character" w:customStyle="1" w:styleId="Small">
    <w:name w:val="Small"/>
    <w:basedOn w:val="DefaultParagraphFont"/>
    <w:rsid w:val="00EB6C2E"/>
    <w:rPr>
      <w:sz w:val="16"/>
    </w:rPr>
  </w:style>
  <w:style w:type="paragraph" w:customStyle="1" w:styleId="WideTable">
    <w:name w:val="Wide Table"/>
    <w:basedOn w:val="Normal"/>
    <w:rsid w:val="00EB6C2E"/>
    <w:pPr>
      <w:ind w:left="-1418"/>
    </w:pPr>
    <w:rPr>
      <w:sz w:val="2"/>
      <w:szCs w:val="2"/>
    </w:rPr>
  </w:style>
  <w:style w:type="character" w:styleId="PageNumber">
    <w:name w:val="page number"/>
    <w:basedOn w:val="DefaultParagraphFont"/>
    <w:rsid w:val="00EB6C2E"/>
  </w:style>
  <w:style w:type="paragraph" w:styleId="Quote">
    <w:name w:val="Quote"/>
    <w:basedOn w:val="Heading1"/>
    <w:link w:val="QuoteChar"/>
    <w:qFormat/>
    <w:rsid w:val="00EB6C2E"/>
    <w:rPr>
      <w:b w:val="0"/>
      <w:sz w:val="72"/>
      <w:szCs w:val="72"/>
      <w:lang w:val="en-NZ"/>
    </w:rPr>
  </w:style>
  <w:style w:type="character" w:customStyle="1" w:styleId="QuoteChar">
    <w:name w:val="Quote Char"/>
    <w:basedOn w:val="DefaultParagraphFont"/>
    <w:link w:val="Quote"/>
    <w:rsid w:val="00EB6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C2E"/>
    <w:pPr>
      <w:pageBreakBefore/>
    </w:pPr>
  </w:style>
  <w:style w:type="paragraph" w:customStyle="1" w:styleId="Border">
    <w:name w:val="Border"/>
    <w:basedOn w:val="Normal"/>
    <w:qFormat/>
    <w:rsid w:val="00EB6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C2E"/>
    <w:rPr>
      <w:b/>
      <w:bCs/>
      <w:i/>
      <w:iCs/>
      <w:color w:val="auto"/>
    </w:rPr>
  </w:style>
  <w:style w:type="paragraph" w:styleId="IntenseQuote">
    <w:name w:val="Intense Quote"/>
    <w:basedOn w:val="Normal"/>
    <w:next w:val="Normal"/>
    <w:link w:val="IntenseQuoteChar"/>
    <w:uiPriority w:val="30"/>
    <w:qFormat/>
    <w:rsid w:val="00EB6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C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C2E"/>
    <w:rPr>
      <w:smallCaps/>
      <w:color w:val="auto"/>
      <w:u w:val="single"/>
    </w:rPr>
  </w:style>
  <w:style w:type="character" w:styleId="IntenseReference">
    <w:name w:val="Intense Reference"/>
    <w:basedOn w:val="DefaultParagraphFont"/>
    <w:uiPriority w:val="32"/>
    <w:qFormat/>
    <w:rsid w:val="00EB6C2E"/>
    <w:rPr>
      <w:b/>
      <w:bCs/>
      <w:smallCaps/>
      <w:color w:val="auto"/>
      <w:spacing w:val="5"/>
      <w:u w:val="single"/>
    </w:rPr>
  </w:style>
  <w:style w:type="paragraph" w:customStyle="1" w:styleId="2ColumnHeading">
    <w:name w:val="2Column Heading"/>
    <w:basedOn w:val="BodyText"/>
    <w:qFormat/>
    <w:rsid w:val="00EB6C2E"/>
    <w:pPr>
      <w:spacing w:after="60"/>
      <w:ind w:left="-2268"/>
    </w:pPr>
    <w:rPr>
      <w:b/>
    </w:rPr>
  </w:style>
  <w:style w:type="paragraph" w:customStyle="1" w:styleId="Heading1TOC">
    <w:name w:val="Heading1 TOC"/>
    <w:basedOn w:val="Normal"/>
    <w:qFormat/>
    <w:rsid w:val="00EB6C2E"/>
    <w:pPr>
      <w:spacing w:before="240" w:after="120"/>
    </w:pPr>
    <w:rPr>
      <w:rFonts w:ascii="Times New Roman" w:hAnsi="Times New Roman"/>
      <w:b/>
      <w:sz w:val="32"/>
    </w:rPr>
  </w:style>
  <w:style w:type="paragraph" w:customStyle="1" w:styleId="Heading2TOC">
    <w:name w:val="Heading2 TOC"/>
    <w:basedOn w:val="Normal"/>
    <w:qFormat/>
    <w:rsid w:val="00EB6C2E"/>
    <w:pPr>
      <w:spacing w:before="240" w:after="60"/>
    </w:pPr>
    <w:rPr>
      <w:rFonts w:ascii="Times New Roman" w:hAnsi="Times New Roman"/>
      <w:b/>
      <w:sz w:val="28"/>
    </w:rPr>
  </w:style>
  <w:style w:type="character" w:customStyle="1" w:styleId="Underline">
    <w:name w:val="Underline"/>
    <w:basedOn w:val="DefaultParagraphFont"/>
    <w:qFormat/>
    <w:rsid w:val="00EB6C2E"/>
    <w:rPr>
      <w:u w:val="single"/>
    </w:rPr>
  </w:style>
  <w:style w:type="character" w:customStyle="1" w:styleId="BoldandItalics">
    <w:name w:val="Bold and Italics"/>
    <w:qFormat/>
    <w:rsid w:val="00EB6C2E"/>
    <w:rPr>
      <w:b/>
      <w:i/>
      <w:u w:val="none"/>
    </w:rPr>
  </w:style>
  <w:style w:type="paragraph" w:styleId="BalloonText">
    <w:name w:val="Balloon Text"/>
    <w:basedOn w:val="Normal"/>
    <w:link w:val="BalloonTextChar"/>
    <w:rsid w:val="00EB6C2E"/>
    <w:rPr>
      <w:rFonts w:ascii="Tahoma" w:hAnsi="Tahoma" w:cs="Tahoma"/>
      <w:sz w:val="16"/>
      <w:szCs w:val="16"/>
    </w:rPr>
  </w:style>
  <w:style w:type="character" w:customStyle="1" w:styleId="BalloonTextChar">
    <w:name w:val="Balloon Text Char"/>
    <w:basedOn w:val="DefaultParagraphFont"/>
    <w:link w:val="BalloonText"/>
    <w:rsid w:val="00EB6C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C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C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2373</Words>
  <Characters>14444</Characters>
  <Application>Microsoft Office Word</Application>
  <DocSecurity>0</DocSecurity>
  <Lines>641</Lines>
  <Paragraphs>276</Paragraphs>
  <ScaleCrop>false</ScaleCrop>
  <Company>Author-it Software Corporation Ltd.</Company>
  <LinksUpToDate>false</LinksUpToDate>
  <CharactersWithSpaces>16594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UETTDRCJ01B Lay electrical cables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2012-05-26T12:02:00Z</dcterms:created>
  <dcterms:modified xsi:type="dcterms:W3CDTF">2012-05-26T12:02:00Z</dcterms:modified>
</cp:coreProperties>
</file>