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B13" w:rsidP="00FE3B13">
      <w:pPr>
        <w:pStyle w:val="Title"/>
      </w:pPr>
      <w:r>
        <w:fldChar w:fldCharType="begin"/>
      </w:r>
      <w:r>
        <w:instrText xml:space="preserve"> TITLE   \* MERGEFORMAT </w:instrText>
      </w:r>
      <w:r>
        <w:fldChar w:fldCharType="separate"/>
      </w:r>
      <w:r>
        <w:t>Assessment Requirements for UETTDRVC25 Use elevated platform to cut vegetation above ground level near live electrical apparatus</w:t>
      </w:r>
      <w:r>
        <w:fldChar w:fldCharType="end"/>
      </w:r>
    </w:p>
    <w:p w:rsidR="00FE3B13" w:rsidP="00FE3B13">
      <w:pPr>
        <w:pStyle w:val="Version"/>
        <w:sectPr w:rsidSect="00EA2B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BC6" w:rsidP="00EA2BC6">
      <w:pPr>
        <w:pStyle w:val="SuperHeading"/>
      </w:pPr>
      <w:r w:rsidRPr="00EA2BC6">
        <w:t>Assessment Requirements for UETTDRVC25 Use elevated platform to cut vegetation above ground level near live electrical apparatus</w:t>
      </w:r>
    </w:p>
    <w:p w:rsidR="00000000" w:rsidRPr="00EA2BC6" w:rsidP="00EA2BC6">
      <w:pPr>
        <w:pStyle w:val="Heading1"/>
      </w:pPr>
      <w:bookmarkStart w:id="1" w:name="O_1006022"/>
      <w:bookmarkEnd w:id="1"/>
      <w:r w:rsidRPr="00EA2BC6">
        <w:t>Modification History</w:t>
      </w:r>
    </w:p>
    <w:tbl>
      <w:tblPr>
        <w:tblW w:w="9497" w:type="dxa"/>
        <w:tblLayout w:type="fixed"/>
        <w:tblCellMar>
          <w:left w:w="62" w:type="dxa"/>
          <w:right w:w="62" w:type="dxa"/>
        </w:tblCellMar>
        <w:tblLook w:val="0000"/>
      </w:tblPr>
      <w:tblGrid>
        <w:gridCol w:w="9497"/>
      </w:tblGrid>
      <w:tr w:rsidTr="00EA2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BC6" w:rsidP="00EA2BC6">
            <w:pPr>
              <w:pStyle w:val="BodyText"/>
            </w:pPr>
            <w:r w:rsidRPr="00EA2BC6">
              <w:t>Release 1. This is the first release of this unit of competency in the UET Transmission, Distribution and Rail Sector Training Package.</w:t>
            </w:r>
          </w:p>
        </w:tc>
      </w:tr>
    </w:tbl>
    <w:p w:rsidR="00000000" w:rsidRPr="00EA2BC6" w:rsidP="00EA2BC6">
      <w:pPr>
        <w:pStyle w:val="NoPaddingFontSize1"/>
      </w:pPr>
    </w:p>
    <w:p w:rsidR="00000000" w:rsidRPr="00EA2BC6" w:rsidP="00EA2BC6">
      <w:pPr>
        <w:pStyle w:val="AllowPageBreak"/>
      </w:pPr>
    </w:p>
    <w:p w:rsidR="00000000" w:rsidRPr="00EA2BC6" w:rsidP="00EA2BC6">
      <w:pPr>
        <w:pStyle w:val="Heading1"/>
      </w:pPr>
      <w:bookmarkStart w:id="2" w:name="O_1006023"/>
      <w:bookmarkEnd w:id="2"/>
      <w:r w:rsidRPr="00EA2BC6">
        <w:t>Performance Evidence</w:t>
      </w:r>
    </w:p>
    <w:tbl>
      <w:tblPr>
        <w:tblW w:w="9497" w:type="dxa"/>
        <w:tblLayout w:type="fixed"/>
        <w:tblCellMar>
          <w:left w:w="62" w:type="dxa"/>
          <w:right w:w="62" w:type="dxa"/>
        </w:tblCellMar>
        <w:tblLook w:val="0000"/>
      </w:tblPr>
      <w:tblGrid>
        <w:gridCol w:w="9497"/>
      </w:tblGrid>
      <w:tr w:rsidTr="00EA2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2BC6">
            <w:pPr>
              <w:pStyle w:val="BodyText"/>
              <w:rPr>
                <w:lang w:val="en-NZ"/>
              </w:rPr>
            </w:pPr>
            <w:r w:rsidRPr="00EA2BC6">
              <w:t>Evidence required to demonstrate competence in this unit must be relevant to a</w:t>
            </w:r>
            <w:r w:rsidRPr="00EA2BC6">
              <w:t xml:space="preserve">nd satisfy all of the requirements of the elements and performance criteria on at least two separate occasions and include:  </w:t>
            </w:r>
          </w:p>
        </w:tc>
      </w:tr>
      <w:tr w:rsidTr="00EA2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BC6" w:rsidP="00EA2BC6">
            <w:pPr>
              <w:pStyle w:val="ListBullet"/>
            </w:pPr>
            <w:r w:rsidRPr="00EA2BC6">
              <w:t>applying relevant work health and safety (WHS)/occupational health and safety (OHS) requirements, including the use of risk cont</w:t>
            </w:r>
            <w:r w:rsidRPr="00EA2BC6">
              <w:t xml:space="preserve">rol measures </w:t>
            </w:r>
          </w:p>
          <w:p w:rsidR="00000000" w:rsidRPr="00EA2BC6" w:rsidP="00EA2BC6">
            <w:pPr>
              <w:pStyle w:val="ListBullet"/>
            </w:pPr>
            <w:r w:rsidRPr="00EA2BC6">
              <w:t>applying sustainable energy principles and practices</w:t>
            </w:r>
          </w:p>
          <w:p w:rsidR="00000000" w:rsidRPr="00EA2BC6" w:rsidP="00EA2BC6">
            <w:pPr>
              <w:pStyle w:val="ListBullet"/>
            </w:pPr>
            <w:r w:rsidRPr="00EA2BC6">
              <w:t>confirming operational knowledge associated with the cutting vegetation above ground outside live work zone near live electrical apparatus using an elevated work platform (EWP) in all of th</w:t>
            </w:r>
            <w:r w:rsidRPr="00EA2BC6">
              <w:t>e following:</w:t>
            </w:r>
          </w:p>
          <w:p w:rsidR="00000000" w:rsidRPr="00EA2BC6" w:rsidP="00EA2BC6">
            <w:pPr>
              <w:pStyle w:val="ListBullet2"/>
            </w:pPr>
            <w:r w:rsidRPr="00EA2BC6">
              <w:t>principles of electricity and the three phase power system</w:t>
            </w:r>
          </w:p>
          <w:p w:rsidR="00000000" w:rsidRPr="00EA2BC6" w:rsidP="00EA2BC6">
            <w:pPr>
              <w:pStyle w:val="ListBullet2"/>
            </w:pPr>
            <w:r w:rsidRPr="00EA2BC6">
              <w:t>power system</w:t>
            </w:r>
          </w:p>
          <w:p w:rsidR="00000000" w:rsidRPr="00EA2BC6" w:rsidP="00EA2BC6">
            <w:pPr>
              <w:pStyle w:val="ListBullet2"/>
            </w:pPr>
            <w:r w:rsidRPr="00EA2BC6">
              <w:t>recognition of aerial voltage systems</w:t>
            </w:r>
          </w:p>
          <w:p w:rsidR="00000000" w:rsidRPr="00EA2BC6" w:rsidP="00EA2BC6">
            <w:pPr>
              <w:pStyle w:val="ListBullet2"/>
            </w:pPr>
            <w:r w:rsidRPr="00EA2BC6">
              <w:t>identification of low voltage (LV) aerial circuits</w:t>
            </w:r>
          </w:p>
          <w:p w:rsidR="00000000" w:rsidRPr="00EA2BC6" w:rsidP="00EA2BC6">
            <w:pPr>
              <w:pStyle w:val="ListBullet2"/>
            </w:pPr>
            <w:r w:rsidRPr="00EA2BC6">
              <w:t>identification of high voltage (HV) aerial circuits</w:t>
            </w:r>
          </w:p>
          <w:p w:rsidR="00000000" w:rsidRPr="00EA2BC6" w:rsidP="00EA2BC6">
            <w:pPr>
              <w:pStyle w:val="ListBullet2"/>
            </w:pPr>
            <w:r w:rsidRPr="00EA2BC6">
              <w:t>safe working zone and ordinary person zone so defined by relevant authorities</w:t>
            </w:r>
          </w:p>
          <w:p w:rsidR="00000000" w:rsidRPr="00EA2BC6" w:rsidP="00EA2BC6">
            <w:pPr>
              <w:pStyle w:val="ListBullet2"/>
            </w:pPr>
            <w:r w:rsidRPr="00EA2BC6">
              <w:t>use of technical standards, acts, regulations, codes/guidelines and established/enterprise/asset owner’s procedures</w:t>
            </w:r>
          </w:p>
          <w:p w:rsidR="00000000" w:rsidRPr="00EA2BC6" w:rsidP="00EA2BC6">
            <w:pPr>
              <w:pStyle w:val="ListBullet2"/>
            </w:pPr>
            <w:r w:rsidRPr="00EA2BC6">
              <w:t>system control - information required and function</w:t>
            </w:r>
          </w:p>
          <w:p w:rsidR="00000000" w:rsidRPr="00EA2BC6" w:rsidP="00EA2BC6">
            <w:pPr>
              <w:pStyle w:val="ListBullet2"/>
            </w:pPr>
            <w:r w:rsidRPr="00EA2BC6">
              <w:t>vicinity pe</w:t>
            </w:r>
            <w:r w:rsidRPr="00EA2BC6">
              <w:t>rmit - information required and function</w:t>
            </w:r>
          </w:p>
          <w:p w:rsidR="00000000" w:rsidRPr="00EA2BC6" w:rsidP="00EA2BC6">
            <w:pPr>
              <w:pStyle w:val="ListBullet2"/>
            </w:pPr>
            <w:r w:rsidRPr="00EA2BC6">
              <w:t>sensitive earth fault system</w:t>
            </w:r>
          </w:p>
          <w:p w:rsidR="00000000" w:rsidRPr="00EA2BC6" w:rsidP="00EA2BC6">
            <w:pPr>
              <w:pStyle w:val="ListBullet2"/>
            </w:pPr>
            <w:r w:rsidRPr="00EA2BC6">
              <w:t>environmental principals and procedures</w:t>
            </w:r>
          </w:p>
          <w:p w:rsidR="00000000" w:rsidRPr="00EA2BC6" w:rsidP="00EA2BC6">
            <w:pPr>
              <w:pStyle w:val="ListBullet"/>
            </w:pPr>
            <w:r w:rsidRPr="00EA2BC6">
              <w:t xml:space="preserve">performing safe practices associated with the cutting vegetation above ground outside live work zone near live electrical apparatus using an EWP </w:t>
            </w:r>
            <w:r w:rsidRPr="00EA2BC6">
              <w:t>in all of the following:</w:t>
            </w:r>
          </w:p>
          <w:p w:rsidR="00000000" w:rsidRPr="00EA2BC6" w:rsidP="00EA2BC6">
            <w:pPr>
              <w:pStyle w:val="ListBullet2"/>
            </w:pPr>
            <w:r w:rsidRPr="00EA2BC6">
              <w:t>WHS/OHS practices and procedures</w:t>
            </w:r>
          </w:p>
          <w:p w:rsidR="00000000" w:rsidRPr="00EA2BC6" w:rsidP="00EA2BC6">
            <w:pPr>
              <w:pStyle w:val="ListBullet2"/>
            </w:pPr>
            <w:r w:rsidRPr="00EA2BC6">
              <w:t>electric shock and resuscitation</w:t>
            </w:r>
          </w:p>
          <w:p w:rsidR="00000000" w:rsidRPr="00EA2BC6" w:rsidP="00EA2BC6">
            <w:pPr>
              <w:pStyle w:val="ListBullet2"/>
            </w:pPr>
            <w:r w:rsidRPr="00EA2BC6">
              <w:t>release and rescue and height safety, including platform aerial emergency rescue procedure</w:t>
            </w:r>
          </w:p>
          <w:p w:rsidR="00000000" w:rsidRPr="00EA2BC6" w:rsidP="00EA2BC6">
            <w:pPr>
              <w:pStyle w:val="ListBullet2"/>
            </w:pPr>
            <w:r w:rsidRPr="00EA2BC6">
              <w:t>role of the safety observer</w:t>
            </w:r>
          </w:p>
          <w:p w:rsidR="00000000" w:rsidRPr="00EA2BC6" w:rsidP="00EA2BC6">
            <w:pPr>
              <w:pStyle w:val="ListBullet2"/>
            </w:pPr>
            <w:r w:rsidRPr="00EA2BC6">
              <w:t>events constituting an incident</w:t>
            </w:r>
          </w:p>
          <w:p w:rsidR="00000000" w:rsidRPr="00EA2BC6" w:rsidP="00EA2BC6">
            <w:pPr>
              <w:pStyle w:val="ListBullet2"/>
            </w:pPr>
            <w:r w:rsidRPr="00EA2BC6">
              <w:t>procedures in the event of/responding to incidents</w:t>
            </w:r>
          </w:p>
          <w:p w:rsidR="00000000" w:rsidRPr="00EA2BC6" w:rsidP="00EA2BC6">
            <w:pPr>
              <w:pStyle w:val="ListBullet2"/>
            </w:pPr>
            <w:r w:rsidRPr="00EA2BC6">
              <w:t>methods of identifying hazards</w:t>
            </w:r>
          </w:p>
          <w:p w:rsidR="00000000" w:rsidRPr="00EA2BC6" w:rsidP="00EA2BC6">
            <w:pPr>
              <w:pStyle w:val="ListBullet2"/>
            </w:pPr>
            <w:r w:rsidRPr="00EA2BC6">
              <w:t>risk assessment procedures for both worksite and pre-job checklist</w:t>
            </w:r>
          </w:p>
          <w:p w:rsidR="00000000" w:rsidRPr="00EA2BC6" w:rsidP="00EA2BC6">
            <w:pPr>
              <w:pStyle w:val="ListBullet2"/>
            </w:pPr>
            <w:r w:rsidRPr="00EA2BC6">
              <w:t>selection of the best position for monitoring and controlling work (cutting)</w:t>
            </w:r>
          </w:p>
          <w:p w:rsidR="00000000" w:rsidRPr="00EA2BC6" w:rsidP="00EA2BC6">
            <w:pPr>
              <w:pStyle w:val="ListBullet2"/>
            </w:pPr>
            <w:r w:rsidRPr="00EA2BC6">
              <w:t>selection of correct line of s</w:t>
            </w:r>
            <w:r w:rsidRPr="00EA2BC6">
              <w:t>ite to the cutter</w:t>
            </w:r>
          </w:p>
          <w:p w:rsidR="00000000" w:rsidRPr="00EA2BC6" w:rsidP="00EA2BC6">
            <w:pPr>
              <w:pStyle w:val="ListBullet2"/>
            </w:pPr>
            <w:r w:rsidRPr="00EA2BC6">
              <w:t>correct observation of the work from ground level</w:t>
            </w:r>
          </w:p>
          <w:p w:rsidR="00000000" w:rsidRPr="00EA2BC6" w:rsidP="00EA2BC6">
            <w:pPr>
              <w:pStyle w:val="ListBullet2"/>
            </w:pPr>
            <w:r w:rsidRPr="00EA2BC6">
              <w:t>constant analysis and decision making relevant to the safety of the work taking into account prevailing site conditions (lay of the land) and ongoing weather conditions</w:t>
            </w:r>
          </w:p>
          <w:p w:rsidR="00000000" w:rsidRPr="00EA2BC6" w:rsidP="00EA2BC6">
            <w:pPr>
              <w:pStyle w:val="ListBullet"/>
            </w:pPr>
            <w:r w:rsidRPr="00EA2BC6">
              <w:t>using an EWP whils</w:t>
            </w:r>
            <w:r w:rsidRPr="00EA2BC6">
              <w:t>t performing all of the following:</w:t>
            </w:r>
          </w:p>
          <w:p w:rsidR="00000000" w:rsidRPr="00EA2BC6" w:rsidP="00EA2BC6">
            <w:pPr>
              <w:pStyle w:val="ListBullet2"/>
            </w:pPr>
            <w:r w:rsidRPr="00EA2BC6">
              <w:t>identifying tree types</w:t>
            </w:r>
          </w:p>
          <w:p w:rsidR="00000000" w:rsidRPr="00EA2BC6" w:rsidP="00EA2BC6">
            <w:pPr>
              <w:pStyle w:val="ListBullet2"/>
            </w:pPr>
            <w:r w:rsidRPr="00EA2BC6">
              <w:t>confirming vegetation species and types</w:t>
            </w:r>
          </w:p>
          <w:p w:rsidR="00000000" w:rsidRPr="00EA2BC6" w:rsidP="00EA2BC6">
            <w:pPr>
              <w:pStyle w:val="ListBullet2"/>
            </w:pPr>
            <w:r w:rsidRPr="00EA2BC6">
              <w:t>confirming vegetation cutting techniques for different vegetation</w:t>
            </w:r>
          </w:p>
          <w:p w:rsidR="00000000" w:rsidRPr="00EA2BC6" w:rsidP="00EA2BC6">
            <w:pPr>
              <w:pStyle w:val="ListBullet2"/>
            </w:pPr>
            <w:r w:rsidRPr="00EA2BC6">
              <w:t>confirming appropriate vegetation machinery and equipment to be used</w:t>
            </w:r>
          </w:p>
          <w:p w:rsidR="00000000" w:rsidRPr="00EA2BC6" w:rsidP="00EA2BC6">
            <w:pPr>
              <w:pStyle w:val="ListBullet2"/>
            </w:pPr>
            <w:r w:rsidRPr="00EA2BC6">
              <w:t>using feeder route plans</w:t>
            </w:r>
          </w:p>
          <w:p w:rsidR="00000000" w:rsidRPr="00EA2BC6" w:rsidP="00EA2BC6">
            <w:pPr>
              <w:pStyle w:val="ListBullet"/>
            </w:pPr>
            <w:r w:rsidRPr="00EA2BC6">
              <w:t>performing the safe cutting/pruning of vegetation above ground outside live work zone near live electrical apparatus using an EWP in all of the following:</w:t>
            </w:r>
          </w:p>
          <w:p w:rsidR="00000000" w:rsidRPr="00EA2BC6" w:rsidP="00EA2BC6">
            <w:pPr>
              <w:pStyle w:val="ListBullet2"/>
            </w:pPr>
            <w:r w:rsidRPr="00EA2BC6">
              <w:t>using cutting plans relevant to the vegetation type</w:t>
            </w:r>
          </w:p>
          <w:p w:rsidR="00000000" w:rsidRPr="00EA2BC6" w:rsidP="00EA2BC6">
            <w:pPr>
              <w:pStyle w:val="ListBullet2"/>
            </w:pPr>
            <w:r w:rsidRPr="00EA2BC6">
              <w:t>safely using of all re</w:t>
            </w:r>
            <w:r w:rsidRPr="00EA2BC6">
              <w:t>levant personnel protective equipment (PPE)</w:t>
            </w:r>
          </w:p>
          <w:p w:rsidR="00000000" w:rsidRPr="00EA2BC6" w:rsidP="00EA2BC6">
            <w:pPr>
              <w:pStyle w:val="ListBullet2"/>
            </w:pPr>
            <w:r w:rsidRPr="00EA2BC6">
              <w:t>safely operating restraints, slings, lifting and loads</w:t>
            </w:r>
          </w:p>
          <w:p w:rsidR="00000000" w:rsidRPr="00EA2BC6" w:rsidP="00EA2BC6">
            <w:pPr>
              <w:pStyle w:val="ListBullet2"/>
            </w:pPr>
            <w:r w:rsidRPr="00EA2BC6">
              <w:t xml:space="preserve">safely using tools and equipment, such as hand saws, chainsaws, specialised tools and equipment and/or power pruners above ground on an EWP </w:t>
            </w:r>
          </w:p>
          <w:p w:rsidR="00000000" w:rsidRPr="00EA2BC6" w:rsidP="00EA2BC6">
            <w:pPr>
              <w:pStyle w:val="ListBullet2"/>
            </w:pPr>
            <w:r w:rsidRPr="00EA2BC6">
              <w:t>safely using che</w:t>
            </w:r>
            <w:r w:rsidRPr="00EA2BC6">
              <w:t xml:space="preserve">mical control and application above ground on an EWP </w:t>
            </w:r>
          </w:p>
          <w:p w:rsidR="00000000" w:rsidRPr="00EA2BC6" w:rsidP="00EA2BC6">
            <w:pPr>
              <w:pStyle w:val="ListBullet2"/>
            </w:pPr>
            <w:r w:rsidRPr="00EA2BC6">
              <w:t>safely using regulatory and/or approved industry cutting/pruning platforms</w:t>
            </w:r>
          </w:p>
          <w:p w:rsidR="00000000" w:rsidRPr="00EA2BC6" w:rsidP="00EA2BC6">
            <w:pPr>
              <w:pStyle w:val="ListBullet2"/>
            </w:pPr>
            <w:r w:rsidRPr="00EA2BC6">
              <w:t>safely working aloft on an EWP and undertaking cutting, pruning and tree trimming techniques near electrical apparatus</w:t>
            </w:r>
          </w:p>
          <w:p w:rsidR="00000000" w:rsidRPr="00EA2BC6" w:rsidP="00EA2BC6">
            <w:pPr>
              <w:pStyle w:val="ListBullet2"/>
            </w:pPr>
            <w:r w:rsidRPr="00EA2BC6">
              <w:t>conducti</w:t>
            </w:r>
            <w:r w:rsidRPr="00EA2BC6">
              <w:t>ng pre- and post-operational checks, inspection and minor maintenance</w:t>
            </w:r>
          </w:p>
          <w:p w:rsidR="00000000" w:rsidRPr="00EA2BC6" w:rsidP="00EA2BC6">
            <w:pPr>
              <w:pStyle w:val="ListBullet2"/>
            </w:pPr>
            <w:r w:rsidRPr="00EA2BC6">
              <w:t>safely deploying equipment and tools in varying ground conditions and weather</w:t>
            </w:r>
          </w:p>
          <w:p w:rsidR="00000000" w:rsidRPr="00EA2BC6" w:rsidP="00EA2BC6">
            <w:pPr>
              <w:pStyle w:val="ListBullet2"/>
            </w:pPr>
            <w:r w:rsidRPr="00EA2BC6">
              <w:t xml:space="preserve">safely removing debris </w:t>
            </w:r>
          </w:p>
          <w:p w:rsidR="00000000" w:rsidRPr="00EA2BC6" w:rsidP="00EA2BC6">
            <w:pPr>
              <w:pStyle w:val="ListBullet"/>
            </w:pPr>
            <w:r w:rsidRPr="00EA2BC6">
              <w:t>dealing with unplanned events on at least one (1) occasion.</w:t>
            </w:r>
          </w:p>
        </w:tc>
      </w:tr>
    </w:tbl>
    <w:p w:rsidR="00000000" w:rsidRPr="00EA2BC6" w:rsidP="00EA2BC6">
      <w:pPr>
        <w:pStyle w:val="NoPaddingFontSize1"/>
      </w:pPr>
    </w:p>
    <w:p w:rsidR="00000000" w:rsidRPr="00EA2BC6" w:rsidP="00EA2BC6">
      <w:pPr>
        <w:pStyle w:val="AllowPageBreak"/>
      </w:pPr>
    </w:p>
    <w:p w:rsidR="00000000" w:rsidRPr="00EA2BC6" w:rsidP="00EA2BC6">
      <w:pPr>
        <w:pStyle w:val="Heading1"/>
      </w:pPr>
      <w:bookmarkStart w:id="3" w:name="O_1006024"/>
      <w:bookmarkEnd w:id="3"/>
      <w:r w:rsidRPr="00EA2BC6">
        <w:t>Knowledge Evidence</w:t>
      </w:r>
    </w:p>
    <w:tbl>
      <w:tblPr>
        <w:tblW w:w="9497" w:type="dxa"/>
        <w:tblLayout w:type="fixed"/>
        <w:tblCellMar>
          <w:left w:w="62" w:type="dxa"/>
          <w:right w:w="62" w:type="dxa"/>
        </w:tblCellMar>
        <w:tblLook w:val="0000"/>
      </w:tblPr>
      <w:tblGrid>
        <w:gridCol w:w="9497"/>
      </w:tblGrid>
      <w:tr w:rsidTr="00EA2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2BC6">
            <w:pPr>
              <w:pStyle w:val="BodyText"/>
              <w:rPr>
                <w:lang w:val="en-NZ"/>
              </w:rPr>
            </w:pPr>
            <w:r w:rsidRPr="00EA2BC6">
              <w:t>Evidence required to demonstrate competence in this unit must be relevant to and satisfy all of the requirements of the elements and performance criteria and include knowledge of:</w:t>
            </w:r>
          </w:p>
        </w:tc>
      </w:tr>
      <w:tr w:rsidTr="00EA2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BC6" w:rsidP="00EA2BC6">
            <w:pPr>
              <w:pStyle w:val="ListBullet"/>
            </w:pPr>
            <w:r w:rsidRPr="00EA2BC6">
              <w:t>techniques in operating tools and equipment from an EWP</w:t>
            </w:r>
            <w:r w:rsidRPr="00EA2BC6">
              <w:t xml:space="preserve"> encompassing:</w:t>
            </w:r>
          </w:p>
          <w:p w:rsidR="00000000" w:rsidRPr="00EA2BC6" w:rsidP="00EA2BC6">
            <w:pPr>
              <w:pStyle w:val="ListBullet2"/>
            </w:pPr>
            <w:r w:rsidRPr="00EA2BC6">
              <w:t xml:space="preserve">Commonwealth/state/territory and local government legislation, standards, codes, supply authority regulations and/or enterprise requirements, including relevant certification and licensing applicable to the operating of tools and equipment </w:t>
            </w:r>
            <w:r w:rsidRPr="00EA2BC6">
              <w:t>from a platform</w:t>
            </w:r>
          </w:p>
          <w:p w:rsidR="00000000" w:rsidRPr="00EA2BC6" w:rsidP="00EA2BC6">
            <w:pPr>
              <w:pStyle w:val="ListBullet2"/>
            </w:pPr>
            <w:r w:rsidRPr="00EA2BC6">
              <w:t>types of EW’s used for vegetation control</w:t>
            </w:r>
          </w:p>
          <w:p w:rsidR="00000000" w:rsidRPr="00EA2BC6" w:rsidP="00EA2BC6">
            <w:pPr>
              <w:pStyle w:val="ListBullet2"/>
            </w:pPr>
            <w:r w:rsidRPr="00EA2BC6">
              <w:t>advantages and disadvantages of each type of EWP</w:t>
            </w:r>
          </w:p>
          <w:p w:rsidR="00000000" w:rsidRPr="00EA2BC6" w:rsidP="00EA2BC6">
            <w:pPr>
              <w:pStyle w:val="ListBullet2"/>
            </w:pPr>
            <w:r w:rsidRPr="00EA2BC6">
              <w:t>types of pre-operational checks on EWPs</w:t>
            </w:r>
          </w:p>
          <w:p w:rsidR="00000000" w:rsidRPr="00EA2BC6" w:rsidP="00EA2BC6">
            <w:pPr>
              <w:pStyle w:val="ListBullet2"/>
            </w:pPr>
            <w:r w:rsidRPr="00EA2BC6">
              <w:t>electrical test requirements e.g. test and certify periodically</w:t>
            </w:r>
          </w:p>
          <w:p w:rsidR="00000000" w:rsidRPr="00EA2BC6" w:rsidP="00EA2BC6">
            <w:pPr>
              <w:pStyle w:val="ListBullet2"/>
            </w:pPr>
            <w:r w:rsidRPr="00EA2BC6">
              <w:t>transporting and storage methods</w:t>
            </w:r>
          </w:p>
          <w:p w:rsidR="00000000" w:rsidRPr="00EA2BC6" w:rsidP="00EA2BC6">
            <w:pPr>
              <w:pStyle w:val="ListBullet2"/>
            </w:pPr>
            <w:r w:rsidRPr="00EA2BC6">
              <w:t>safety precautions when using EWPs</w:t>
            </w:r>
          </w:p>
          <w:p w:rsidR="00000000" w:rsidRPr="00EA2BC6" w:rsidP="00EA2BC6">
            <w:pPr>
              <w:pStyle w:val="ListBullet2"/>
            </w:pPr>
            <w:r w:rsidRPr="00EA2BC6">
              <w:t>proper use of EWPs</w:t>
            </w:r>
          </w:p>
          <w:p w:rsidR="00000000" w:rsidRPr="00EA2BC6" w:rsidP="00EA2BC6">
            <w:pPr>
              <w:pStyle w:val="ListBullet2"/>
            </w:pPr>
            <w:r w:rsidRPr="00EA2BC6">
              <w:t>earthing of the EWP</w:t>
            </w:r>
          </w:p>
          <w:p w:rsidR="00000000" w:rsidRPr="00EA2BC6" w:rsidP="00EA2BC6">
            <w:pPr>
              <w:pStyle w:val="ListBullet2"/>
            </w:pPr>
            <w:r w:rsidRPr="00EA2BC6">
              <w:t>proper methods of mounting and alighting EWPs</w:t>
            </w:r>
          </w:p>
          <w:p w:rsidR="00000000" w:rsidRPr="00EA2BC6" w:rsidP="00EA2BC6">
            <w:pPr>
              <w:pStyle w:val="ListBullet2"/>
            </w:pPr>
            <w:r w:rsidRPr="00EA2BC6">
              <w:t>hydraulic tools</w:t>
            </w:r>
          </w:p>
          <w:p w:rsidR="00000000" w:rsidRPr="00EA2BC6" w:rsidP="00EA2BC6">
            <w:pPr>
              <w:pStyle w:val="ListBullet2"/>
            </w:pPr>
            <w:r w:rsidRPr="00EA2BC6">
              <w:t>use of insulated EWPs - insulated EWP operator</w:t>
            </w:r>
          </w:p>
          <w:p w:rsidR="00000000" w:rsidRPr="00EA2BC6" w:rsidP="00EA2BC6">
            <w:pPr>
              <w:pStyle w:val="ListBullet2"/>
            </w:pPr>
            <w:r w:rsidRPr="00EA2BC6">
              <w:t>EWP operational techniques on a platform - height safety and working alof</w:t>
            </w:r>
            <w:r w:rsidRPr="00EA2BC6">
              <w:t>t</w:t>
            </w:r>
          </w:p>
          <w:p w:rsidR="00000000" w:rsidRPr="00EA2BC6" w:rsidP="00EA2BC6">
            <w:pPr>
              <w:pStyle w:val="ListBullet2"/>
            </w:pPr>
            <w:r w:rsidRPr="00EA2BC6">
              <w:t>understanding of definitions of drop zone and full zone</w:t>
            </w:r>
          </w:p>
          <w:p w:rsidR="00000000" w:rsidRPr="00EA2BC6" w:rsidP="00EA2BC6">
            <w:pPr>
              <w:pStyle w:val="ListBullet2"/>
            </w:pPr>
            <w:r w:rsidRPr="00EA2BC6">
              <w:t>safety precautions specific to working on EWPs - safe working practices and procedures; WHS/OHS hazards and precautions; identification of WHS/OHS hazards; assessment and control of WHS/OHS risks; t</w:t>
            </w:r>
            <w:r w:rsidRPr="00EA2BC6">
              <w:t>ypes, selection, maintenance, storage and use of PPE, including harnesses; dangers of working in confined spaces and at heights while on an EWP;  role of safety observer; permit to work systems and isolation procedures/protocols</w:t>
            </w:r>
          </w:p>
          <w:p w:rsidR="00000000" w:rsidRPr="00EA2BC6" w:rsidP="00EA2BC6">
            <w:pPr>
              <w:pStyle w:val="ListBullet2"/>
            </w:pPr>
            <w:r w:rsidRPr="00EA2BC6">
              <w:t>safe working policies and p</w:t>
            </w:r>
            <w:r w:rsidRPr="00EA2BC6">
              <w:t>rocedures</w:t>
            </w:r>
          </w:p>
          <w:p w:rsidR="00000000" w:rsidRPr="00EA2BC6" w:rsidP="00EA2BC6">
            <w:pPr>
              <w:pStyle w:val="ListBullet"/>
            </w:pPr>
            <w:r w:rsidRPr="00EA2BC6">
              <w:t>enterprise-specific vegetation control equipment encompassing:</w:t>
            </w:r>
          </w:p>
          <w:p w:rsidR="00000000" w:rsidRPr="00EA2BC6" w:rsidP="00EA2BC6">
            <w:pPr>
              <w:pStyle w:val="ListBullet2"/>
            </w:pPr>
            <w:r w:rsidRPr="00EA2BC6">
              <w:t>types and application of vegetation cutting tools – chainsaws, hydraulic pruning saws, tool line and specialised pruning tools (cocky beaks and pruning saws)</w:t>
            </w:r>
          </w:p>
          <w:p w:rsidR="00000000" w:rsidRPr="00EA2BC6" w:rsidP="00EA2BC6">
            <w:pPr>
              <w:pStyle w:val="ListBullet2"/>
            </w:pPr>
            <w:r w:rsidRPr="00EA2BC6">
              <w:t>purpose and use of cutting plans relevant to the vegetation type</w:t>
            </w:r>
          </w:p>
          <w:p w:rsidR="00000000" w:rsidRPr="00EA2BC6" w:rsidP="00EA2BC6">
            <w:pPr>
              <w:pStyle w:val="ListBullet2"/>
            </w:pPr>
            <w:r w:rsidRPr="00EA2BC6">
              <w:t>cutting techniques of vegetation control tools and equipment</w:t>
            </w:r>
          </w:p>
          <w:p w:rsidR="00000000" w:rsidRPr="00EA2BC6" w:rsidP="00EA2BC6">
            <w:pPr>
              <w:pStyle w:val="ListBullet2"/>
            </w:pPr>
            <w:r w:rsidRPr="00EA2BC6">
              <w:t>techniques in undertaking different branch cuts - scarf under-cut, top cut technique, top scarf bottom-back cut technique, and sid</w:t>
            </w:r>
            <w:r w:rsidRPr="00EA2BC6">
              <w:t>e scarf opposite back-cut technique</w:t>
            </w:r>
          </w:p>
          <w:p w:rsidR="00000000" w:rsidRPr="00EA2BC6" w:rsidP="00EA2BC6">
            <w:pPr>
              <w:pStyle w:val="ListBullet2"/>
            </w:pPr>
            <w:r w:rsidRPr="00EA2BC6">
              <w:t>techniques in safe methods of controlling the descent of vegetation in an electrical environment - safety procedures, including safety ropes and lines; checking and setting up equipment; load calculations/estimations; te</w:t>
            </w:r>
            <w:r w:rsidRPr="00EA2BC6">
              <w:t>chniques in using lowering equipment; determining the serviceability of ropes and other lowering devices</w:t>
            </w:r>
          </w:p>
          <w:p w:rsidR="00000000" w:rsidRPr="00EA2BC6" w:rsidP="00EA2BC6">
            <w:pPr>
              <w:pStyle w:val="ListBullet2"/>
            </w:pPr>
            <w:r w:rsidRPr="00EA2BC6">
              <w:t>pre-operational checks on vegetation control tools and equipment</w:t>
            </w:r>
          </w:p>
          <w:p w:rsidR="00000000" w:rsidRPr="00EA2BC6" w:rsidP="00EA2BC6">
            <w:pPr>
              <w:pStyle w:val="ListBullet2"/>
            </w:pPr>
            <w:r w:rsidRPr="00EA2BC6">
              <w:t>techniques in safely using vegetation control equipment - visual inspection of vegetat</w:t>
            </w:r>
            <w:r w:rsidRPr="00EA2BC6">
              <w:t>ion control equipment, methods of using equipment at heights and in confined spaces, and precautions to note during use of equipment (proximity of other personnel, proximity of powerlines and obstacles, and possible fire danger due to sparks)</w:t>
            </w:r>
          </w:p>
          <w:p w:rsidR="00000000" w:rsidRPr="00EA2BC6" w:rsidP="00EA2BC6">
            <w:pPr>
              <w:pStyle w:val="ListBullet2"/>
            </w:pPr>
            <w:r w:rsidRPr="00EA2BC6">
              <w:t xml:space="preserve">types of PPE </w:t>
            </w:r>
            <w:r w:rsidRPr="00EA2BC6">
              <w:t>used in conjunction with vegetation control equipment - head protection, eye protection, hearing protection, hand protection, foot protection, body protection and general protection</w:t>
            </w:r>
          </w:p>
          <w:p w:rsidR="00000000" w:rsidRPr="00EA2BC6" w:rsidP="00EA2BC6">
            <w:pPr>
              <w:pStyle w:val="ListBullet2"/>
            </w:pPr>
            <w:r w:rsidRPr="00EA2BC6">
              <w:t>basic maintenance of vegetation control equipment - cleaning, proper stora</w:t>
            </w:r>
            <w:r w:rsidRPr="00EA2BC6">
              <w:t>ge, basic repair and replacement, and testing for compliance to manufacturer and WHS/OHS requirements.</w:t>
            </w:r>
          </w:p>
        </w:tc>
      </w:tr>
    </w:tbl>
    <w:p w:rsidR="00000000" w:rsidRPr="00EA2BC6" w:rsidP="00EA2BC6">
      <w:pPr>
        <w:pStyle w:val="NoPaddingFontSize1"/>
      </w:pPr>
    </w:p>
    <w:p w:rsidR="00000000" w:rsidRPr="00EA2BC6" w:rsidP="00EA2BC6">
      <w:pPr>
        <w:pStyle w:val="AllowPageBreak"/>
      </w:pPr>
    </w:p>
    <w:p w:rsidR="00000000" w:rsidRPr="00EA2BC6" w:rsidP="00EA2BC6">
      <w:pPr>
        <w:pStyle w:val="Heading1"/>
      </w:pPr>
      <w:bookmarkStart w:id="4" w:name="O_1006025"/>
      <w:bookmarkEnd w:id="4"/>
      <w:r w:rsidRPr="00EA2BC6">
        <w:t>Assessment Conditions</w:t>
      </w:r>
    </w:p>
    <w:tbl>
      <w:tblPr>
        <w:tblW w:w="9497" w:type="dxa"/>
        <w:tblLayout w:type="fixed"/>
        <w:tblCellMar>
          <w:left w:w="62" w:type="dxa"/>
          <w:right w:w="62" w:type="dxa"/>
        </w:tblCellMar>
        <w:tblLook w:val="0000"/>
      </w:tblPr>
      <w:tblGrid>
        <w:gridCol w:w="9497"/>
      </w:tblGrid>
      <w:tr w:rsidTr="00EA2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BC6" w:rsidP="00EA2BC6">
            <w:pPr>
              <w:pStyle w:val="BodyText"/>
            </w:pPr>
            <w:r w:rsidRPr="00EA2BC6">
              <w:t>Assessors must hold credentials specified within the Standards for Registered Training Organisations current at the time of assessment.</w:t>
            </w:r>
          </w:p>
          <w:p w:rsidR="00000000" w:rsidRPr="00EA2BC6" w:rsidP="00EA2BC6">
            <w:pPr>
              <w:pStyle w:val="BodyText"/>
            </w:pPr>
            <w:r w:rsidRPr="00EA2BC6">
              <w:t>Assessment must satisfy the Principles of Assessment and Rules of Evidence and all regulatory requirements included with</w:t>
            </w:r>
            <w:r w:rsidRPr="00EA2BC6">
              <w:t>in the Standards for Registered Training Organisations current at the time of assessment.</w:t>
            </w:r>
          </w:p>
          <w:p w:rsidR="00000000" w:rsidRPr="00EA2BC6" w:rsidP="00EA2BC6">
            <w:pPr>
              <w:pStyle w:val="BodyText"/>
            </w:pPr>
            <w:r w:rsidRPr="00EA2BC6">
              <w:t>Assessment must occur in workplace operational situations where it is appropriate to do so; where this is not appropriate, assessment must occur in simulated conditio</w:t>
            </w:r>
            <w:r w:rsidRPr="00EA2BC6">
              <w:t>ns involving realistic and authentic activities that replicate operational workplace conditions.</w:t>
            </w:r>
          </w:p>
          <w:p w:rsidR="00000000" w:rsidRPr="00EA2BC6" w:rsidP="00EA2BC6">
            <w:pPr>
              <w:pStyle w:val="BodyText"/>
            </w:pPr>
            <w:r w:rsidRPr="00EA2BC6">
              <w:t>Assessment processes and techniques must be appropriate to the language, literacy and numeracy requirements of the work being performed and the needs of the ca</w:t>
            </w:r>
            <w:r w:rsidRPr="00EA2BC6">
              <w:t>ndidate.</w:t>
            </w:r>
          </w:p>
          <w:p w:rsidR="00000000" w:rsidRPr="00EA2BC6" w:rsidP="00EA2BC6">
            <w:pPr>
              <w:pStyle w:val="BodyText"/>
            </w:pPr>
            <w:r w:rsidRPr="00EA2BC6">
              <w:t>Resources for assessment must include access to:</w:t>
            </w:r>
          </w:p>
          <w:p w:rsidR="00000000" w:rsidRPr="00EA2BC6" w:rsidP="00EA2BC6">
            <w:pPr>
              <w:pStyle w:val="ListBullet"/>
            </w:pPr>
            <w:r w:rsidRPr="00EA2BC6">
              <w:t>a range of relevant exercises, case studies and/or other simulations</w:t>
            </w:r>
          </w:p>
          <w:p w:rsidR="00000000" w:rsidRPr="00EA2BC6" w:rsidP="00EA2BC6">
            <w:pPr>
              <w:pStyle w:val="ListBullet"/>
            </w:pPr>
            <w:r w:rsidRPr="00EA2BC6">
              <w:t>relevant and appropriate materials, tools, equipment and PPE currently used in industry</w:t>
            </w:r>
          </w:p>
          <w:p w:rsidR="00000000" w:rsidRPr="00EA2BC6" w:rsidP="00EA2BC6">
            <w:pPr>
              <w:pStyle w:val="ListBullet"/>
            </w:pPr>
            <w:r w:rsidRPr="00EA2BC6">
              <w:t>applicable documentation including workp</w:t>
            </w:r>
            <w:r w:rsidRPr="00EA2BC6">
              <w:t>lace procedures, equipment specifications, regulations, codes of practice and operation manuals.</w:t>
            </w:r>
          </w:p>
        </w:tc>
      </w:tr>
    </w:tbl>
    <w:p w:rsidR="00000000" w:rsidRPr="00EA2BC6" w:rsidP="00EA2BC6">
      <w:pPr>
        <w:pStyle w:val="NoPaddingFontSize1"/>
      </w:pPr>
    </w:p>
    <w:p w:rsidR="00000000" w:rsidRPr="00EA2BC6" w:rsidP="00EA2BC6">
      <w:pPr>
        <w:pStyle w:val="AllowPageBreak"/>
      </w:pPr>
    </w:p>
    <w:p w:rsidR="00000000" w:rsidRPr="00EA2BC6" w:rsidP="00EA2BC6">
      <w:pPr>
        <w:pStyle w:val="Heading1"/>
      </w:pPr>
      <w:bookmarkStart w:id="5" w:name="O_1006028"/>
      <w:bookmarkEnd w:id="5"/>
      <w:r w:rsidRPr="00EA2BC6">
        <w:t>Links</w:t>
      </w:r>
    </w:p>
    <w:p w:rsidR="00000000" w:rsidRPr="00EA2BC6" w:rsidP="00FE3B13">
      <w:pPr>
        <w:pStyle w:val="BodyText"/>
      </w:pPr>
      <w:r w:rsidRPr="00EA2BC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51E2C">
        <w:rPr>
          <w:rStyle w:val="Hyperlink"/>
        </w:rPr>
        <w:t>https://vetnet.gov.au/Pages/TrainingDocs.aspx?q=229bace1-b7bc-4653-9300-dffb13ecfad7</w:t>
      </w:r>
      <w:r>
        <w:fldChar w:fldCharType="end"/>
      </w:r>
    </w:p>
    <w:p w:rsidR="00000000" w:rsidRPr="00EA2BC6" w:rsidP="00EA2BC6"/>
    <w:sectPr w:rsidSect="00EA2B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C6" w:rsidRPr="00FE3B13" w:rsidP="00FE3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13" w:rsidP="00EA2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3B13" w:rsidP="00EA2BC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E3B13" w:rsidP="00EA2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BC6" w:rsidRPr="00FE3B13" w:rsidP="00FE3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13" w:rsidRPr="002D2AF8" w:rsidP="00EA2BC6">
    <w:pPr>
      <w:pStyle w:val="Header"/>
      <w:framePr w:wrap="around"/>
    </w:pPr>
    <w:r>
      <w:fldChar w:fldCharType="begin"/>
    </w:r>
    <w:r>
      <w:instrText xml:space="preserve"> TITLE   \* MERGEFORMAT </w:instrText>
    </w:r>
    <w:r>
      <w:fldChar w:fldCharType="separate"/>
    </w:r>
    <w:r>
      <w:t>Assessment Requirements for UETTDRVC25 Use elevated platform to cut vegetation above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E3B13" w:rsidP="00EA2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C8B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F6C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E6A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BC6"/>
    <w:pPr>
      <w:spacing w:before="360" w:after="60"/>
      <w:outlineLvl w:val="0"/>
    </w:pPr>
    <w:rPr>
      <w:sz w:val="32"/>
    </w:rPr>
  </w:style>
  <w:style w:type="paragraph" w:styleId="Heading2">
    <w:name w:val="heading 2"/>
    <w:basedOn w:val="HeadingBase"/>
    <w:next w:val="BodyText"/>
    <w:link w:val="Heading2Char"/>
    <w:qFormat/>
    <w:rsid w:val="00EA2BC6"/>
    <w:pPr>
      <w:keepLines/>
      <w:spacing w:before="240" w:after="120"/>
      <w:outlineLvl w:val="1"/>
    </w:pPr>
    <w:rPr>
      <w:sz w:val="28"/>
      <w:szCs w:val="40"/>
    </w:rPr>
  </w:style>
  <w:style w:type="paragraph" w:styleId="Heading3">
    <w:name w:val="heading 3"/>
    <w:basedOn w:val="HeadingBase"/>
    <w:next w:val="BodyText"/>
    <w:link w:val="Heading3Char"/>
    <w:qFormat/>
    <w:rsid w:val="00EA2BC6"/>
    <w:pPr>
      <w:spacing w:before="180" w:after="120"/>
      <w:outlineLvl w:val="2"/>
    </w:pPr>
    <w:rPr>
      <w:spacing w:val="-10"/>
      <w:kern w:val="32"/>
    </w:rPr>
  </w:style>
  <w:style w:type="paragraph" w:styleId="Heading4">
    <w:name w:val="heading 4"/>
    <w:basedOn w:val="HeadingBase"/>
    <w:next w:val="BodyText"/>
    <w:link w:val="Heading4Char"/>
    <w:qFormat/>
    <w:rsid w:val="00EA2BC6"/>
    <w:pPr>
      <w:spacing w:before="160" w:after="120"/>
      <w:outlineLvl w:val="3"/>
    </w:pPr>
    <w:rPr>
      <w:sz w:val="22"/>
    </w:rPr>
  </w:style>
  <w:style w:type="paragraph" w:styleId="Heading5">
    <w:name w:val="heading 5"/>
    <w:basedOn w:val="HeadingBase"/>
    <w:next w:val="Normal"/>
    <w:link w:val="Heading5Char"/>
    <w:qFormat/>
    <w:rsid w:val="00EA2BC6"/>
    <w:pPr>
      <w:spacing w:before="80"/>
      <w:outlineLvl w:val="4"/>
    </w:pPr>
    <w:rPr>
      <w:color w:val="918585"/>
      <w:sz w:val="20"/>
    </w:rPr>
  </w:style>
  <w:style w:type="paragraph" w:styleId="Heading6">
    <w:name w:val="heading 6"/>
    <w:basedOn w:val="HeadingBase"/>
    <w:next w:val="Normal"/>
    <w:link w:val="Heading6Char"/>
    <w:qFormat/>
    <w:rsid w:val="00EA2BC6"/>
    <w:pPr>
      <w:spacing w:before="60"/>
      <w:outlineLvl w:val="5"/>
    </w:pPr>
    <w:rPr>
      <w:color w:val="918585"/>
      <w:sz w:val="20"/>
    </w:rPr>
  </w:style>
  <w:style w:type="paragraph" w:styleId="Heading7">
    <w:name w:val="heading 7"/>
    <w:basedOn w:val="Normal"/>
    <w:next w:val="Normal"/>
    <w:link w:val="Heading7Char"/>
    <w:qFormat/>
    <w:rsid w:val="00EA2BC6"/>
    <w:pPr>
      <w:ind w:left="720"/>
      <w:outlineLvl w:val="6"/>
    </w:pPr>
    <w:rPr>
      <w:i/>
    </w:rPr>
  </w:style>
  <w:style w:type="paragraph" w:styleId="Heading8">
    <w:name w:val="heading 8"/>
    <w:basedOn w:val="Normal"/>
    <w:next w:val="Normal"/>
    <w:link w:val="Heading8Char"/>
    <w:qFormat/>
    <w:rsid w:val="00EA2BC6"/>
    <w:pPr>
      <w:ind w:left="720"/>
      <w:outlineLvl w:val="7"/>
    </w:pPr>
    <w:rPr>
      <w:i/>
    </w:rPr>
  </w:style>
  <w:style w:type="paragraph" w:styleId="Heading9">
    <w:name w:val="heading 9"/>
    <w:basedOn w:val="Normal"/>
    <w:next w:val="Normal"/>
    <w:link w:val="Heading9Char"/>
    <w:qFormat/>
    <w:rsid w:val="00EA2BC6"/>
    <w:pPr>
      <w:ind w:left="720"/>
      <w:outlineLvl w:val="8"/>
    </w:pPr>
    <w:rPr>
      <w:i/>
    </w:rPr>
  </w:style>
  <w:style w:type="character" w:default="1" w:styleId="DefaultParagraphFont">
    <w:name w:val="Default Paragraph Font"/>
    <w:uiPriority w:val="1"/>
    <w:unhideWhenUsed/>
    <w:rsid w:val="00EA2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BC6"/>
  </w:style>
  <w:style w:type="character" w:customStyle="1" w:styleId="Heading1Char">
    <w:name w:val="Heading 1 Char"/>
    <w:basedOn w:val="DefaultParagraphFont"/>
    <w:link w:val="Heading1"/>
    <w:rsid w:val="00EA2BC6"/>
    <w:rPr>
      <w:rFonts w:ascii="Times New Roman" w:eastAsia="Times New Roman" w:hAnsi="Times New Roman" w:cs="Times New Roman"/>
      <w:b/>
      <w:sz w:val="32"/>
      <w:szCs w:val="20"/>
      <w:lang w:eastAsia="en-US"/>
    </w:rPr>
  </w:style>
  <w:style w:type="paragraph" w:styleId="BodyText">
    <w:name w:val="Body Text"/>
    <w:basedOn w:val="Normal"/>
    <w:link w:val="BodyTextChar"/>
    <w:rsid w:val="00EA2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BC6"/>
    <w:rPr>
      <w:rFonts w:ascii="Times New Roman" w:eastAsia="Times New Roman" w:hAnsi="Times New Roman" w:cs="Times New Roman"/>
      <w:sz w:val="24"/>
      <w:lang w:eastAsia="en-US"/>
    </w:rPr>
  </w:style>
  <w:style w:type="paragraph" w:styleId="ListBullet">
    <w:name w:val="List Bullet"/>
    <w:basedOn w:val="List"/>
    <w:rsid w:val="00EA2BC6"/>
    <w:pPr>
      <w:numPr>
        <w:numId w:val="12"/>
      </w:numPr>
      <w:tabs>
        <w:tab w:val="clear" w:pos="340"/>
      </w:tabs>
      <w:spacing w:before="40" w:after="40"/>
    </w:pPr>
  </w:style>
  <w:style w:type="paragraph" w:styleId="ListBullet2">
    <w:name w:val="List Bullet 2"/>
    <w:basedOn w:val="List2"/>
    <w:rsid w:val="00EA2BC6"/>
    <w:pPr>
      <w:numPr>
        <w:numId w:val="13"/>
      </w:numPr>
      <w:tabs>
        <w:tab w:val="clear" w:pos="680"/>
      </w:tabs>
    </w:pPr>
  </w:style>
  <w:style w:type="paragraph" w:customStyle="1" w:styleId="SuperHeading">
    <w:name w:val="SuperHeading"/>
    <w:basedOn w:val="Normal"/>
    <w:rsid w:val="00EA2BC6"/>
    <w:pPr>
      <w:spacing w:before="240" w:after="120"/>
      <w:outlineLvl w:val="0"/>
    </w:pPr>
    <w:rPr>
      <w:rFonts w:ascii="Times New Roman" w:hAnsi="Times New Roman"/>
      <w:b/>
      <w:sz w:val="32"/>
    </w:rPr>
  </w:style>
  <w:style w:type="paragraph" w:customStyle="1" w:styleId="AllowPageBreak">
    <w:name w:val="AllowPageBreak"/>
    <w:rsid w:val="00EA2B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2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BC6"/>
    <w:rPr>
      <w:rFonts w:ascii="Courier New" w:eastAsia="Times New Roman" w:hAnsi="Courier New" w:cs="Times New Roman"/>
      <w:i/>
      <w:szCs w:val="20"/>
      <w:lang w:eastAsia="en-US"/>
    </w:rPr>
  </w:style>
  <w:style w:type="paragraph" w:customStyle="1" w:styleId="HeadingBase">
    <w:name w:val="Heading Base"/>
    <w:rsid w:val="00EA2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BC6"/>
    <w:pPr>
      <w:tabs>
        <w:tab w:val="right" w:leader="dot" w:pos="9072"/>
      </w:tabs>
      <w:ind w:left="567"/>
    </w:pPr>
    <w:rPr>
      <w:szCs w:val="22"/>
    </w:rPr>
  </w:style>
  <w:style w:type="paragraph" w:customStyle="1" w:styleId="TOCBase">
    <w:name w:val="TOC Base"/>
    <w:rsid w:val="00EA2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BC6"/>
    <w:pPr>
      <w:tabs>
        <w:tab w:val="right" w:leader="dot" w:pos="9072"/>
      </w:tabs>
      <w:spacing w:before="40" w:after="40"/>
      <w:ind w:left="284"/>
    </w:pPr>
    <w:rPr>
      <w:rFonts w:ascii="Times New Roman" w:hAnsi="Times New Roman"/>
    </w:rPr>
  </w:style>
  <w:style w:type="paragraph" w:styleId="TOC1">
    <w:name w:val="toc 1"/>
    <w:basedOn w:val="TOCBase"/>
    <w:next w:val="Normal"/>
    <w:rsid w:val="00EA2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BC6"/>
    <w:rPr>
      <w:rFonts w:ascii="Times New Roman" w:eastAsia="Times New Roman" w:hAnsi="Times New Roman" w:cs="Times New Roman"/>
      <w:sz w:val="16"/>
      <w:lang w:eastAsia="en-US"/>
    </w:rPr>
  </w:style>
  <w:style w:type="paragraph" w:styleId="Title">
    <w:name w:val="Title"/>
    <w:basedOn w:val="HeadingBase"/>
    <w:link w:val="TitleChar"/>
    <w:qFormat/>
    <w:rsid w:val="00EA2BC6"/>
    <w:pPr>
      <w:spacing w:before="5040"/>
      <w:jc w:val="center"/>
    </w:pPr>
    <w:rPr>
      <w:sz w:val="48"/>
      <w:szCs w:val="72"/>
      <w:lang w:val="en-US"/>
    </w:rPr>
  </w:style>
  <w:style w:type="character" w:customStyle="1" w:styleId="TitleChar">
    <w:name w:val="Title Char"/>
    <w:basedOn w:val="DefaultParagraphFont"/>
    <w:link w:val="Title"/>
    <w:rsid w:val="00EA2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BC6"/>
    <w:pPr>
      <w:tabs>
        <w:tab w:val="left" w:pos="3600"/>
        <w:tab w:val="left" w:pos="3958"/>
      </w:tabs>
    </w:pPr>
  </w:style>
  <w:style w:type="paragraph" w:styleId="List">
    <w:name w:val="List"/>
    <w:basedOn w:val="BodyText"/>
    <w:next w:val="BodyText"/>
    <w:rsid w:val="00EA2BC6"/>
    <w:pPr>
      <w:tabs>
        <w:tab w:val="left" w:pos="340"/>
      </w:tabs>
      <w:spacing w:before="60" w:after="60"/>
      <w:ind w:left="340" w:hanging="340"/>
    </w:pPr>
  </w:style>
  <w:style w:type="paragraph" w:customStyle="1" w:styleId="Note">
    <w:name w:val="Note"/>
    <w:basedOn w:val="BodyText"/>
    <w:rsid w:val="00EA2B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2BC6"/>
    <w:rPr>
      <w:b/>
      <w:spacing w:val="0"/>
    </w:rPr>
  </w:style>
  <w:style w:type="paragraph" w:customStyle="1" w:styleId="SuperTitle">
    <w:name w:val="SuperTitle"/>
    <w:basedOn w:val="Title"/>
    <w:rsid w:val="00EA2BC6"/>
    <w:pPr>
      <w:framePr w:wrap="auto" w:hAnchor="text" w:y="6049"/>
    </w:pPr>
    <w:rPr>
      <w:color w:val="000000"/>
      <w:sz w:val="40"/>
    </w:rPr>
  </w:style>
  <w:style w:type="paragraph" w:customStyle="1" w:styleId="TOCTitle">
    <w:name w:val="TOCTitle"/>
    <w:basedOn w:val="Heading1"/>
    <w:rsid w:val="00EA2BC6"/>
    <w:pPr>
      <w:spacing w:after="240"/>
      <w:jc w:val="center"/>
      <w:outlineLvl w:val="9"/>
    </w:pPr>
    <w:rPr>
      <w:caps/>
    </w:rPr>
  </w:style>
  <w:style w:type="paragraph" w:customStyle="1" w:styleId="Version">
    <w:name w:val="Version"/>
    <w:rsid w:val="00EA2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BC6"/>
    <w:pPr>
      <w:keepNext w:val="0"/>
      <w:tabs>
        <w:tab w:val="right" w:pos="4176"/>
      </w:tabs>
      <w:ind w:left="198" w:hanging="198"/>
    </w:pPr>
    <w:rPr>
      <w:rFonts w:ascii="Garamond" w:hAnsi="Garamond"/>
    </w:rPr>
  </w:style>
  <w:style w:type="paragraph" w:styleId="IndexHeading">
    <w:name w:val="index heading"/>
    <w:basedOn w:val="Normal"/>
    <w:next w:val="Index1"/>
    <w:semiHidden/>
    <w:rsid w:val="00EA2BC6"/>
    <w:pPr>
      <w:spacing w:before="120" w:after="120"/>
    </w:pPr>
    <w:rPr>
      <w:rFonts w:ascii="Arial" w:hAnsi="Arial"/>
      <w:b/>
      <w:color w:val="918585"/>
      <w:sz w:val="24"/>
    </w:rPr>
  </w:style>
  <w:style w:type="paragraph" w:styleId="Header">
    <w:name w:val="header"/>
    <w:basedOn w:val="Normal"/>
    <w:link w:val="HeaderChar"/>
    <w:rsid w:val="00EA2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BC6"/>
    <w:rPr>
      <w:rFonts w:ascii="Times New Roman" w:eastAsia="Times New Roman" w:hAnsi="Times New Roman" w:cs="Times New Roman"/>
      <w:sz w:val="16"/>
      <w:szCs w:val="20"/>
      <w:lang w:val="en-GB" w:eastAsia="en-US"/>
    </w:rPr>
  </w:style>
  <w:style w:type="paragraph" w:customStyle="1" w:styleId="Chapter">
    <w:name w:val="Chapter"/>
    <w:basedOn w:val="Normal"/>
    <w:rsid w:val="00EA2BC6"/>
    <w:pPr>
      <w:spacing w:before="240"/>
    </w:pPr>
    <w:rPr>
      <w:rFonts w:ascii="Times New Roman" w:hAnsi="Times New Roman"/>
      <w:smallCaps/>
      <w:spacing w:val="80"/>
      <w:sz w:val="28"/>
    </w:rPr>
  </w:style>
  <w:style w:type="paragraph" w:customStyle="1" w:styleId="InChapter">
    <w:name w:val="InChapter"/>
    <w:basedOn w:val="Heading3"/>
    <w:rsid w:val="00EA2BC6"/>
    <w:pPr>
      <w:spacing w:after="240"/>
      <w:outlineLvl w:val="9"/>
    </w:pPr>
    <w:rPr>
      <w:noProof/>
    </w:rPr>
  </w:style>
  <w:style w:type="paragraph" w:styleId="Index2">
    <w:name w:val="index 2"/>
    <w:basedOn w:val="Normal"/>
    <w:next w:val="Normal"/>
    <w:semiHidden/>
    <w:rsid w:val="00EA2BC6"/>
    <w:pPr>
      <w:tabs>
        <w:tab w:val="right" w:pos="4176"/>
      </w:tabs>
      <w:ind w:left="568" w:hanging="284"/>
    </w:pPr>
    <w:rPr>
      <w:rFonts w:ascii="Garamond" w:hAnsi="Garamond"/>
    </w:rPr>
  </w:style>
  <w:style w:type="paragraph" w:customStyle="1" w:styleId="Byline">
    <w:name w:val="Byline"/>
    <w:rsid w:val="00EA2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BC6"/>
    <w:pPr>
      <w:tabs>
        <w:tab w:val="clear" w:pos="3600"/>
        <w:tab w:val="clear" w:pos="3958"/>
      </w:tabs>
      <w:jc w:val="right"/>
    </w:pPr>
  </w:style>
  <w:style w:type="character" w:styleId="Emphasis">
    <w:name w:val="Emphasis"/>
    <w:basedOn w:val="DefaultParagraphFont"/>
    <w:qFormat/>
    <w:rsid w:val="00EA2BC6"/>
    <w:rPr>
      <w:i/>
    </w:rPr>
  </w:style>
  <w:style w:type="paragraph" w:styleId="Caption">
    <w:name w:val="caption"/>
    <w:basedOn w:val="BodyText"/>
    <w:next w:val="Normal"/>
    <w:qFormat/>
    <w:rsid w:val="00EA2BC6"/>
    <w:pPr>
      <w:framePr w:w="2268" w:hSpace="181" w:vSpace="181" w:wrap="around" w:vAnchor="text" w:hAnchor="page" w:x="1135" w:y="285" w:anchorLock="1"/>
    </w:pPr>
    <w:rPr>
      <w:i/>
    </w:rPr>
  </w:style>
  <w:style w:type="paragraph" w:customStyle="1" w:styleId="MiniTOCTitle">
    <w:name w:val="MiniTOCTitle"/>
    <w:basedOn w:val="Heading4"/>
    <w:rsid w:val="00EA2BC6"/>
    <w:pPr>
      <w:spacing w:before="240"/>
      <w:outlineLvl w:val="9"/>
    </w:pPr>
    <w:rPr>
      <w:noProof/>
      <w:sz w:val="24"/>
    </w:rPr>
  </w:style>
  <w:style w:type="paragraph" w:customStyle="1" w:styleId="MiniTOCItem">
    <w:name w:val="MiniTOCItem"/>
    <w:basedOn w:val="ListBullet"/>
    <w:rsid w:val="00EA2BC6"/>
    <w:pPr>
      <w:numPr>
        <w:numId w:val="0"/>
      </w:numPr>
      <w:tabs>
        <w:tab w:val="right" w:leader="dot" w:pos="6521"/>
      </w:tabs>
      <w:spacing w:before="0" w:after="0"/>
    </w:pPr>
  </w:style>
  <w:style w:type="paragraph" w:customStyle="1" w:styleId="TOFTitle">
    <w:name w:val="TOFTitle"/>
    <w:basedOn w:val="TOCTitle"/>
    <w:rsid w:val="00EA2BC6"/>
  </w:style>
  <w:style w:type="paragraph" w:styleId="TableofFigures">
    <w:name w:val="table of figures"/>
    <w:basedOn w:val="Normal"/>
    <w:next w:val="Normal"/>
    <w:semiHidden/>
    <w:rsid w:val="00EA2BC6"/>
    <w:pPr>
      <w:tabs>
        <w:tab w:val="right" w:leader="dot" w:pos="9072"/>
      </w:tabs>
      <w:ind w:left="970" w:hanging="403"/>
    </w:pPr>
    <w:rPr>
      <w:rFonts w:ascii="Times New Roman" w:hAnsi="Times New Roman"/>
      <w:b/>
    </w:rPr>
  </w:style>
  <w:style w:type="paragraph" w:styleId="ListNumber">
    <w:name w:val="List Number"/>
    <w:basedOn w:val="List"/>
    <w:rsid w:val="00EA2BC6"/>
    <w:pPr>
      <w:numPr>
        <w:numId w:val="15"/>
      </w:numPr>
      <w:tabs>
        <w:tab w:val="clear" w:pos="340"/>
      </w:tabs>
    </w:pPr>
  </w:style>
  <w:style w:type="character" w:customStyle="1" w:styleId="WingdingSymbols">
    <w:name w:val="Wingding Symbols"/>
    <w:rsid w:val="00EA2BC6"/>
    <w:rPr>
      <w:rFonts w:ascii="Wingdings" w:hAnsi="Wingdings"/>
    </w:rPr>
  </w:style>
  <w:style w:type="paragraph" w:customStyle="1" w:styleId="TableHeading">
    <w:name w:val="Table Heading"/>
    <w:basedOn w:val="HeadingBase"/>
    <w:rsid w:val="00EA2BC6"/>
    <w:pPr>
      <w:keepLines/>
      <w:pBdr>
        <w:bottom w:val="single" w:sz="6" w:space="1" w:color="918585"/>
      </w:pBdr>
      <w:spacing w:before="240"/>
    </w:pPr>
  </w:style>
  <w:style w:type="character" w:customStyle="1" w:styleId="HotSpot">
    <w:name w:val="HotSpot"/>
    <w:rsid w:val="00EA2BC6"/>
    <w:rPr>
      <w:color w:val="0033CC"/>
      <w:u w:val="none"/>
    </w:rPr>
  </w:style>
  <w:style w:type="paragraph" w:customStyle="1" w:styleId="BodyTextRight">
    <w:name w:val="Body Text Right"/>
    <w:basedOn w:val="BodyText"/>
    <w:rsid w:val="00EA2BC6"/>
    <w:pPr>
      <w:spacing w:before="0" w:after="0"/>
      <w:jc w:val="right"/>
    </w:pPr>
  </w:style>
  <w:style w:type="paragraph" w:styleId="Index3">
    <w:name w:val="index 3"/>
    <w:basedOn w:val="ListNumber2"/>
    <w:next w:val="Normal"/>
    <w:semiHidden/>
    <w:rsid w:val="00EA2BC6"/>
    <w:pPr>
      <w:numPr>
        <w:numId w:val="0"/>
      </w:numPr>
      <w:tabs>
        <w:tab w:val="right" w:leader="dot" w:pos="4176"/>
      </w:tabs>
    </w:pPr>
  </w:style>
  <w:style w:type="paragraph" w:styleId="ListNumber2">
    <w:name w:val="List Number 2"/>
    <w:basedOn w:val="List2"/>
    <w:rsid w:val="00EA2BC6"/>
    <w:pPr>
      <w:numPr>
        <w:numId w:val="10"/>
      </w:numPr>
      <w:tabs>
        <w:tab w:val="clear" w:pos="1060"/>
      </w:tabs>
    </w:pPr>
  </w:style>
  <w:style w:type="paragraph" w:customStyle="1" w:styleId="MarginNote">
    <w:name w:val="Margin Note"/>
    <w:basedOn w:val="BodyText"/>
    <w:rsid w:val="00EA2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BC6"/>
    <w:rPr>
      <w:sz w:val="32"/>
    </w:rPr>
  </w:style>
  <w:style w:type="paragraph" w:customStyle="1" w:styleId="HeadingProcedure">
    <w:name w:val="Heading Procedure"/>
    <w:basedOn w:val="HeadingBase"/>
    <w:next w:val="Normal"/>
    <w:rsid w:val="00EA2BC6"/>
    <w:pPr>
      <w:tabs>
        <w:tab w:val="left" w:pos="0"/>
      </w:tabs>
      <w:spacing w:before="120" w:after="60"/>
    </w:pPr>
    <w:rPr>
      <w:i/>
      <w:color w:val="918585"/>
      <w:sz w:val="22"/>
    </w:rPr>
  </w:style>
  <w:style w:type="paragraph" w:customStyle="1" w:styleId="TableBodyText">
    <w:name w:val="Table Body Text"/>
    <w:basedOn w:val="BodyText"/>
    <w:rsid w:val="00EA2BC6"/>
    <w:pPr>
      <w:spacing w:before="60" w:after="60"/>
    </w:pPr>
  </w:style>
  <w:style w:type="paragraph" w:styleId="ListContinue">
    <w:name w:val="List Continue"/>
    <w:basedOn w:val="List"/>
    <w:rsid w:val="00EA2BC6"/>
    <w:pPr>
      <w:ind w:firstLine="0"/>
    </w:pPr>
  </w:style>
  <w:style w:type="paragraph" w:customStyle="1" w:styleId="ListNote">
    <w:name w:val="List Note"/>
    <w:basedOn w:val="List"/>
    <w:rsid w:val="00EA2BC6"/>
    <w:pPr>
      <w:pBdr>
        <w:top w:val="single" w:sz="6" w:space="2" w:color="918585"/>
        <w:bottom w:val="single" w:sz="6" w:space="2" w:color="918585"/>
      </w:pBdr>
      <w:tabs>
        <w:tab w:val="left" w:pos="1021"/>
      </w:tabs>
      <w:ind w:firstLine="0"/>
    </w:pPr>
  </w:style>
  <w:style w:type="paragraph" w:customStyle="1" w:styleId="Warning">
    <w:name w:val="Warning"/>
    <w:basedOn w:val="BodyText"/>
    <w:rsid w:val="00EA2BC6"/>
    <w:pPr>
      <w:shd w:val="clear" w:color="auto" w:fill="D9D9D9"/>
      <w:tabs>
        <w:tab w:val="left" w:pos="992"/>
      </w:tabs>
      <w:ind w:left="119" w:right="119"/>
    </w:pPr>
    <w:rPr>
      <w:sz w:val="20"/>
    </w:rPr>
  </w:style>
  <w:style w:type="paragraph" w:customStyle="1" w:styleId="MarginIcons">
    <w:name w:val="Margin Icons"/>
    <w:basedOn w:val="BodyText"/>
    <w:rsid w:val="00EA2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BC6"/>
    <w:rPr>
      <w:rFonts w:ascii="Courier New" w:hAnsi="Courier New"/>
    </w:rPr>
  </w:style>
  <w:style w:type="paragraph" w:customStyle="1" w:styleId="NoteBullet">
    <w:name w:val="Note Bullet"/>
    <w:basedOn w:val="Note"/>
    <w:rsid w:val="00EA2BC6"/>
    <w:pPr>
      <w:tabs>
        <w:tab w:val="clear" w:pos="680"/>
      </w:tabs>
      <w:spacing w:before="60" w:after="60"/>
    </w:pPr>
  </w:style>
  <w:style w:type="paragraph" w:customStyle="1" w:styleId="SubHeading2">
    <w:name w:val="SubHeading2"/>
    <w:basedOn w:val="HeadingBase"/>
    <w:rsid w:val="00EA2BC6"/>
    <w:pPr>
      <w:spacing w:before="240" w:after="60"/>
    </w:pPr>
    <w:rPr>
      <w:sz w:val="20"/>
    </w:rPr>
  </w:style>
  <w:style w:type="paragraph" w:customStyle="1" w:styleId="SubHeading1">
    <w:name w:val="SubHeading1"/>
    <w:basedOn w:val="HeadingBase"/>
    <w:rsid w:val="00EA2BC6"/>
    <w:pPr>
      <w:spacing w:before="240" w:after="60"/>
    </w:pPr>
    <w:rPr>
      <w:color w:val="918585"/>
      <w:sz w:val="22"/>
    </w:rPr>
  </w:style>
  <w:style w:type="paragraph" w:customStyle="1" w:styleId="SideHeading">
    <w:name w:val="Side Heading"/>
    <w:basedOn w:val="HeadingBase"/>
    <w:rsid w:val="00EA2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BC6"/>
    <w:pPr>
      <w:tabs>
        <w:tab w:val="num" w:pos="360"/>
      </w:tabs>
    </w:pPr>
  </w:style>
  <w:style w:type="paragraph" w:styleId="PlainText">
    <w:name w:val="Plain Text"/>
    <w:basedOn w:val="Normal"/>
    <w:link w:val="PlainTextChar"/>
    <w:rsid w:val="00EA2BC6"/>
    <w:rPr>
      <w:sz w:val="20"/>
    </w:rPr>
  </w:style>
  <w:style w:type="character" w:customStyle="1" w:styleId="PlainTextChar">
    <w:name w:val="Plain Text Char"/>
    <w:basedOn w:val="DefaultParagraphFont"/>
    <w:link w:val="PlainText"/>
    <w:rsid w:val="00EA2BC6"/>
    <w:rPr>
      <w:rFonts w:ascii="Courier New" w:eastAsia="Times New Roman" w:hAnsi="Courier New" w:cs="Times New Roman"/>
      <w:sz w:val="20"/>
      <w:szCs w:val="20"/>
      <w:lang w:eastAsia="en-US"/>
    </w:rPr>
  </w:style>
  <w:style w:type="character" w:customStyle="1" w:styleId="MenuOption">
    <w:name w:val="Menu Option"/>
    <w:basedOn w:val="DefaultParagraphFont"/>
    <w:rsid w:val="00EA2BC6"/>
    <w:rPr>
      <w:b/>
      <w:smallCaps/>
    </w:rPr>
  </w:style>
  <w:style w:type="paragraph" w:customStyle="1" w:styleId="TableListNumber">
    <w:name w:val="Table List Number"/>
    <w:basedOn w:val="ListNumber"/>
    <w:rsid w:val="00EA2BC6"/>
    <w:pPr>
      <w:numPr>
        <w:numId w:val="0"/>
      </w:numPr>
    </w:pPr>
  </w:style>
  <w:style w:type="paragraph" w:styleId="TOC4">
    <w:name w:val="toc 4"/>
    <w:basedOn w:val="TOCBase"/>
    <w:next w:val="Normal"/>
    <w:semiHidden/>
    <w:rsid w:val="00EA2BC6"/>
    <w:pPr>
      <w:tabs>
        <w:tab w:val="right" w:leader="dot" w:pos="9071"/>
      </w:tabs>
      <w:ind w:left="1701"/>
    </w:pPr>
  </w:style>
  <w:style w:type="paragraph" w:customStyle="1" w:styleId="ListAlpha">
    <w:name w:val="List Alpha"/>
    <w:basedOn w:val="List"/>
    <w:rsid w:val="00EA2BC6"/>
    <w:pPr>
      <w:numPr>
        <w:numId w:val="9"/>
      </w:numPr>
    </w:pPr>
  </w:style>
  <w:style w:type="paragraph" w:customStyle="1" w:styleId="ListAlpha2">
    <w:name w:val="List Alpha 2"/>
    <w:basedOn w:val="List2"/>
    <w:rsid w:val="00EA2BC6"/>
    <w:pPr>
      <w:numPr>
        <w:numId w:val="8"/>
      </w:numPr>
    </w:pPr>
  </w:style>
  <w:style w:type="paragraph" w:styleId="List2">
    <w:name w:val="List 2"/>
    <w:basedOn w:val="BodyText"/>
    <w:rsid w:val="00EA2BC6"/>
    <w:pPr>
      <w:tabs>
        <w:tab w:val="left" w:pos="680"/>
      </w:tabs>
      <w:spacing w:before="60" w:after="60"/>
      <w:ind w:left="680" w:hanging="340"/>
    </w:pPr>
  </w:style>
  <w:style w:type="paragraph" w:styleId="List3">
    <w:name w:val="List 3"/>
    <w:basedOn w:val="BodyText"/>
    <w:rsid w:val="00EA2BC6"/>
    <w:pPr>
      <w:tabs>
        <w:tab w:val="left" w:pos="1021"/>
      </w:tabs>
      <w:spacing w:before="60" w:after="60"/>
      <w:ind w:left="1020" w:hanging="340"/>
    </w:pPr>
  </w:style>
  <w:style w:type="paragraph" w:styleId="List4">
    <w:name w:val="List 4"/>
    <w:basedOn w:val="BodyText"/>
    <w:rsid w:val="00EA2BC6"/>
    <w:pPr>
      <w:tabs>
        <w:tab w:val="left" w:pos="1361"/>
      </w:tabs>
      <w:spacing w:before="60" w:after="60"/>
      <w:ind w:left="1361" w:hanging="340"/>
    </w:pPr>
  </w:style>
  <w:style w:type="paragraph" w:styleId="List5">
    <w:name w:val="List 5"/>
    <w:basedOn w:val="BodyText"/>
    <w:rsid w:val="00EA2BC6"/>
    <w:pPr>
      <w:tabs>
        <w:tab w:val="left" w:pos="1701"/>
      </w:tabs>
      <w:spacing w:before="60" w:after="60"/>
      <w:ind w:left="1701" w:hanging="340"/>
    </w:pPr>
  </w:style>
  <w:style w:type="paragraph" w:styleId="ListBullet3">
    <w:name w:val="List Bullet 3"/>
    <w:basedOn w:val="List3"/>
    <w:rsid w:val="00EA2BC6"/>
    <w:pPr>
      <w:numPr>
        <w:numId w:val="14"/>
      </w:numPr>
      <w:tabs>
        <w:tab w:val="clear" w:pos="1021"/>
      </w:tabs>
      <w:ind w:left="1037" w:hanging="357"/>
    </w:pPr>
  </w:style>
  <w:style w:type="paragraph" w:styleId="ListBullet4">
    <w:name w:val="List Bullet 4"/>
    <w:basedOn w:val="List4"/>
    <w:rsid w:val="00EA2BC6"/>
    <w:pPr>
      <w:numPr>
        <w:numId w:val="3"/>
      </w:numPr>
      <w:tabs>
        <w:tab w:val="clear" w:pos="1361"/>
      </w:tabs>
    </w:pPr>
  </w:style>
  <w:style w:type="paragraph" w:styleId="ListBullet5">
    <w:name w:val="List Bullet 5"/>
    <w:basedOn w:val="List5"/>
    <w:rsid w:val="00EA2BC6"/>
    <w:pPr>
      <w:numPr>
        <w:numId w:val="4"/>
      </w:numPr>
    </w:pPr>
  </w:style>
  <w:style w:type="paragraph" w:styleId="ListContinue2">
    <w:name w:val="List Continue 2"/>
    <w:basedOn w:val="List2"/>
    <w:rsid w:val="00EA2BC6"/>
    <w:pPr>
      <w:ind w:firstLine="0"/>
    </w:pPr>
  </w:style>
  <w:style w:type="paragraph" w:styleId="ListContinue3">
    <w:name w:val="List Continue 3"/>
    <w:basedOn w:val="List3"/>
    <w:rsid w:val="00EA2BC6"/>
    <w:pPr>
      <w:ind w:left="1021" w:firstLine="0"/>
    </w:pPr>
  </w:style>
  <w:style w:type="paragraph" w:styleId="ListContinue4">
    <w:name w:val="List Continue 4"/>
    <w:basedOn w:val="List4"/>
    <w:rsid w:val="00EA2BC6"/>
    <w:pPr>
      <w:ind w:firstLine="0"/>
    </w:pPr>
  </w:style>
  <w:style w:type="paragraph" w:styleId="ListContinue5">
    <w:name w:val="List Continue 5"/>
    <w:basedOn w:val="List5"/>
    <w:rsid w:val="00EA2BC6"/>
    <w:pPr>
      <w:ind w:firstLine="0"/>
    </w:pPr>
  </w:style>
  <w:style w:type="paragraph" w:styleId="ListNumber3">
    <w:name w:val="List Number 3"/>
    <w:basedOn w:val="List3"/>
    <w:rsid w:val="00EA2BC6"/>
    <w:pPr>
      <w:numPr>
        <w:numId w:val="5"/>
      </w:numPr>
    </w:pPr>
  </w:style>
  <w:style w:type="paragraph" w:styleId="ListNumber4">
    <w:name w:val="List Number 4"/>
    <w:basedOn w:val="List4"/>
    <w:rsid w:val="00EA2BC6"/>
    <w:pPr>
      <w:numPr>
        <w:numId w:val="6"/>
      </w:numPr>
    </w:pPr>
  </w:style>
  <w:style w:type="paragraph" w:styleId="ListNumber5">
    <w:name w:val="List Number 5"/>
    <w:basedOn w:val="List5"/>
    <w:rsid w:val="00EA2BC6"/>
    <w:pPr>
      <w:numPr>
        <w:numId w:val="7"/>
      </w:numPr>
    </w:pPr>
  </w:style>
  <w:style w:type="paragraph" w:styleId="BlockText">
    <w:name w:val="Block Text"/>
    <w:basedOn w:val="Normal"/>
    <w:rsid w:val="00EA2BC6"/>
    <w:pPr>
      <w:spacing w:after="120"/>
      <w:ind w:left="1440" w:right="1440"/>
    </w:pPr>
  </w:style>
  <w:style w:type="character" w:customStyle="1" w:styleId="Subscript">
    <w:name w:val="Subscript"/>
    <w:basedOn w:val="DefaultParagraphFont"/>
    <w:rsid w:val="00EA2BC6"/>
    <w:rPr>
      <w:sz w:val="16"/>
      <w:vertAlign w:val="subscript"/>
    </w:rPr>
  </w:style>
  <w:style w:type="character" w:customStyle="1" w:styleId="Superscript">
    <w:name w:val="Superscript"/>
    <w:basedOn w:val="DefaultParagraphFont"/>
    <w:rsid w:val="00EA2BC6"/>
    <w:rPr>
      <w:sz w:val="16"/>
      <w:vertAlign w:val="superscript"/>
    </w:rPr>
  </w:style>
  <w:style w:type="character" w:customStyle="1" w:styleId="Symbols">
    <w:name w:val="Symbols"/>
    <w:basedOn w:val="DefaultParagraphFont"/>
    <w:rsid w:val="00EA2BC6"/>
    <w:rPr>
      <w:rFonts w:ascii="Symbol" w:hAnsi="Symbol"/>
    </w:rPr>
  </w:style>
  <w:style w:type="character" w:customStyle="1" w:styleId="MenuOptions">
    <w:name w:val="Menu Options"/>
    <w:basedOn w:val="DefaultParagraphFont"/>
    <w:rsid w:val="00EA2BC6"/>
    <w:rPr>
      <w:rFonts w:ascii="Arial Narrow" w:hAnsi="Arial Narrow"/>
      <w:smallCaps/>
    </w:rPr>
  </w:style>
  <w:style w:type="character" w:customStyle="1" w:styleId="Buttons">
    <w:name w:val="Buttons"/>
    <w:basedOn w:val="DefaultParagraphFont"/>
    <w:rsid w:val="00EA2BC6"/>
    <w:rPr>
      <w:b/>
    </w:rPr>
  </w:style>
  <w:style w:type="character" w:customStyle="1" w:styleId="Underlined">
    <w:name w:val="Underlined"/>
    <w:basedOn w:val="DefaultParagraphFont"/>
    <w:rsid w:val="00EA2BC6"/>
    <w:rPr>
      <w:u w:val="single"/>
    </w:rPr>
  </w:style>
  <w:style w:type="paragraph" w:customStyle="1" w:styleId="TableBodyTextRight">
    <w:name w:val="Table Body Text Right"/>
    <w:basedOn w:val="TableBodyText"/>
    <w:rsid w:val="00EA2BC6"/>
    <w:pPr>
      <w:widowControl w:val="0"/>
      <w:autoSpaceDE w:val="0"/>
      <w:autoSpaceDN w:val="0"/>
      <w:adjustRightInd w:val="0"/>
      <w:jc w:val="right"/>
    </w:pPr>
    <w:rPr>
      <w:rFonts w:cs="Arial"/>
      <w:szCs w:val="18"/>
    </w:rPr>
  </w:style>
  <w:style w:type="paragraph" w:customStyle="1" w:styleId="CopyrightText">
    <w:name w:val="Copyright Text"/>
    <w:basedOn w:val="BodyText"/>
    <w:rsid w:val="00EA2BC6"/>
    <w:rPr>
      <w:sz w:val="18"/>
    </w:rPr>
  </w:style>
  <w:style w:type="paragraph" w:customStyle="1" w:styleId="BodySmallRight">
    <w:name w:val="Body Small Right"/>
    <w:basedOn w:val="BodyTextRight"/>
    <w:rsid w:val="00EA2BC6"/>
    <w:rPr>
      <w:sz w:val="18"/>
      <w:szCs w:val="18"/>
    </w:rPr>
  </w:style>
  <w:style w:type="paragraph" w:customStyle="1" w:styleId="MarginEdition">
    <w:name w:val="Margin Edition"/>
    <w:basedOn w:val="MarginNote"/>
    <w:rsid w:val="00EA2BC6"/>
    <w:pPr>
      <w:spacing w:before="0" w:after="0"/>
    </w:pPr>
    <w:rPr>
      <w:rFonts w:ascii="Times New Roman" w:hAnsi="Times New Roman"/>
      <w:color w:val="999999"/>
    </w:rPr>
  </w:style>
  <w:style w:type="paragraph" w:customStyle="1" w:styleId="Spacer">
    <w:name w:val="Spacer"/>
    <w:basedOn w:val="Normal"/>
    <w:rsid w:val="00EA2BC6"/>
    <w:rPr>
      <w:sz w:val="2"/>
      <w:szCs w:val="2"/>
    </w:rPr>
  </w:style>
  <w:style w:type="character" w:customStyle="1" w:styleId="Small">
    <w:name w:val="Small"/>
    <w:basedOn w:val="DefaultParagraphFont"/>
    <w:rsid w:val="00EA2BC6"/>
    <w:rPr>
      <w:sz w:val="16"/>
    </w:rPr>
  </w:style>
  <w:style w:type="paragraph" w:customStyle="1" w:styleId="WideTable">
    <w:name w:val="Wide Table"/>
    <w:basedOn w:val="Normal"/>
    <w:rsid w:val="00EA2BC6"/>
    <w:pPr>
      <w:ind w:left="-1418"/>
    </w:pPr>
    <w:rPr>
      <w:sz w:val="2"/>
      <w:szCs w:val="2"/>
    </w:rPr>
  </w:style>
  <w:style w:type="character" w:styleId="PageNumber">
    <w:name w:val="page number"/>
    <w:basedOn w:val="DefaultParagraphFont"/>
    <w:rsid w:val="00EA2BC6"/>
  </w:style>
  <w:style w:type="paragraph" w:styleId="Quote">
    <w:name w:val="Quote"/>
    <w:basedOn w:val="Heading1"/>
    <w:link w:val="QuoteChar"/>
    <w:qFormat/>
    <w:rsid w:val="00EA2BC6"/>
    <w:rPr>
      <w:b w:val="0"/>
      <w:sz w:val="72"/>
      <w:szCs w:val="72"/>
      <w:lang w:val="en-NZ"/>
    </w:rPr>
  </w:style>
  <w:style w:type="character" w:customStyle="1" w:styleId="QuoteChar">
    <w:name w:val="Quote Char"/>
    <w:basedOn w:val="DefaultParagraphFont"/>
    <w:link w:val="Quote"/>
    <w:rsid w:val="00EA2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BC6"/>
    <w:pPr>
      <w:pageBreakBefore/>
    </w:pPr>
  </w:style>
  <w:style w:type="paragraph" w:customStyle="1" w:styleId="Border">
    <w:name w:val="Border"/>
    <w:basedOn w:val="Normal"/>
    <w:qFormat/>
    <w:rsid w:val="00EA2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BC6"/>
    <w:rPr>
      <w:b/>
      <w:bCs/>
      <w:i/>
      <w:iCs/>
      <w:color w:val="auto"/>
    </w:rPr>
  </w:style>
  <w:style w:type="paragraph" w:styleId="IntenseQuote">
    <w:name w:val="Intense Quote"/>
    <w:basedOn w:val="Normal"/>
    <w:next w:val="Normal"/>
    <w:link w:val="IntenseQuoteChar"/>
    <w:uiPriority w:val="30"/>
    <w:qFormat/>
    <w:rsid w:val="00EA2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BC6"/>
    <w:rPr>
      <w:smallCaps/>
      <w:color w:val="auto"/>
      <w:u w:val="single"/>
    </w:rPr>
  </w:style>
  <w:style w:type="character" w:styleId="IntenseReference">
    <w:name w:val="Intense Reference"/>
    <w:basedOn w:val="DefaultParagraphFont"/>
    <w:uiPriority w:val="32"/>
    <w:qFormat/>
    <w:rsid w:val="00EA2BC6"/>
    <w:rPr>
      <w:b/>
      <w:bCs/>
      <w:smallCaps/>
      <w:color w:val="auto"/>
      <w:spacing w:val="5"/>
      <w:u w:val="single"/>
    </w:rPr>
  </w:style>
  <w:style w:type="paragraph" w:customStyle="1" w:styleId="2ColumnHeading">
    <w:name w:val="2Column Heading"/>
    <w:basedOn w:val="BodyText"/>
    <w:qFormat/>
    <w:rsid w:val="00EA2BC6"/>
    <w:pPr>
      <w:spacing w:after="60"/>
      <w:ind w:left="-2268"/>
    </w:pPr>
    <w:rPr>
      <w:b/>
    </w:rPr>
  </w:style>
  <w:style w:type="paragraph" w:customStyle="1" w:styleId="Heading1TOC">
    <w:name w:val="Heading1 TOC"/>
    <w:basedOn w:val="Normal"/>
    <w:qFormat/>
    <w:rsid w:val="00EA2BC6"/>
    <w:pPr>
      <w:spacing w:before="240" w:after="120"/>
    </w:pPr>
    <w:rPr>
      <w:rFonts w:ascii="Times New Roman" w:hAnsi="Times New Roman"/>
      <w:b/>
      <w:sz w:val="32"/>
    </w:rPr>
  </w:style>
  <w:style w:type="paragraph" w:customStyle="1" w:styleId="Heading2TOC">
    <w:name w:val="Heading2 TOC"/>
    <w:basedOn w:val="Normal"/>
    <w:qFormat/>
    <w:rsid w:val="00EA2BC6"/>
    <w:pPr>
      <w:spacing w:before="240" w:after="60"/>
    </w:pPr>
    <w:rPr>
      <w:rFonts w:ascii="Times New Roman" w:hAnsi="Times New Roman"/>
      <w:b/>
      <w:sz w:val="28"/>
    </w:rPr>
  </w:style>
  <w:style w:type="character" w:customStyle="1" w:styleId="Underline">
    <w:name w:val="Underline"/>
    <w:basedOn w:val="DefaultParagraphFont"/>
    <w:qFormat/>
    <w:rsid w:val="00EA2BC6"/>
    <w:rPr>
      <w:u w:val="single"/>
    </w:rPr>
  </w:style>
  <w:style w:type="character" w:customStyle="1" w:styleId="BoldandItalics">
    <w:name w:val="Bold and Italics"/>
    <w:qFormat/>
    <w:rsid w:val="00EA2BC6"/>
    <w:rPr>
      <w:b/>
      <w:i/>
      <w:u w:val="none"/>
    </w:rPr>
  </w:style>
  <w:style w:type="paragraph" w:styleId="BalloonText">
    <w:name w:val="Balloon Text"/>
    <w:basedOn w:val="Normal"/>
    <w:link w:val="BalloonTextChar"/>
    <w:rsid w:val="00EA2BC6"/>
    <w:rPr>
      <w:rFonts w:ascii="Tahoma" w:hAnsi="Tahoma" w:cs="Tahoma"/>
      <w:sz w:val="16"/>
      <w:szCs w:val="16"/>
    </w:rPr>
  </w:style>
  <w:style w:type="character" w:customStyle="1" w:styleId="BalloonTextChar">
    <w:name w:val="Balloon Text Char"/>
    <w:basedOn w:val="DefaultParagraphFont"/>
    <w:link w:val="BalloonText"/>
    <w:rsid w:val="00EA2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BC6"/>
    <w:rPr>
      <w:b/>
      <w:color w:val="660033"/>
      <w:spacing w:val="0"/>
    </w:rPr>
  </w:style>
  <w:style w:type="paragraph" w:customStyle="1" w:styleId="Nameditemlist">
    <w:name w:val="Named item list"/>
    <w:basedOn w:val="BodyText"/>
    <w:qFormat/>
    <w:rsid w:val="00EA2BC6"/>
    <w:pPr>
      <w:tabs>
        <w:tab w:val="left" w:pos="2835"/>
      </w:tabs>
      <w:ind w:left="2835" w:hanging="2835"/>
    </w:pPr>
  </w:style>
  <w:style w:type="paragraph" w:customStyle="1" w:styleId="BodyTextnopadding">
    <w:name w:val="Body Text no padding"/>
    <w:basedOn w:val="BodyText"/>
    <w:qFormat/>
    <w:rsid w:val="00EA2BC6"/>
    <w:pPr>
      <w:spacing w:before="0" w:after="0"/>
    </w:pPr>
  </w:style>
  <w:style w:type="paragraph" w:customStyle="1" w:styleId="BodyTextBold">
    <w:name w:val="Body Text Bold"/>
    <w:basedOn w:val="BodyText"/>
    <w:qFormat/>
    <w:rsid w:val="00EA2BC6"/>
    <w:rPr>
      <w:b/>
    </w:rPr>
  </w:style>
  <w:style w:type="character" w:styleId="Hyperlink">
    <w:name w:val="Hyperlink"/>
    <w:basedOn w:val="DefaultParagraphFont"/>
    <w:uiPriority w:val="99"/>
    <w:unhideWhenUsed/>
    <w:rsid w:val="00FE3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7242</Characters>
  <Application>Microsoft Office Word</Application>
  <DocSecurity>0</DocSecurity>
  <Lines>150</Lines>
  <Paragraphs>107</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UETTDRVC25 Use elevated platform to cut vegetation above ground level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2021-04-20T06:47:00Z</dcterms:created>
  <dcterms:modified xsi:type="dcterms:W3CDTF">2021-04-20T06:47:00Z</dcterms:modified>
</cp:coreProperties>
</file>