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870" w:rsidP="009A5870">
      <w:pPr>
        <w:pStyle w:val="Title"/>
      </w:pPr>
      <w:r>
        <w:fldChar w:fldCharType="begin"/>
      </w:r>
      <w:r>
        <w:instrText xml:space="preserve"> TITLE   \* MERGEFORMAT </w:instrText>
      </w:r>
      <w:r>
        <w:fldChar w:fldCharType="separate"/>
      </w:r>
      <w:r>
        <w:t>UETTDRTS41 Install and replace complex energy/revenue metering schemes and associated equipment</w:t>
      </w:r>
      <w:r>
        <w:fldChar w:fldCharType="end"/>
      </w:r>
    </w:p>
    <w:p w:rsidR="009A5870" w:rsidP="009A5870">
      <w:pPr>
        <w:pStyle w:val="Version"/>
        <w:sectPr w:rsidSect="00A11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2CB" w:rsidP="00A112CB">
      <w:pPr>
        <w:pStyle w:val="SuperHeading"/>
      </w:pPr>
      <w:r w:rsidRPr="00A112CB">
        <w:t>UETTDRTS41 Install and replace complex energy/revenue metering schemes and associated equipment</w:t>
      </w:r>
    </w:p>
    <w:p w:rsidR="00000000" w:rsidRPr="00A112CB" w:rsidP="00A112CB">
      <w:pPr>
        <w:pStyle w:val="Heading1"/>
      </w:pPr>
      <w:bookmarkStart w:id="1" w:name="O_1005822"/>
      <w:bookmarkEnd w:id="1"/>
      <w:r w:rsidRPr="00A112CB">
        <w:t>Modification History</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Release 1. This is the first release of this unit of competency in the UET Transmission, Distribution and Rail Sector Training Package.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2" w:name="O_1005823"/>
      <w:bookmarkEnd w:id="2"/>
      <w:r w:rsidRPr="00A112CB">
        <w:t>Application</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This unit covers the installation and replacement of energy/revenue meters and associat</w:t>
            </w:r>
            <w:r w:rsidRPr="00A112CB">
              <w:t xml:space="preserve">ed equipment in complex situations. Replacement includes the identification of faults in accordance with established procedures and return to service. It includes the requirements to ascertain if normal functions of the meters and associated equipment are </w:t>
            </w:r>
            <w:r w:rsidRPr="00A112CB">
              <w:t>in accordance with operating standards.</w:t>
            </w:r>
          </w:p>
          <w:p w:rsidR="00000000" w:rsidRPr="00A112CB" w:rsidP="00A112CB">
            <w:pPr>
              <w:pStyle w:val="BodyText"/>
            </w:pPr>
            <w:r w:rsidRPr="00A112CB">
              <w:t xml:space="preserve">The application of the skills and knowledge described in this unit requires a licence/registration to practice in the workplace subject to regulations for undertaking of electrical work.  </w:t>
            </w:r>
          </w:p>
          <w:p w:rsidR="00000000" w:rsidRPr="00A112CB" w:rsidP="00A112CB">
            <w:pPr>
              <w:pStyle w:val="BodyText"/>
            </w:pPr>
            <w:r w:rsidRPr="00A112CB">
              <w:t xml:space="preserve">Other conditions may apply </w:t>
            </w:r>
            <w:r w:rsidRPr="00A112CB">
              <w:t>under state and territory legislative and regulatory licencing requirements which must be confirmed prior to commencing this unit.</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3" w:name="O_1005824"/>
      <w:bookmarkEnd w:id="3"/>
      <w:r w:rsidRPr="00A112CB">
        <w:t>Pre-requisite Unit</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Common Unit Group</w:t>
            </w:r>
          </w:p>
          <w:p w:rsidR="00000000" w:rsidRPr="00A112CB" w:rsidP="00A112CB">
            <w:pPr>
              <w:pStyle w:val="BodyText"/>
            </w:pPr>
            <w:r w:rsidRPr="00A112CB">
              <w:t>UEENEEE101A Apply Occupational Health and Safety regulations, codes</w:t>
            </w:r>
            <w:r w:rsidRPr="00A112CB">
              <w:t xml:space="preserve"> and practices in the workplace</w:t>
            </w:r>
          </w:p>
          <w:p w:rsidR="00000000" w:rsidRPr="00A112CB" w:rsidP="00A112CB">
            <w:pPr>
              <w:pStyle w:val="BodyText"/>
            </w:pPr>
            <w:r w:rsidRPr="00A112CB">
              <w:t>UEENEEE102A Fabricate, assemble and dismantle utilities industry components</w:t>
            </w:r>
          </w:p>
          <w:p w:rsidR="00000000" w:rsidRPr="00A112CB" w:rsidP="00A112CB">
            <w:pPr>
              <w:pStyle w:val="BodyText"/>
            </w:pPr>
            <w:r w:rsidRPr="00A112CB">
              <w:t>UEENEEE104A Solve problems in d.c. circuits</w:t>
            </w:r>
          </w:p>
          <w:p w:rsidR="00000000" w:rsidRPr="00A112CB" w:rsidP="00A112CB">
            <w:pPr>
              <w:pStyle w:val="BodyText"/>
            </w:pPr>
            <w:r w:rsidRPr="00A112CB">
              <w:t>UEENEEE105A Fix and secure electrotechnology equipment</w:t>
            </w:r>
          </w:p>
          <w:p w:rsidR="00000000" w:rsidRPr="00A112CB" w:rsidP="00A112CB">
            <w:pPr>
              <w:pStyle w:val="BodyText"/>
            </w:pPr>
            <w:r w:rsidRPr="00A112CB">
              <w:t>UEENEEE107A Use drawings, diagrams, schedules, st</w:t>
            </w:r>
            <w:r w:rsidRPr="00A112CB">
              <w:t>andards, codes and specifications</w:t>
            </w:r>
          </w:p>
          <w:p w:rsidR="00000000" w:rsidRPr="00A112CB" w:rsidP="00A112CB">
            <w:pPr>
              <w:pStyle w:val="BodyText"/>
            </w:pPr>
            <w:r w:rsidRPr="00A112CB">
              <w:t>UEENEEE137A Document and apply measures to control OHS risks associated with electrotechnology work</w:t>
            </w:r>
          </w:p>
          <w:p w:rsidR="00000000" w:rsidRPr="00A112CB" w:rsidP="00A112CB">
            <w:pPr>
              <w:pStyle w:val="BodyText"/>
            </w:pPr>
            <w:r w:rsidRPr="00A112CB">
              <w:t>UEENEEG006A Solve problems in single and three phase low voltage machines</w:t>
            </w:r>
          </w:p>
          <w:p w:rsidR="00000000" w:rsidRPr="00A112CB" w:rsidP="00A112CB">
            <w:pPr>
              <w:pStyle w:val="BodyText"/>
            </w:pPr>
            <w:r w:rsidRPr="00A112CB">
              <w:t>UEENEEG033A Solve problems in single and three phase low voltage electrical apparatus and circuits</w:t>
            </w:r>
          </w:p>
          <w:p w:rsidR="00000000" w:rsidRPr="00A112CB" w:rsidP="00A112CB">
            <w:pPr>
              <w:pStyle w:val="BodyText"/>
            </w:pPr>
            <w:r w:rsidRPr="00A112CB">
              <w:t>UEENEEG063A Arrange circuits, control and protection for general electrical installations</w:t>
            </w:r>
          </w:p>
          <w:p w:rsidR="00000000" w:rsidRPr="00A112CB" w:rsidP="00A112CB">
            <w:pPr>
              <w:pStyle w:val="BodyText"/>
            </w:pPr>
            <w:r w:rsidRPr="00A112CB">
              <w:t>UEENEEG076A Install and replace low voltage current transformer met</w:t>
            </w:r>
            <w:r w:rsidRPr="00A112CB">
              <w:t>ering</w:t>
            </w:r>
          </w:p>
          <w:p w:rsidR="00000000" w:rsidRPr="00A112CB" w:rsidP="00A112CB">
            <w:pPr>
              <w:pStyle w:val="BodyText"/>
            </w:pPr>
            <w:r w:rsidRPr="00A112CB">
              <w:t>UEENEEG101A Solve problems in electromagnetic devices and related circuits</w:t>
            </w:r>
          </w:p>
          <w:p w:rsidR="00000000" w:rsidRPr="00A112CB" w:rsidP="00A112CB">
            <w:pPr>
              <w:pStyle w:val="BodyText"/>
            </w:pPr>
            <w:r w:rsidRPr="00A112CB">
              <w:t>UEENEEG102A Solve problems in low voltage a.c. circuits</w:t>
            </w:r>
          </w:p>
          <w:p w:rsidR="00000000" w:rsidRPr="00A112CB" w:rsidP="00A112CB">
            <w:pPr>
              <w:pStyle w:val="BodyText"/>
            </w:pPr>
            <w:r w:rsidRPr="00A112CB">
              <w:t>UEENEEG103A Install low voltage wiring and accessories</w:t>
            </w:r>
          </w:p>
          <w:p w:rsidR="00000000" w:rsidRPr="00A112CB" w:rsidP="00A112CB">
            <w:pPr>
              <w:pStyle w:val="BodyText"/>
            </w:pPr>
            <w:r w:rsidRPr="00A112CB">
              <w:t>UEENEEG104A Install appliances, switchgear and associated access</w:t>
            </w:r>
            <w:r w:rsidRPr="00A112CB">
              <w:t>ories for low voltage electrical installations</w:t>
            </w:r>
          </w:p>
          <w:p w:rsidR="00000000" w:rsidRPr="00A112CB" w:rsidP="00A112CB">
            <w:pPr>
              <w:pStyle w:val="BodyText"/>
            </w:pPr>
            <w:r w:rsidRPr="00A112CB">
              <w:t>UEENEEG105A Verify compliance and functionality of low voltage general electrical installations</w:t>
            </w:r>
          </w:p>
          <w:p w:rsidR="00000000" w:rsidRPr="00A112CB" w:rsidP="00A112CB">
            <w:pPr>
              <w:pStyle w:val="BodyText"/>
            </w:pPr>
            <w:r w:rsidRPr="00A112CB">
              <w:t>UEENEEG106A Terminate cables, cords and accessories for low voltage circuits</w:t>
            </w:r>
          </w:p>
          <w:p w:rsidR="00000000" w:rsidRPr="00A112CB" w:rsidP="00A112CB">
            <w:pPr>
              <w:pStyle w:val="BodyText"/>
            </w:pPr>
            <w:r w:rsidRPr="00A112CB">
              <w:t>UEENEEG107A Select wiring systems an</w:t>
            </w:r>
            <w:r w:rsidRPr="00A112CB">
              <w:t>d cables for low voltage general electrical installations</w:t>
            </w:r>
          </w:p>
          <w:p w:rsidR="00000000" w:rsidRPr="00A112CB" w:rsidP="00A112CB">
            <w:pPr>
              <w:pStyle w:val="BodyText"/>
            </w:pPr>
            <w:r w:rsidRPr="00A112CB">
              <w:t>UEENEEG108A Trouble-shoot and repair faults in low voltage electrical apparatus and circuits</w:t>
            </w:r>
          </w:p>
          <w:p w:rsidR="00000000" w:rsidRPr="00A112CB" w:rsidP="00A112CB">
            <w:pPr>
              <w:pStyle w:val="BodyText"/>
            </w:pPr>
            <w:r w:rsidRPr="00A112CB">
              <w:t>UEENEEG109A Develop and connect electrical control circuits</w:t>
            </w:r>
          </w:p>
          <w:p w:rsidR="00000000" w:rsidRPr="00A112CB" w:rsidP="00A112CB">
            <w:pPr>
              <w:pStyle w:val="BodyText"/>
            </w:pPr>
            <w:r w:rsidRPr="00A112CB">
              <w:t>UEENEEG171A Install, set up and commission in</w:t>
            </w:r>
            <w:r w:rsidRPr="00A112CB">
              <w:t>terval metering</w:t>
            </w:r>
          </w:p>
          <w:p w:rsidR="00000000" w:rsidRPr="00A112CB" w:rsidP="00A112CB">
            <w:pPr>
              <w:pStyle w:val="BodyText"/>
            </w:pPr>
            <w:r w:rsidRPr="00A112CB">
              <w:t>UETTDREL11 Apply sustainable energy and environmental procedures</w:t>
            </w:r>
          </w:p>
          <w:p w:rsidR="00000000" w:rsidRPr="00A112CB" w:rsidP="00A112CB">
            <w:pPr>
              <w:pStyle w:val="BodyText"/>
            </w:pPr>
            <w:r w:rsidRPr="00A112CB">
              <w:t>UETTDREL15 Respond to power systems technical enquiries and requests</w:t>
            </w:r>
          </w:p>
          <w:p w:rsidR="00000000" w:rsidRPr="00A112CB" w:rsidP="00A112CB">
            <w:pPr>
              <w:pStyle w:val="BodyText"/>
            </w:pPr>
            <w:r w:rsidRPr="00A112CB">
              <w:t>UETTDREL16 Working safely near live electrical apparatus</w:t>
            </w:r>
          </w:p>
          <w:p w:rsidR="00000000" w:rsidRPr="00A112CB" w:rsidP="00A112CB">
            <w:pPr>
              <w:pStyle w:val="BodyText"/>
            </w:pPr>
            <w:r w:rsidRPr="00A112CB">
              <w:t>UETTDRTS37 Perform current injection testing usin</w:t>
            </w:r>
            <w:r w:rsidRPr="00A112CB">
              <w:t>g phantom load</w:t>
            </w:r>
          </w:p>
          <w:p w:rsidR="00000000" w:rsidRPr="00A112CB" w:rsidP="00A112CB">
            <w:pPr>
              <w:pStyle w:val="BodyText"/>
            </w:pPr>
            <w:r w:rsidRPr="00A112CB">
              <w:t>UETTDRTS38 Install and replace high voltage metering and associated equipment</w:t>
            </w:r>
          </w:p>
          <w:p w:rsidR="00000000" w:rsidRPr="00A112CB" w:rsidP="00A112CB">
            <w:pPr>
              <w:pStyle w:val="BodyText"/>
            </w:pPr>
            <w:r w:rsidRPr="00A112CB">
              <w:t>UETTDRTS39 Maintain compliance with national electricity market metrology practices and procedures</w:t>
            </w:r>
          </w:p>
          <w:p w:rsidR="00000000" w:rsidRPr="00A112CB" w:rsidP="00A112CB">
            <w:pPr>
              <w:pStyle w:val="BodyText"/>
            </w:pPr>
            <w:r w:rsidRPr="00A112CB">
              <w:t>UETTDRTS40 Test and maintain energy/revenue metering schemes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4" w:name="O_1005825"/>
      <w:bookmarkEnd w:id="4"/>
      <w:r w:rsidRPr="00A112CB">
        <w:t>Competency Field</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Testing</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5" w:name="O_1005826"/>
      <w:bookmarkEnd w:id="5"/>
      <w:r w:rsidRPr="00A112CB">
        <w:t>Unit Sector</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Not applicable.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6" w:name="O_1005827"/>
      <w:bookmarkEnd w:id="6"/>
      <w:r w:rsidRPr="00A112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112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PERFORMANCE CRITERIA</w:t>
            </w:r>
          </w:p>
        </w:tc>
      </w:tr>
      <w:tr w:rsidTr="00A112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Performance criteria describe the performance needed to demonstrate achievement of the element.</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Plan for the installation and replacement of energy/revenue metering schemes and associated equipment (complex)</w:t>
            </w: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health and safety (WHS)/occupation</w:t>
            </w:r>
            <w:r w:rsidRPr="00A112CB">
              <w:t xml:space="preserve">al health and safety (OHS) practices/procedures and environmental and sustainable energy procedures, which may influence the installation and replacement of energy/revenue metering schemes and associated equipment (complex), </w:t>
            </w:r>
            <w:r w:rsidRPr="00A112CB">
              <w:t>are reviewed and determined</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Purpose of the installation and replacement of energy/revenue metering schemes and associated equipment (complex) is established after data is analysed and expected outcomes of the work are confirmed with appropriate personnel</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Organisational established procedures, policies and specifications for the installation and replacement of energy/revenue metering schemes and associated equipment (complex) are obtained or established with appropriate personnel</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Installation and rep</w:t>
            </w:r>
            <w:r w:rsidRPr="00A112CB">
              <w:t>lacement of energy/revenue metering schemes and associated equipment (complex) procedures are discussed with/directed to appropriate personnel in order to ascertain the project brief</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Installation and replacement parameters are established from organ</w:t>
            </w:r>
            <w:r w:rsidRPr="00A112CB">
              <w:t>isational established procedures, policies and specifications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Equipment/tools and personal protective equipment (PPE) are selected based on specified performance criteria and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roles and tasks are allocated according to requirements and individual competencies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is prioritised and sequenced for the most efficient/effective outcome, completed within an acceptable timeframe, to a quality standard and in accordance wi</w:t>
            </w:r>
            <w:r w:rsidRPr="00A112CB">
              <w:t>th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Liaison and communication issues with others/authorised personnel, authorities, clients, customers are resolved and activities coordinated to carry out work</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Risk control measures are identified, prioritised and eval</w:t>
            </w:r>
            <w:r w:rsidRPr="00A112CB">
              <w:t>uated against the work schedule</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Relevant internal and external work permits are obtained to coordinate the performance of work according to requirements and/or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Carry out the installation and replacement of energy/revenue metering schemes and associated equipment (complex)</w:t>
            </w: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WHS/OHS and sustainable energy principles, functionality and practices to prevent accidents and minimise waste are incorporated into the project in accordance with requirements and/or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Installation and replacement of energy/rev</w:t>
            </w:r>
            <w:r w:rsidRPr="00A112CB">
              <w:t>enue metering schemes and associated equipment (complex) decisions are made on the basis of safety and effective outcomes according to requirements and/or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Technical advice is given regarding potential hazards, safety risks and</w:t>
            </w:r>
            <w:r w:rsidRPr="00A112CB">
              <w:t xml:space="preserve"> control measures so that monitoring and preventative action can be undertaken and/or appropriate authorities consulted, where necessary, in accordance with requirements and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Essential knowledge and associated skills are applie</w:t>
            </w:r>
            <w:r w:rsidRPr="00A112CB">
              <w:t>d to analyse specific data and compare it with compliance specifications to ensure completion of the project within an agreed timeframe according to requirements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Installation and replacement of energy/revenue metering schemes and associated equipment (complex) are undertaken according to requirements and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teams/groups are arranged/coordinated/evaluated to ensure planned goals are m</w:t>
            </w:r>
            <w:r w:rsidRPr="00A112CB">
              <w:t>et according to established procedures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Solutions to non-routine problems are identified and actioned, using essential knowledge and associated skills, according to requirements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Quality of work is monitored against personal performance agreem</w:t>
            </w:r>
            <w:r w:rsidRPr="00A112CB">
              <w:t>ent and/or established organisational and professional standards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Complete the installation and replacement of energy/revenue metering schemes and associated equipment (complex)</w:t>
            </w: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Final inspections of the installation and replacement of energy/revenue metering schemes and associated equipment (complex) are undertaken to ensure they comply with all requirements and include all specifications and documents needed to complete the proje</w:t>
            </w:r>
            <w:r w:rsidRPr="00A112CB">
              <w:t>ct</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Appropriate internal/external personnel are notified of completion and reports and/or completion documents are finalised/commissioned according to established procedures and timeframes</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Reports and/or completion documents are submitted to r</w:t>
            </w:r>
            <w:r w:rsidRPr="00A112CB">
              <w:t>elevant personnel/organisations for approval and, where applicable, statutory or regulatory approval</w:t>
            </w:r>
          </w:p>
        </w:tc>
      </w:tr>
      <w:tr w:rsidTr="00A112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Approved copies of the installation and replacement of energy/revenue metering schemes and associated equipment (complex) documents are issued and r</w:t>
            </w:r>
            <w:r w:rsidRPr="00A112CB">
              <w:t>ecords are updated in accordance with established procedures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7" w:name="O_1005828"/>
      <w:bookmarkEnd w:id="7"/>
      <w:r w:rsidRPr="00A112CB">
        <w:t>Foundation Skills</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Foundation skills essential to performance are explicit in the performance criteria of this unit of competency.</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8" w:name="O_1005829"/>
      <w:bookmarkEnd w:id="8"/>
      <w:r w:rsidRPr="00A112CB">
        <w:t>Range of Conditions</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Range is restricted to essential operating conditions and any other variables essential to the work environment.</w:t>
            </w:r>
          </w:p>
          <w:p w:rsidR="00000000" w:rsidRPr="00A112CB" w:rsidP="00A112CB">
            <w:pPr>
              <w:pStyle w:val="BodyText"/>
            </w:pPr>
            <w:r w:rsidRPr="00A112CB">
              <w:t>Non-essential conditions may be found in the Companion Volume Implementation Guide.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9" w:name="O_1005830"/>
      <w:bookmarkEnd w:id="9"/>
      <w:r w:rsidRPr="00A112CB">
        <w:t>Unit Mapping Information</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This unit rep</w:t>
            </w:r>
            <w:r w:rsidRPr="00A112CB">
              <w:t>laces and is equivalent to UETTDRTS41A Install and replace complex energy/revenue metering schemes and associated equipment.</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0" w:name="O_1005837"/>
      <w:bookmarkEnd w:id="10"/>
      <w:r w:rsidRPr="00A112CB">
        <w:t>Links</w:t>
      </w:r>
    </w:p>
    <w:p w:rsidR="00000000" w:rsidRPr="00A112CB" w:rsidP="009A5870">
      <w:pPr>
        <w:pStyle w:val="BodyText"/>
      </w:pPr>
      <w:r w:rsidRPr="00A112C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54833">
        <w:rPr>
          <w:rStyle w:val="Hyperlink"/>
        </w:rPr>
        <w:t>https://vetnet.gov.au/Pages/TrainingDocs.aspx?q=229bace1-b7bc-4653-9300-dffb13ecfad7</w:t>
      </w:r>
      <w:r>
        <w:fldChar w:fldCharType="end"/>
      </w:r>
    </w:p>
    <w:p w:rsidR="00000000" w:rsidRPr="00A112CB" w:rsidP="009A5870">
      <w:pPr>
        <w:pStyle w:val="BodyText"/>
        <w:sectPr w:rsidSect="00A112CB">
          <w:headerReference w:type="default" r:id="rId10"/>
          <w:footerReference w:type="default" r:id="rId11"/>
          <w:pgSz w:w="11908" w:h="16833"/>
          <w:pgMar w:top="1702" w:right="1418" w:bottom="1702" w:left="1418" w:header="992" w:footer="992" w:gutter="0"/>
          <w:cols w:space="720"/>
          <w:noEndnote/>
          <w:docGrid w:linePitch="299"/>
        </w:sectPr>
      </w:pPr>
    </w:p>
    <w:p w:rsidR="00000000" w:rsidRPr="00A112CB" w:rsidP="00A112CB">
      <w:pPr>
        <w:pStyle w:val="SuperHeading"/>
      </w:pPr>
      <w:r w:rsidRPr="00A112CB">
        <w:t>Assessment Requirements for UETTDRTS41 Install and replace complex energy/revenue metering schemes and associated equipment</w:t>
      </w:r>
    </w:p>
    <w:p w:rsidR="00000000" w:rsidRPr="00A112CB" w:rsidP="00A112CB">
      <w:pPr>
        <w:pStyle w:val="Heading1"/>
      </w:pPr>
      <w:bookmarkStart w:id="11" w:name="O_1005832"/>
      <w:bookmarkEnd w:id="11"/>
      <w:r w:rsidRPr="00A112CB">
        <w:t>Modification History</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Release 1. This is the first release of this unit of competency in the UET Transmission, Distribution and Rail Sector Training Package.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2" w:name="O_1005833"/>
      <w:bookmarkEnd w:id="12"/>
      <w:r w:rsidRPr="00A112CB">
        <w:t>Performance Evidence</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 xml:space="preserve">Evidence required to demonstrate competence in this unit must be relevant to and satisfy all of the requirements of the elements and performance criteria on at least two separate occasions and include:  </w:t>
            </w:r>
          </w:p>
        </w:tc>
      </w:tr>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ListBullet"/>
            </w:pPr>
            <w:r w:rsidRPr="00A112CB">
              <w:t>applying relevant work health and safety (WHS)/occ</w:t>
            </w:r>
            <w:r w:rsidRPr="00A112CB">
              <w:t>upational health and safety (OHS) requirements, including the use of risk control measures</w:t>
            </w:r>
          </w:p>
          <w:p w:rsidR="00000000" w:rsidRPr="00A112CB" w:rsidP="00A112CB">
            <w:pPr>
              <w:pStyle w:val="ListBullet"/>
            </w:pPr>
            <w:r w:rsidRPr="00A112CB">
              <w:t>applying sustainable energy principles and practices</w:t>
            </w:r>
          </w:p>
          <w:p w:rsidR="00000000" w:rsidRPr="00A112CB" w:rsidP="00A112CB">
            <w:pPr>
              <w:pStyle w:val="ListBullet"/>
            </w:pPr>
            <w:r w:rsidRPr="00A112CB">
              <w:t>performing installation and replacement, on at least three (3) occasions, including at least three (3) of the fo</w:t>
            </w:r>
            <w:r w:rsidRPr="00A112CB">
              <w:t>llowing:</w:t>
            </w:r>
          </w:p>
          <w:p w:rsidR="00000000" w:rsidRPr="00A112CB" w:rsidP="00A112CB">
            <w:pPr>
              <w:pStyle w:val="ListBullet2"/>
            </w:pPr>
            <w:r w:rsidRPr="00A112CB">
              <w:t>high voltage (HV) metering schemes</w:t>
            </w:r>
          </w:p>
          <w:p w:rsidR="00000000" w:rsidRPr="00A112CB" w:rsidP="00A112CB">
            <w:pPr>
              <w:pStyle w:val="ListBullet2"/>
            </w:pPr>
            <w:r w:rsidRPr="00A112CB">
              <w:t>high voltage zone substation metering schemes</w:t>
            </w:r>
          </w:p>
          <w:p w:rsidR="00000000" w:rsidRPr="00A112CB" w:rsidP="00A112CB">
            <w:pPr>
              <w:pStyle w:val="ListBullet2"/>
            </w:pPr>
            <w:r w:rsidRPr="00A112CB">
              <w:t>high voltage bulk supply point metering schemes</w:t>
            </w:r>
          </w:p>
          <w:p w:rsidR="00000000" w:rsidRPr="00A112CB" w:rsidP="00A112CB">
            <w:pPr>
              <w:pStyle w:val="ListBullet2"/>
            </w:pPr>
            <w:r w:rsidRPr="00A112CB">
              <w:t>low voltage (LV)summation metering schemes</w:t>
            </w:r>
          </w:p>
          <w:p w:rsidR="00000000" w:rsidRPr="00A112CB" w:rsidP="00A112CB">
            <w:pPr>
              <w:pStyle w:val="ListBullet"/>
            </w:pPr>
            <w:r w:rsidRPr="00A112CB">
              <w:t>performing on a</w:t>
            </w:r>
            <w:r w:rsidRPr="00A112CB">
              <w:t>t least three (3) occasions, the installation and replacement of the following:</w:t>
            </w:r>
          </w:p>
          <w:p w:rsidR="00000000" w:rsidRPr="00A112CB" w:rsidP="00A112CB">
            <w:pPr>
              <w:pStyle w:val="ListBullet2"/>
            </w:pPr>
            <w:r w:rsidRPr="00A112CB">
              <w:t>HV current/voltage transformers (including return to service)</w:t>
            </w:r>
          </w:p>
          <w:p w:rsidR="00000000" w:rsidRPr="00A112CB" w:rsidP="00A112CB">
            <w:pPr>
              <w:pStyle w:val="ListBullet2"/>
            </w:pPr>
            <w:r w:rsidRPr="00A112CB">
              <w:t>energy meters</w:t>
            </w:r>
          </w:p>
          <w:p w:rsidR="00000000" w:rsidRPr="00A112CB" w:rsidP="00A112CB">
            <w:pPr>
              <w:pStyle w:val="ListBullet2"/>
            </w:pPr>
            <w:r w:rsidRPr="00A112CB">
              <w:t>associated equipment</w:t>
            </w:r>
          </w:p>
          <w:p w:rsidR="00000000" w:rsidRPr="00A112CB" w:rsidP="00A112CB">
            <w:pPr>
              <w:pStyle w:val="ListBullet"/>
            </w:pPr>
            <w:r w:rsidRPr="00A112CB">
              <w:t>performing on at least one (1) occasion, the following activity:</w:t>
            </w:r>
          </w:p>
          <w:p w:rsidR="00000000" w:rsidRPr="00A112CB" w:rsidP="00A112CB">
            <w:pPr>
              <w:pStyle w:val="ListBullet2"/>
            </w:pPr>
            <w:r w:rsidRPr="00A112CB">
              <w:t>installatio</w:t>
            </w:r>
            <w:r w:rsidRPr="00A112CB">
              <w:t>n or replacement of a typical HV bulk supply point metering scheme</w:t>
            </w:r>
          </w:p>
          <w:p w:rsidR="00000000" w:rsidRPr="00A112CB" w:rsidP="00A112CB">
            <w:pPr>
              <w:pStyle w:val="ListBullet"/>
            </w:pPr>
            <w:r w:rsidRPr="00A112CB">
              <w:t>dealing with unplanned events on at least one (1) occasion.</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3" w:name="O_1005834"/>
      <w:bookmarkEnd w:id="13"/>
      <w:r w:rsidRPr="00A112CB">
        <w:t>Knowledge Evidence</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Evidence required to demonstrate competence in this unit must be relevant to and satisfy all of the requirements of the elements and performance criteria and include knowledge of:</w:t>
            </w:r>
          </w:p>
        </w:tc>
      </w:tr>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ListBullet"/>
            </w:pPr>
            <w:r w:rsidRPr="00A112CB">
              <w:t>associated equipment encompassing:</w:t>
            </w:r>
          </w:p>
          <w:p w:rsidR="00000000" w:rsidRPr="00A112CB" w:rsidP="00A112CB">
            <w:pPr>
              <w:pStyle w:val="ListBullet2"/>
            </w:pPr>
            <w:r w:rsidRPr="00A112CB">
              <w:t>summation current transformers, voltag</w:t>
            </w:r>
            <w:r w:rsidRPr="00A112CB">
              <w:t>e selection relays, auxiliary supply relays, voltage fail relays, fibre optics, data concentrators and in house displays</w:t>
            </w:r>
          </w:p>
          <w:p w:rsidR="00000000" w:rsidRPr="00A112CB" w:rsidP="00A112CB">
            <w:pPr>
              <w:pStyle w:val="ListBullet"/>
            </w:pPr>
            <w:r w:rsidRPr="00A112CB">
              <w:t xml:space="preserve">the installation and replacement of complex energy/revenue metering schemes and associated equipment </w:t>
            </w:r>
            <w:r w:rsidRPr="00A112CB">
              <w:t>in accordance with enterprise policies and procedures applicable to the work - impact of work on local network system integrity, substation entry and access requirements, and impacts of isolation on protection and control systems.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4" w:name="O_1005835"/>
      <w:bookmarkEnd w:id="14"/>
      <w:r w:rsidRPr="00A112CB">
        <w:t>Asse</w:t>
      </w:r>
      <w:r w:rsidRPr="00A112CB">
        <w:t>ssment Conditions</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Assessors must hold credentials specified within the Standards for Registered Training Organisations current at the time of assessment.</w:t>
            </w:r>
          </w:p>
          <w:p w:rsidR="00000000" w:rsidRPr="00A112CB" w:rsidP="00A112CB">
            <w:pPr>
              <w:pStyle w:val="BodyText"/>
            </w:pPr>
            <w:r w:rsidRPr="00A112CB">
              <w:t>Assessment must satisfy the</w:t>
            </w:r>
            <w:r w:rsidRPr="00A112CB">
              <w:t xml:space="preserve"> Principles of Assessment and Rules of Evidence and all regulatory requirements included within the Standards for Registered Training Organisations current at the time of assessment.</w:t>
            </w:r>
          </w:p>
          <w:p w:rsidR="00000000" w:rsidRPr="00A112CB" w:rsidP="00A112CB">
            <w:pPr>
              <w:pStyle w:val="BodyText"/>
            </w:pPr>
            <w:r w:rsidRPr="00A112CB">
              <w:t>Assessment must occur in workplace operational situations where it is app</w:t>
            </w:r>
            <w:r w:rsidRPr="00A112CB">
              <w:t>ropriate to do so; where this is not appropriate, assessment must occur in simulated conditions involving realistic and authentic activities that replicate operational workplace conditions.</w:t>
            </w:r>
          </w:p>
          <w:p w:rsidR="00000000" w:rsidRPr="00A112CB" w:rsidP="00A112CB">
            <w:pPr>
              <w:pStyle w:val="BodyText"/>
            </w:pPr>
            <w:r w:rsidRPr="00A112CB">
              <w:t>Assessment processes and techniques must be appropriate to the lan</w:t>
            </w:r>
            <w:r w:rsidRPr="00A112CB">
              <w:t>guage, literacy and numeracy requirements of the work being performed and the needs of the candidate.</w:t>
            </w:r>
          </w:p>
          <w:p w:rsidR="00000000" w:rsidRPr="00A112CB" w:rsidP="00A112CB">
            <w:pPr>
              <w:pStyle w:val="BodyText"/>
            </w:pPr>
            <w:r w:rsidRPr="00A112CB">
              <w:t>Resources for assessment must include access to:</w:t>
            </w:r>
          </w:p>
          <w:p w:rsidR="00000000" w:rsidRPr="00A112CB" w:rsidP="00A112CB">
            <w:pPr>
              <w:pStyle w:val="ListBullet"/>
            </w:pPr>
            <w:r w:rsidRPr="00A112CB">
              <w:t>a range of relevant exercises, case studies and/or other simulations</w:t>
            </w:r>
          </w:p>
          <w:p w:rsidR="00000000" w:rsidRPr="00A112CB" w:rsidP="00A112CB">
            <w:pPr>
              <w:pStyle w:val="ListBullet"/>
            </w:pPr>
            <w:r w:rsidRPr="00A112CB">
              <w:t>relevant and appropriate materials,</w:t>
            </w:r>
            <w:r w:rsidRPr="00A112CB">
              <w:t xml:space="preserve"> tools, facilities, equipment and personal protective equipment (PPE) currently used in industry</w:t>
            </w:r>
          </w:p>
          <w:p w:rsidR="00000000" w:rsidRPr="00A112CB" w:rsidP="00A112CB">
            <w:pPr>
              <w:pStyle w:val="ListBullet"/>
            </w:pPr>
            <w:r w:rsidRPr="00A112CB">
              <w:t>applicable documentation, including workplace procedures, relevant industry standards, equipment specifications, regulations, codes of practice and operation m</w:t>
            </w:r>
            <w:r w:rsidRPr="00A112CB">
              <w:t>anuals.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5" w:name="O_1005838"/>
      <w:bookmarkEnd w:id="15"/>
      <w:r w:rsidRPr="00A112CB">
        <w:t>Links</w:t>
      </w:r>
    </w:p>
    <w:p w:rsidR="00000000" w:rsidRPr="00A112CB" w:rsidP="009A5870">
      <w:pPr>
        <w:pStyle w:val="BodyText"/>
      </w:pPr>
      <w:r w:rsidRPr="00A112C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54833">
        <w:rPr>
          <w:rStyle w:val="Hyperlink"/>
        </w:rPr>
        <w:t>https://vetnet.gov.au/Pages/TrainingDocs.aspx?q=229bace1-b7bc-4653-9300-dffb13ecfad7</w:t>
      </w:r>
      <w:r>
        <w:fldChar w:fldCharType="end"/>
      </w:r>
    </w:p>
    <w:p w:rsidR="00000000" w:rsidRPr="00A112CB" w:rsidP="00A112CB"/>
    <w:sectPr w:rsidSect="00A112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rsidRPr="009A5870" w:rsidP="009A5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0" w:rsidP="00A11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A5870" w:rsidP="00A11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5870" w:rsidP="00A112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rsidP="00A112CB">
    <w:pPr>
      <w:pStyle w:val="Footer"/>
      <w:framePr w:wrap="around"/>
    </w:pPr>
    <w:r>
      <w:fldChar w:fldCharType="begin"/>
    </w:r>
    <w:r>
      <w:instrText xml:space="preserve"> DOCPROPERTY  Subject  \* MERGEFORMAT </w:instrText>
    </w:r>
    <w:r>
      <w:fldChar w:fldCharType="separate"/>
    </w:r>
    <w:r w:rsidR="009A5870">
      <w:t>Approved</w:t>
    </w:r>
    <w:r w:rsidR="009A5870">
      <w:fldChar w:fldCharType="end"/>
    </w:r>
    <w:r>
      <w:tab/>
      <w:t xml:space="preserve">Page </w:t>
    </w:r>
    <w:r>
      <w:fldChar w:fldCharType="begin"/>
    </w:r>
    <w:r>
      <w:instrText xml:space="preserve"> PAGE  \* Arabic  \* MERGEFORMAT </w:instrText>
    </w:r>
    <w:r>
      <w:fldChar w:fldCharType="separate"/>
    </w:r>
    <w:r w:rsidR="009A58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5870">
      <w:rPr>
        <w:noProof/>
      </w:rPr>
      <w:t>6</w:t>
    </w:r>
    <w:r>
      <w:rPr>
        <w:noProof/>
      </w:rPr>
      <w:fldChar w:fldCharType="end"/>
    </w:r>
  </w:p>
  <w:p w:rsidR="00A112CB" w:rsidP="00A112CB">
    <w:pPr>
      <w:pStyle w:val="Footer"/>
      <w:framePr w:wrap="around"/>
    </w:pPr>
    <w:r>
      <w:t xml:space="preserve">© Commonwealth of Australia, </w:t>
    </w:r>
    <w:r>
      <w:fldChar w:fldCharType="begin"/>
    </w:r>
    <w:r>
      <w:instrText xml:space="preserve"> DATE  \@ "yyyy"  \* MERGEFORMAT </w:instrText>
    </w:r>
    <w:r>
      <w:fldChar w:fldCharType="separate"/>
    </w:r>
    <w:r w:rsidR="009A5870">
      <w:rPr>
        <w:noProof/>
      </w:rPr>
      <w:t>2025</w:t>
    </w:r>
    <w:r>
      <w:fldChar w:fldCharType="end"/>
    </w:r>
    <w:r>
      <w:tab/>
    </w:r>
    <w:r>
      <w:fldChar w:fldCharType="begin"/>
    </w:r>
    <w:r>
      <w:instrText xml:space="preserve"> DOCPROPERTY  Author  \* MERGEFORMAT </w:instrText>
    </w:r>
    <w:r>
      <w:fldChar w:fldCharType="separate"/>
    </w:r>
    <w:r w:rsidR="009A5870">
      <w:t>Powering Skills Organisation</w:t>
    </w:r>
    <w:r w:rsidR="009A5870">
      <w:fldChar w:fldCharType="end"/>
    </w:r>
  </w:p>
  <w:p w:rsidR="00A112CB" w:rsidP="00A11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2CB" w:rsidRPr="009A5870" w:rsidP="009A5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0" w:rsidRPr="002D2AF8" w:rsidP="00A112CB">
    <w:pPr>
      <w:pStyle w:val="Header"/>
      <w:framePr w:wrap="around"/>
    </w:pPr>
    <w:r>
      <w:fldChar w:fldCharType="begin"/>
    </w:r>
    <w:r>
      <w:instrText xml:space="preserve"> TITLE   \* MERGEFORMAT </w:instrText>
    </w:r>
    <w:r>
      <w:fldChar w:fldCharType="separate"/>
    </w:r>
    <w:r>
      <w:t>UETTDRTS41 Install and replace complex energy/revenue metering schemes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5870" w:rsidP="00A112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rsidRPr="002D2AF8" w:rsidP="00A112CB">
    <w:pPr>
      <w:pStyle w:val="Header"/>
      <w:framePr w:wrap="around"/>
    </w:pPr>
    <w:r>
      <w:fldChar w:fldCharType="begin"/>
    </w:r>
    <w:r>
      <w:instrText xml:space="preserve"> TITLE   \* MERGEFORMAT </w:instrText>
    </w:r>
    <w:r>
      <w:fldChar w:fldCharType="separate"/>
    </w:r>
    <w:r w:rsidR="009A5870">
      <w:t>UETTDRTS41 Install and replace complex energy/revenue metering schemes and associated equipment</w:t>
    </w:r>
    <w:r w:rsidR="009A5870">
      <w:fldChar w:fldCharType="end"/>
    </w:r>
    <w:r>
      <w:tab/>
      <w:t xml:space="preserve">Date this document was generated: </w:t>
    </w:r>
    <w:r>
      <w:fldChar w:fldCharType="begin"/>
    </w:r>
    <w:r>
      <w:instrText xml:space="preserve"> CREATEDATE  \@ "d MMMM yyyy"  \* MERGEFORMAT </w:instrText>
    </w:r>
    <w:r>
      <w:fldChar w:fldCharType="separate"/>
    </w:r>
    <w:r w:rsidR="009A5870">
      <w:rPr>
        <w:noProof/>
      </w:rPr>
      <w:t>2 March 2025</w:t>
    </w:r>
    <w:r>
      <w:fldChar w:fldCharType="end"/>
    </w:r>
  </w:p>
  <w:p w:rsidR="00A112CB" w:rsidP="00A11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86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2C2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A4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2CB"/>
    <w:pPr>
      <w:spacing w:before="360" w:after="60"/>
      <w:outlineLvl w:val="0"/>
    </w:pPr>
    <w:rPr>
      <w:sz w:val="32"/>
    </w:rPr>
  </w:style>
  <w:style w:type="paragraph" w:styleId="Heading2">
    <w:name w:val="heading 2"/>
    <w:basedOn w:val="HeadingBase"/>
    <w:next w:val="BodyText"/>
    <w:link w:val="Heading2Char"/>
    <w:qFormat/>
    <w:rsid w:val="00A112CB"/>
    <w:pPr>
      <w:keepLines/>
      <w:spacing w:before="240" w:after="120"/>
      <w:outlineLvl w:val="1"/>
    </w:pPr>
    <w:rPr>
      <w:sz w:val="28"/>
      <w:szCs w:val="40"/>
    </w:rPr>
  </w:style>
  <w:style w:type="paragraph" w:styleId="Heading3">
    <w:name w:val="heading 3"/>
    <w:basedOn w:val="HeadingBase"/>
    <w:next w:val="BodyText"/>
    <w:link w:val="Heading3Char"/>
    <w:qFormat/>
    <w:rsid w:val="00A112CB"/>
    <w:pPr>
      <w:spacing w:before="180" w:after="120"/>
      <w:outlineLvl w:val="2"/>
    </w:pPr>
    <w:rPr>
      <w:spacing w:val="-10"/>
      <w:kern w:val="32"/>
    </w:rPr>
  </w:style>
  <w:style w:type="paragraph" w:styleId="Heading4">
    <w:name w:val="heading 4"/>
    <w:basedOn w:val="HeadingBase"/>
    <w:next w:val="BodyText"/>
    <w:link w:val="Heading4Char"/>
    <w:qFormat/>
    <w:rsid w:val="00A112CB"/>
    <w:pPr>
      <w:spacing w:before="160" w:after="120"/>
      <w:outlineLvl w:val="3"/>
    </w:pPr>
    <w:rPr>
      <w:sz w:val="22"/>
    </w:rPr>
  </w:style>
  <w:style w:type="paragraph" w:styleId="Heading5">
    <w:name w:val="heading 5"/>
    <w:basedOn w:val="HeadingBase"/>
    <w:next w:val="Normal"/>
    <w:link w:val="Heading5Char"/>
    <w:qFormat/>
    <w:rsid w:val="00A112CB"/>
    <w:pPr>
      <w:spacing w:before="80"/>
      <w:outlineLvl w:val="4"/>
    </w:pPr>
    <w:rPr>
      <w:color w:val="918585"/>
      <w:sz w:val="20"/>
    </w:rPr>
  </w:style>
  <w:style w:type="paragraph" w:styleId="Heading6">
    <w:name w:val="heading 6"/>
    <w:basedOn w:val="HeadingBase"/>
    <w:next w:val="Normal"/>
    <w:link w:val="Heading6Char"/>
    <w:qFormat/>
    <w:rsid w:val="00A112CB"/>
    <w:pPr>
      <w:spacing w:before="60"/>
      <w:outlineLvl w:val="5"/>
    </w:pPr>
    <w:rPr>
      <w:color w:val="918585"/>
      <w:sz w:val="20"/>
    </w:rPr>
  </w:style>
  <w:style w:type="paragraph" w:styleId="Heading7">
    <w:name w:val="heading 7"/>
    <w:basedOn w:val="Normal"/>
    <w:next w:val="Normal"/>
    <w:link w:val="Heading7Char"/>
    <w:qFormat/>
    <w:rsid w:val="00A112CB"/>
    <w:pPr>
      <w:ind w:left="720"/>
      <w:outlineLvl w:val="6"/>
    </w:pPr>
    <w:rPr>
      <w:i/>
    </w:rPr>
  </w:style>
  <w:style w:type="paragraph" w:styleId="Heading8">
    <w:name w:val="heading 8"/>
    <w:basedOn w:val="Normal"/>
    <w:next w:val="Normal"/>
    <w:link w:val="Heading8Char"/>
    <w:qFormat/>
    <w:rsid w:val="00A112CB"/>
    <w:pPr>
      <w:ind w:left="720"/>
      <w:outlineLvl w:val="7"/>
    </w:pPr>
    <w:rPr>
      <w:i/>
    </w:rPr>
  </w:style>
  <w:style w:type="paragraph" w:styleId="Heading9">
    <w:name w:val="heading 9"/>
    <w:basedOn w:val="Normal"/>
    <w:next w:val="Normal"/>
    <w:link w:val="Heading9Char"/>
    <w:qFormat/>
    <w:rsid w:val="00A112CB"/>
    <w:pPr>
      <w:ind w:left="720"/>
      <w:outlineLvl w:val="8"/>
    </w:pPr>
    <w:rPr>
      <w:i/>
    </w:rPr>
  </w:style>
  <w:style w:type="character" w:default="1" w:styleId="DefaultParagraphFont">
    <w:name w:val="Default Paragraph Font"/>
    <w:uiPriority w:val="1"/>
    <w:unhideWhenUsed/>
    <w:rsid w:val="00A11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2CB"/>
  </w:style>
  <w:style w:type="character" w:customStyle="1" w:styleId="Heading1Char">
    <w:name w:val="Heading 1 Char"/>
    <w:basedOn w:val="DefaultParagraphFont"/>
    <w:link w:val="Heading1"/>
    <w:rsid w:val="00A112CB"/>
    <w:rPr>
      <w:rFonts w:ascii="Times New Roman" w:eastAsia="Times New Roman" w:hAnsi="Times New Roman" w:cs="Times New Roman"/>
      <w:b/>
      <w:sz w:val="32"/>
      <w:szCs w:val="20"/>
      <w:lang w:eastAsia="en-US"/>
    </w:rPr>
  </w:style>
  <w:style w:type="paragraph" w:styleId="BodyText">
    <w:name w:val="Body Text"/>
    <w:basedOn w:val="Normal"/>
    <w:link w:val="BodyTextChar"/>
    <w:rsid w:val="00A11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2CB"/>
    <w:rPr>
      <w:rFonts w:ascii="Times New Roman" w:eastAsia="Times New Roman" w:hAnsi="Times New Roman" w:cs="Times New Roman"/>
      <w:sz w:val="24"/>
      <w:lang w:eastAsia="en-US"/>
    </w:rPr>
  </w:style>
  <w:style w:type="paragraph" w:styleId="ListBullet">
    <w:name w:val="List Bullet"/>
    <w:basedOn w:val="List"/>
    <w:rsid w:val="00A112CB"/>
    <w:pPr>
      <w:numPr>
        <w:numId w:val="12"/>
      </w:numPr>
      <w:tabs>
        <w:tab w:val="clear" w:pos="340"/>
      </w:tabs>
      <w:spacing w:before="40" w:after="40"/>
    </w:pPr>
  </w:style>
  <w:style w:type="character" w:customStyle="1" w:styleId="SpecialBold">
    <w:name w:val="Special Bold"/>
    <w:basedOn w:val="DefaultParagraphFont"/>
    <w:rsid w:val="00A112CB"/>
    <w:rPr>
      <w:b/>
      <w:spacing w:val="0"/>
    </w:rPr>
  </w:style>
  <w:style w:type="paragraph" w:styleId="ListBullet2">
    <w:name w:val="List Bullet 2"/>
    <w:basedOn w:val="List2"/>
    <w:rsid w:val="00A112CB"/>
    <w:pPr>
      <w:numPr>
        <w:numId w:val="13"/>
      </w:numPr>
      <w:tabs>
        <w:tab w:val="clear" w:pos="680"/>
      </w:tabs>
    </w:pPr>
  </w:style>
  <w:style w:type="paragraph" w:customStyle="1" w:styleId="SuperHeading">
    <w:name w:val="SuperHeading"/>
    <w:basedOn w:val="Normal"/>
    <w:rsid w:val="00A112CB"/>
    <w:pPr>
      <w:spacing w:before="240" w:after="120"/>
      <w:outlineLvl w:val="0"/>
    </w:pPr>
    <w:rPr>
      <w:rFonts w:ascii="Times New Roman" w:hAnsi="Times New Roman"/>
      <w:b/>
      <w:sz w:val="32"/>
    </w:rPr>
  </w:style>
  <w:style w:type="paragraph" w:customStyle="1" w:styleId="AllowPageBreak">
    <w:name w:val="AllowPageBreak"/>
    <w:rsid w:val="00A11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1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2CB"/>
    <w:rPr>
      <w:rFonts w:ascii="Courier New" w:eastAsia="Times New Roman" w:hAnsi="Courier New" w:cs="Times New Roman"/>
      <w:i/>
      <w:szCs w:val="20"/>
      <w:lang w:eastAsia="en-US"/>
    </w:rPr>
  </w:style>
  <w:style w:type="paragraph" w:customStyle="1" w:styleId="HeadingBase">
    <w:name w:val="Heading Base"/>
    <w:rsid w:val="00A11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2CB"/>
    <w:pPr>
      <w:tabs>
        <w:tab w:val="right" w:leader="dot" w:pos="9072"/>
      </w:tabs>
      <w:ind w:left="567"/>
    </w:pPr>
    <w:rPr>
      <w:szCs w:val="22"/>
    </w:rPr>
  </w:style>
  <w:style w:type="paragraph" w:customStyle="1" w:styleId="TOCBase">
    <w:name w:val="TOC Base"/>
    <w:rsid w:val="00A11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2CB"/>
    <w:pPr>
      <w:tabs>
        <w:tab w:val="right" w:leader="dot" w:pos="9072"/>
      </w:tabs>
      <w:spacing w:before="40" w:after="40"/>
      <w:ind w:left="284"/>
    </w:pPr>
    <w:rPr>
      <w:rFonts w:ascii="Times New Roman" w:hAnsi="Times New Roman"/>
    </w:rPr>
  </w:style>
  <w:style w:type="paragraph" w:styleId="TOC1">
    <w:name w:val="toc 1"/>
    <w:basedOn w:val="TOCBase"/>
    <w:next w:val="Normal"/>
    <w:rsid w:val="00A11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2CB"/>
    <w:rPr>
      <w:rFonts w:ascii="Times New Roman" w:eastAsia="Times New Roman" w:hAnsi="Times New Roman" w:cs="Times New Roman"/>
      <w:sz w:val="16"/>
      <w:lang w:eastAsia="en-US"/>
    </w:rPr>
  </w:style>
  <w:style w:type="paragraph" w:styleId="Title">
    <w:name w:val="Title"/>
    <w:basedOn w:val="HeadingBase"/>
    <w:link w:val="TitleChar"/>
    <w:qFormat/>
    <w:rsid w:val="00A112CB"/>
    <w:pPr>
      <w:spacing w:before="5040"/>
      <w:jc w:val="center"/>
    </w:pPr>
    <w:rPr>
      <w:sz w:val="48"/>
      <w:szCs w:val="72"/>
      <w:lang w:val="en-US"/>
    </w:rPr>
  </w:style>
  <w:style w:type="character" w:customStyle="1" w:styleId="TitleChar">
    <w:name w:val="Title Char"/>
    <w:basedOn w:val="DefaultParagraphFont"/>
    <w:link w:val="Title"/>
    <w:rsid w:val="00A11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2CB"/>
    <w:pPr>
      <w:tabs>
        <w:tab w:val="left" w:pos="3600"/>
        <w:tab w:val="left" w:pos="3958"/>
      </w:tabs>
    </w:pPr>
  </w:style>
  <w:style w:type="paragraph" w:styleId="List">
    <w:name w:val="List"/>
    <w:basedOn w:val="BodyText"/>
    <w:next w:val="BodyText"/>
    <w:rsid w:val="00A112CB"/>
    <w:pPr>
      <w:tabs>
        <w:tab w:val="left" w:pos="340"/>
      </w:tabs>
      <w:spacing w:before="60" w:after="60"/>
      <w:ind w:left="340" w:hanging="340"/>
    </w:pPr>
  </w:style>
  <w:style w:type="paragraph" w:customStyle="1" w:styleId="Note">
    <w:name w:val="Note"/>
    <w:basedOn w:val="BodyText"/>
    <w:rsid w:val="00A11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2CB"/>
    <w:pPr>
      <w:framePr w:wrap="auto" w:hAnchor="text" w:y="6049"/>
    </w:pPr>
    <w:rPr>
      <w:color w:val="000000"/>
      <w:sz w:val="40"/>
    </w:rPr>
  </w:style>
  <w:style w:type="paragraph" w:customStyle="1" w:styleId="TOCTitle">
    <w:name w:val="TOCTitle"/>
    <w:basedOn w:val="Heading1"/>
    <w:rsid w:val="00A112CB"/>
    <w:pPr>
      <w:spacing w:after="240"/>
      <w:jc w:val="center"/>
      <w:outlineLvl w:val="9"/>
    </w:pPr>
    <w:rPr>
      <w:caps/>
    </w:rPr>
  </w:style>
  <w:style w:type="paragraph" w:customStyle="1" w:styleId="Version">
    <w:name w:val="Version"/>
    <w:rsid w:val="00A11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2CB"/>
    <w:pPr>
      <w:keepNext w:val="0"/>
      <w:tabs>
        <w:tab w:val="right" w:pos="4176"/>
      </w:tabs>
      <w:ind w:left="198" w:hanging="198"/>
    </w:pPr>
    <w:rPr>
      <w:rFonts w:ascii="Garamond" w:hAnsi="Garamond"/>
    </w:rPr>
  </w:style>
  <w:style w:type="paragraph" w:styleId="IndexHeading">
    <w:name w:val="index heading"/>
    <w:basedOn w:val="Normal"/>
    <w:next w:val="Index1"/>
    <w:semiHidden/>
    <w:rsid w:val="00A112CB"/>
    <w:pPr>
      <w:spacing w:before="120" w:after="120"/>
    </w:pPr>
    <w:rPr>
      <w:rFonts w:ascii="Arial" w:hAnsi="Arial"/>
      <w:b/>
      <w:color w:val="918585"/>
      <w:sz w:val="24"/>
    </w:rPr>
  </w:style>
  <w:style w:type="paragraph" w:styleId="Header">
    <w:name w:val="header"/>
    <w:basedOn w:val="Normal"/>
    <w:link w:val="HeaderChar"/>
    <w:rsid w:val="00A11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2CB"/>
    <w:rPr>
      <w:rFonts w:ascii="Times New Roman" w:eastAsia="Times New Roman" w:hAnsi="Times New Roman" w:cs="Times New Roman"/>
      <w:sz w:val="16"/>
      <w:szCs w:val="20"/>
      <w:lang w:val="en-GB" w:eastAsia="en-US"/>
    </w:rPr>
  </w:style>
  <w:style w:type="paragraph" w:customStyle="1" w:styleId="Chapter">
    <w:name w:val="Chapter"/>
    <w:basedOn w:val="Normal"/>
    <w:rsid w:val="00A112CB"/>
    <w:pPr>
      <w:spacing w:before="240"/>
    </w:pPr>
    <w:rPr>
      <w:rFonts w:ascii="Times New Roman" w:hAnsi="Times New Roman"/>
      <w:smallCaps/>
      <w:spacing w:val="80"/>
      <w:sz w:val="28"/>
    </w:rPr>
  </w:style>
  <w:style w:type="paragraph" w:customStyle="1" w:styleId="InChapter">
    <w:name w:val="InChapter"/>
    <w:basedOn w:val="Heading3"/>
    <w:rsid w:val="00A112CB"/>
    <w:pPr>
      <w:spacing w:after="240"/>
      <w:outlineLvl w:val="9"/>
    </w:pPr>
    <w:rPr>
      <w:noProof/>
    </w:rPr>
  </w:style>
  <w:style w:type="paragraph" w:styleId="Index2">
    <w:name w:val="index 2"/>
    <w:basedOn w:val="Normal"/>
    <w:next w:val="Normal"/>
    <w:semiHidden/>
    <w:rsid w:val="00A112CB"/>
    <w:pPr>
      <w:tabs>
        <w:tab w:val="right" w:pos="4176"/>
      </w:tabs>
      <w:ind w:left="568" w:hanging="284"/>
    </w:pPr>
    <w:rPr>
      <w:rFonts w:ascii="Garamond" w:hAnsi="Garamond"/>
    </w:rPr>
  </w:style>
  <w:style w:type="paragraph" w:customStyle="1" w:styleId="Byline">
    <w:name w:val="Byline"/>
    <w:rsid w:val="00A11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2CB"/>
    <w:pPr>
      <w:tabs>
        <w:tab w:val="clear" w:pos="3600"/>
        <w:tab w:val="clear" w:pos="3958"/>
      </w:tabs>
      <w:jc w:val="right"/>
    </w:pPr>
  </w:style>
  <w:style w:type="character" w:styleId="Emphasis">
    <w:name w:val="Emphasis"/>
    <w:basedOn w:val="DefaultParagraphFont"/>
    <w:qFormat/>
    <w:rsid w:val="00A112CB"/>
    <w:rPr>
      <w:i/>
    </w:rPr>
  </w:style>
  <w:style w:type="paragraph" w:styleId="Caption">
    <w:name w:val="caption"/>
    <w:basedOn w:val="BodyText"/>
    <w:next w:val="Normal"/>
    <w:qFormat/>
    <w:rsid w:val="00A112CB"/>
    <w:pPr>
      <w:framePr w:w="2268" w:hSpace="181" w:vSpace="181" w:wrap="around" w:vAnchor="text" w:hAnchor="page" w:x="1135" w:y="285" w:anchorLock="1"/>
    </w:pPr>
    <w:rPr>
      <w:i/>
    </w:rPr>
  </w:style>
  <w:style w:type="paragraph" w:customStyle="1" w:styleId="MiniTOCTitle">
    <w:name w:val="MiniTOCTitle"/>
    <w:basedOn w:val="Heading4"/>
    <w:rsid w:val="00A112CB"/>
    <w:pPr>
      <w:spacing w:before="240"/>
      <w:outlineLvl w:val="9"/>
    </w:pPr>
    <w:rPr>
      <w:noProof/>
      <w:sz w:val="24"/>
    </w:rPr>
  </w:style>
  <w:style w:type="paragraph" w:customStyle="1" w:styleId="MiniTOCItem">
    <w:name w:val="MiniTOCItem"/>
    <w:basedOn w:val="ListBullet"/>
    <w:rsid w:val="00A112CB"/>
    <w:pPr>
      <w:numPr>
        <w:numId w:val="0"/>
      </w:numPr>
      <w:tabs>
        <w:tab w:val="right" w:leader="dot" w:pos="6521"/>
      </w:tabs>
      <w:spacing w:before="0" w:after="0"/>
    </w:pPr>
  </w:style>
  <w:style w:type="paragraph" w:customStyle="1" w:styleId="TOFTitle">
    <w:name w:val="TOFTitle"/>
    <w:basedOn w:val="TOCTitle"/>
    <w:rsid w:val="00A112CB"/>
  </w:style>
  <w:style w:type="paragraph" w:styleId="TableofFigures">
    <w:name w:val="table of figures"/>
    <w:basedOn w:val="Normal"/>
    <w:next w:val="Normal"/>
    <w:semiHidden/>
    <w:rsid w:val="00A112CB"/>
    <w:pPr>
      <w:tabs>
        <w:tab w:val="right" w:leader="dot" w:pos="9072"/>
      </w:tabs>
      <w:ind w:left="970" w:hanging="403"/>
    </w:pPr>
    <w:rPr>
      <w:rFonts w:ascii="Times New Roman" w:hAnsi="Times New Roman"/>
      <w:b/>
    </w:rPr>
  </w:style>
  <w:style w:type="paragraph" w:styleId="ListNumber">
    <w:name w:val="List Number"/>
    <w:basedOn w:val="List"/>
    <w:rsid w:val="00A112CB"/>
    <w:pPr>
      <w:numPr>
        <w:numId w:val="15"/>
      </w:numPr>
      <w:tabs>
        <w:tab w:val="clear" w:pos="340"/>
      </w:tabs>
    </w:pPr>
  </w:style>
  <w:style w:type="character" w:customStyle="1" w:styleId="WingdingSymbols">
    <w:name w:val="Wingding Symbols"/>
    <w:rsid w:val="00A112CB"/>
    <w:rPr>
      <w:rFonts w:ascii="Wingdings" w:hAnsi="Wingdings"/>
    </w:rPr>
  </w:style>
  <w:style w:type="paragraph" w:customStyle="1" w:styleId="TableHeading">
    <w:name w:val="Table Heading"/>
    <w:basedOn w:val="HeadingBase"/>
    <w:rsid w:val="00A112CB"/>
    <w:pPr>
      <w:keepLines/>
      <w:pBdr>
        <w:bottom w:val="single" w:sz="6" w:space="1" w:color="918585"/>
      </w:pBdr>
      <w:spacing w:before="240"/>
    </w:pPr>
  </w:style>
  <w:style w:type="character" w:customStyle="1" w:styleId="HotSpot">
    <w:name w:val="HotSpot"/>
    <w:rsid w:val="00A112CB"/>
    <w:rPr>
      <w:color w:val="0033CC"/>
      <w:u w:val="none"/>
    </w:rPr>
  </w:style>
  <w:style w:type="paragraph" w:customStyle="1" w:styleId="BodyTextRight">
    <w:name w:val="Body Text Right"/>
    <w:basedOn w:val="BodyText"/>
    <w:rsid w:val="00A112CB"/>
    <w:pPr>
      <w:spacing w:before="0" w:after="0"/>
      <w:jc w:val="right"/>
    </w:pPr>
  </w:style>
  <w:style w:type="paragraph" w:styleId="Index3">
    <w:name w:val="index 3"/>
    <w:basedOn w:val="ListNumber2"/>
    <w:next w:val="Normal"/>
    <w:semiHidden/>
    <w:rsid w:val="00A112CB"/>
    <w:pPr>
      <w:numPr>
        <w:numId w:val="0"/>
      </w:numPr>
      <w:tabs>
        <w:tab w:val="right" w:leader="dot" w:pos="4176"/>
      </w:tabs>
    </w:pPr>
  </w:style>
  <w:style w:type="paragraph" w:styleId="ListNumber2">
    <w:name w:val="List Number 2"/>
    <w:basedOn w:val="List2"/>
    <w:rsid w:val="00A112CB"/>
    <w:pPr>
      <w:numPr>
        <w:numId w:val="10"/>
      </w:numPr>
      <w:tabs>
        <w:tab w:val="clear" w:pos="1060"/>
      </w:tabs>
    </w:pPr>
  </w:style>
  <w:style w:type="paragraph" w:customStyle="1" w:styleId="MarginNote">
    <w:name w:val="Margin Note"/>
    <w:basedOn w:val="BodyText"/>
    <w:rsid w:val="00A11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2CB"/>
    <w:rPr>
      <w:sz w:val="32"/>
    </w:rPr>
  </w:style>
  <w:style w:type="paragraph" w:customStyle="1" w:styleId="HeadingProcedure">
    <w:name w:val="Heading Procedure"/>
    <w:basedOn w:val="HeadingBase"/>
    <w:next w:val="Normal"/>
    <w:rsid w:val="00A112CB"/>
    <w:pPr>
      <w:tabs>
        <w:tab w:val="left" w:pos="0"/>
      </w:tabs>
      <w:spacing w:before="120" w:after="60"/>
    </w:pPr>
    <w:rPr>
      <w:i/>
      <w:color w:val="918585"/>
      <w:sz w:val="22"/>
    </w:rPr>
  </w:style>
  <w:style w:type="paragraph" w:customStyle="1" w:styleId="TableBodyText">
    <w:name w:val="Table Body Text"/>
    <w:basedOn w:val="BodyText"/>
    <w:rsid w:val="00A112CB"/>
    <w:pPr>
      <w:spacing w:before="60" w:after="60"/>
    </w:pPr>
  </w:style>
  <w:style w:type="paragraph" w:styleId="ListContinue">
    <w:name w:val="List Continue"/>
    <w:basedOn w:val="List"/>
    <w:rsid w:val="00A112CB"/>
    <w:pPr>
      <w:ind w:firstLine="0"/>
    </w:pPr>
  </w:style>
  <w:style w:type="paragraph" w:customStyle="1" w:styleId="ListNote">
    <w:name w:val="List Note"/>
    <w:basedOn w:val="List"/>
    <w:rsid w:val="00A112CB"/>
    <w:pPr>
      <w:pBdr>
        <w:top w:val="single" w:sz="6" w:space="2" w:color="918585"/>
        <w:bottom w:val="single" w:sz="6" w:space="2" w:color="918585"/>
      </w:pBdr>
      <w:tabs>
        <w:tab w:val="left" w:pos="1021"/>
      </w:tabs>
      <w:ind w:firstLine="0"/>
    </w:pPr>
  </w:style>
  <w:style w:type="paragraph" w:customStyle="1" w:styleId="Warning">
    <w:name w:val="Warning"/>
    <w:basedOn w:val="BodyText"/>
    <w:rsid w:val="00A112CB"/>
    <w:pPr>
      <w:shd w:val="clear" w:color="auto" w:fill="D9D9D9"/>
      <w:tabs>
        <w:tab w:val="left" w:pos="992"/>
      </w:tabs>
      <w:ind w:left="119" w:right="119"/>
    </w:pPr>
    <w:rPr>
      <w:sz w:val="20"/>
    </w:rPr>
  </w:style>
  <w:style w:type="paragraph" w:customStyle="1" w:styleId="MarginIcons">
    <w:name w:val="Margin Icons"/>
    <w:basedOn w:val="BodyText"/>
    <w:rsid w:val="00A11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2CB"/>
    <w:rPr>
      <w:rFonts w:ascii="Courier New" w:hAnsi="Courier New"/>
    </w:rPr>
  </w:style>
  <w:style w:type="paragraph" w:customStyle="1" w:styleId="NoteBullet">
    <w:name w:val="Note Bullet"/>
    <w:basedOn w:val="Note"/>
    <w:rsid w:val="00A112CB"/>
    <w:pPr>
      <w:tabs>
        <w:tab w:val="clear" w:pos="680"/>
      </w:tabs>
      <w:spacing w:before="60" w:after="60"/>
    </w:pPr>
  </w:style>
  <w:style w:type="paragraph" w:customStyle="1" w:styleId="SubHeading2">
    <w:name w:val="SubHeading2"/>
    <w:basedOn w:val="HeadingBase"/>
    <w:rsid w:val="00A112CB"/>
    <w:pPr>
      <w:spacing w:before="240" w:after="60"/>
    </w:pPr>
    <w:rPr>
      <w:sz w:val="20"/>
    </w:rPr>
  </w:style>
  <w:style w:type="paragraph" w:customStyle="1" w:styleId="SubHeading1">
    <w:name w:val="SubHeading1"/>
    <w:basedOn w:val="HeadingBase"/>
    <w:rsid w:val="00A112CB"/>
    <w:pPr>
      <w:spacing w:before="240" w:after="60"/>
    </w:pPr>
    <w:rPr>
      <w:color w:val="918585"/>
      <w:sz w:val="22"/>
    </w:rPr>
  </w:style>
  <w:style w:type="paragraph" w:customStyle="1" w:styleId="SideHeading">
    <w:name w:val="Side Heading"/>
    <w:basedOn w:val="HeadingBase"/>
    <w:rsid w:val="00A11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2CB"/>
    <w:pPr>
      <w:tabs>
        <w:tab w:val="num" w:pos="360"/>
      </w:tabs>
    </w:pPr>
  </w:style>
  <w:style w:type="paragraph" w:styleId="PlainText">
    <w:name w:val="Plain Text"/>
    <w:basedOn w:val="Normal"/>
    <w:link w:val="PlainTextChar"/>
    <w:rsid w:val="00A112CB"/>
    <w:rPr>
      <w:sz w:val="20"/>
    </w:rPr>
  </w:style>
  <w:style w:type="character" w:customStyle="1" w:styleId="PlainTextChar">
    <w:name w:val="Plain Text Char"/>
    <w:basedOn w:val="DefaultParagraphFont"/>
    <w:link w:val="PlainText"/>
    <w:rsid w:val="00A112CB"/>
    <w:rPr>
      <w:rFonts w:ascii="Courier New" w:eastAsia="Times New Roman" w:hAnsi="Courier New" w:cs="Times New Roman"/>
      <w:sz w:val="20"/>
      <w:szCs w:val="20"/>
      <w:lang w:eastAsia="en-US"/>
    </w:rPr>
  </w:style>
  <w:style w:type="character" w:customStyle="1" w:styleId="MenuOption">
    <w:name w:val="Menu Option"/>
    <w:basedOn w:val="DefaultParagraphFont"/>
    <w:rsid w:val="00A112CB"/>
    <w:rPr>
      <w:b/>
      <w:smallCaps/>
    </w:rPr>
  </w:style>
  <w:style w:type="paragraph" w:customStyle="1" w:styleId="TableListNumber">
    <w:name w:val="Table List Number"/>
    <w:basedOn w:val="ListNumber"/>
    <w:rsid w:val="00A112CB"/>
    <w:pPr>
      <w:numPr>
        <w:numId w:val="0"/>
      </w:numPr>
    </w:pPr>
  </w:style>
  <w:style w:type="paragraph" w:styleId="TOC4">
    <w:name w:val="toc 4"/>
    <w:basedOn w:val="TOCBase"/>
    <w:next w:val="Normal"/>
    <w:semiHidden/>
    <w:rsid w:val="00A112CB"/>
    <w:pPr>
      <w:tabs>
        <w:tab w:val="right" w:leader="dot" w:pos="9071"/>
      </w:tabs>
      <w:ind w:left="1701"/>
    </w:pPr>
  </w:style>
  <w:style w:type="paragraph" w:customStyle="1" w:styleId="ListAlpha">
    <w:name w:val="List Alpha"/>
    <w:basedOn w:val="List"/>
    <w:rsid w:val="00A112CB"/>
    <w:pPr>
      <w:numPr>
        <w:numId w:val="9"/>
      </w:numPr>
    </w:pPr>
  </w:style>
  <w:style w:type="paragraph" w:customStyle="1" w:styleId="ListAlpha2">
    <w:name w:val="List Alpha 2"/>
    <w:basedOn w:val="List2"/>
    <w:rsid w:val="00A112CB"/>
    <w:pPr>
      <w:numPr>
        <w:numId w:val="8"/>
      </w:numPr>
    </w:pPr>
  </w:style>
  <w:style w:type="paragraph" w:styleId="List2">
    <w:name w:val="List 2"/>
    <w:basedOn w:val="BodyText"/>
    <w:rsid w:val="00A112CB"/>
    <w:pPr>
      <w:tabs>
        <w:tab w:val="left" w:pos="680"/>
      </w:tabs>
      <w:spacing w:before="60" w:after="60"/>
      <w:ind w:left="680" w:hanging="340"/>
    </w:pPr>
  </w:style>
  <w:style w:type="paragraph" w:styleId="List3">
    <w:name w:val="List 3"/>
    <w:basedOn w:val="BodyText"/>
    <w:rsid w:val="00A112CB"/>
    <w:pPr>
      <w:tabs>
        <w:tab w:val="left" w:pos="1021"/>
      </w:tabs>
      <w:spacing w:before="60" w:after="60"/>
      <w:ind w:left="1020" w:hanging="340"/>
    </w:pPr>
  </w:style>
  <w:style w:type="paragraph" w:styleId="List4">
    <w:name w:val="List 4"/>
    <w:basedOn w:val="BodyText"/>
    <w:rsid w:val="00A112CB"/>
    <w:pPr>
      <w:tabs>
        <w:tab w:val="left" w:pos="1361"/>
      </w:tabs>
      <w:spacing w:before="60" w:after="60"/>
      <w:ind w:left="1361" w:hanging="340"/>
    </w:pPr>
  </w:style>
  <w:style w:type="paragraph" w:styleId="List5">
    <w:name w:val="List 5"/>
    <w:basedOn w:val="BodyText"/>
    <w:rsid w:val="00A112CB"/>
    <w:pPr>
      <w:tabs>
        <w:tab w:val="left" w:pos="1701"/>
      </w:tabs>
      <w:spacing w:before="60" w:after="60"/>
      <w:ind w:left="1701" w:hanging="340"/>
    </w:pPr>
  </w:style>
  <w:style w:type="paragraph" w:styleId="ListBullet3">
    <w:name w:val="List Bullet 3"/>
    <w:basedOn w:val="List3"/>
    <w:rsid w:val="00A112CB"/>
    <w:pPr>
      <w:numPr>
        <w:numId w:val="14"/>
      </w:numPr>
      <w:tabs>
        <w:tab w:val="clear" w:pos="1021"/>
      </w:tabs>
      <w:ind w:left="1037" w:hanging="357"/>
    </w:pPr>
  </w:style>
  <w:style w:type="paragraph" w:styleId="ListBullet4">
    <w:name w:val="List Bullet 4"/>
    <w:basedOn w:val="List4"/>
    <w:rsid w:val="00A112CB"/>
    <w:pPr>
      <w:numPr>
        <w:numId w:val="3"/>
      </w:numPr>
      <w:tabs>
        <w:tab w:val="clear" w:pos="1361"/>
      </w:tabs>
    </w:pPr>
  </w:style>
  <w:style w:type="paragraph" w:styleId="ListBullet5">
    <w:name w:val="List Bullet 5"/>
    <w:basedOn w:val="List5"/>
    <w:rsid w:val="00A112CB"/>
    <w:pPr>
      <w:numPr>
        <w:numId w:val="4"/>
      </w:numPr>
    </w:pPr>
  </w:style>
  <w:style w:type="paragraph" w:styleId="ListContinue2">
    <w:name w:val="List Continue 2"/>
    <w:basedOn w:val="List2"/>
    <w:rsid w:val="00A112CB"/>
    <w:pPr>
      <w:ind w:firstLine="0"/>
    </w:pPr>
  </w:style>
  <w:style w:type="paragraph" w:styleId="ListContinue3">
    <w:name w:val="List Continue 3"/>
    <w:basedOn w:val="List3"/>
    <w:rsid w:val="00A112CB"/>
    <w:pPr>
      <w:ind w:left="1021" w:firstLine="0"/>
    </w:pPr>
  </w:style>
  <w:style w:type="paragraph" w:styleId="ListContinue4">
    <w:name w:val="List Continue 4"/>
    <w:basedOn w:val="List4"/>
    <w:rsid w:val="00A112CB"/>
    <w:pPr>
      <w:ind w:firstLine="0"/>
    </w:pPr>
  </w:style>
  <w:style w:type="paragraph" w:styleId="ListContinue5">
    <w:name w:val="List Continue 5"/>
    <w:basedOn w:val="List5"/>
    <w:rsid w:val="00A112CB"/>
    <w:pPr>
      <w:ind w:firstLine="0"/>
    </w:pPr>
  </w:style>
  <w:style w:type="paragraph" w:styleId="ListNumber3">
    <w:name w:val="List Number 3"/>
    <w:basedOn w:val="List3"/>
    <w:rsid w:val="00A112CB"/>
    <w:pPr>
      <w:numPr>
        <w:numId w:val="5"/>
      </w:numPr>
    </w:pPr>
  </w:style>
  <w:style w:type="paragraph" w:styleId="ListNumber4">
    <w:name w:val="List Number 4"/>
    <w:basedOn w:val="List4"/>
    <w:rsid w:val="00A112CB"/>
    <w:pPr>
      <w:numPr>
        <w:numId w:val="6"/>
      </w:numPr>
    </w:pPr>
  </w:style>
  <w:style w:type="paragraph" w:styleId="ListNumber5">
    <w:name w:val="List Number 5"/>
    <w:basedOn w:val="List5"/>
    <w:rsid w:val="00A112CB"/>
    <w:pPr>
      <w:numPr>
        <w:numId w:val="7"/>
      </w:numPr>
    </w:pPr>
  </w:style>
  <w:style w:type="paragraph" w:styleId="BlockText">
    <w:name w:val="Block Text"/>
    <w:basedOn w:val="Normal"/>
    <w:rsid w:val="00A112CB"/>
    <w:pPr>
      <w:spacing w:after="120"/>
      <w:ind w:left="1440" w:right="1440"/>
    </w:pPr>
  </w:style>
  <w:style w:type="character" w:customStyle="1" w:styleId="Subscript">
    <w:name w:val="Subscript"/>
    <w:basedOn w:val="DefaultParagraphFont"/>
    <w:rsid w:val="00A112CB"/>
    <w:rPr>
      <w:sz w:val="16"/>
      <w:vertAlign w:val="subscript"/>
    </w:rPr>
  </w:style>
  <w:style w:type="character" w:customStyle="1" w:styleId="Superscript">
    <w:name w:val="Superscript"/>
    <w:basedOn w:val="DefaultParagraphFont"/>
    <w:rsid w:val="00A112CB"/>
    <w:rPr>
      <w:sz w:val="16"/>
      <w:vertAlign w:val="superscript"/>
    </w:rPr>
  </w:style>
  <w:style w:type="character" w:customStyle="1" w:styleId="Symbols">
    <w:name w:val="Symbols"/>
    <w:basedOn w:val="DefaultParagraphFont"/>
    <w:rsid w:val="00A112CB"/>
    <w:rPr>
      <w:rFonts w:ascii="Symbol" w:hAnsi="Symbol"/>
    </w:rPr>
  </w:style>
  <w:style w:type="character" w:customStyle="1" w:styleId="MenuOptions">
    <w:name w:val="Menu Options"/>
    <w:basedOn w:val="DefaultParagraphFont"/>
    <w:rsid w:val="00A112CB"/>
    <w:rPr>
      <w:rFonts w:ascii="Arial Narrow" w:hAnsi="Arial Narrow"/>
      <w:smallCaps/>
    </w:rPr>
  </w:style>
  <w:style w:type="character" w:customStyle="1" w:styleId="Buttons">
    <w:name w:val="Buttons"/>
    <w:basedOn w:val="DefaultParagraphFont"/>
    <w:rsid w:val="00A112CB"/>
    <w:rPr>
      <w:b/>
    </w:rPr>
  </w:style>
  <w:style w:type="character" w:customStyle="1" w:styleId="Underlined">
    <w:name w:val="Underlined"/>
    <w:basedOn w:val="DefaultParagraphFont"/>
    <w:rsid w:val="00A112CB"/>
    <w:rPr>
      <w:u w:val="single"/>
    </w:rPr>
  </w:style>
  <w:style w:type="paragraph" w:customStyle="1" w:styleId="TableBodyTextRight">
    <w:name w:val="Table Body Text Right"/>
    <w:basedOn w:val="TableBodyText"/>
    <w:rsid w:val="00A112CB"/>
    <w:pPr>
      <w:widowControl w:val="0"/>
      <w:autoSpaceDE w:val="0"/>
      <w:autoSpaceDN w:val="0"/>
      <w:adjustRightInd w:val="0"/>
      <w:jc w:val="right"/>
    </w:pPr>
    <w:rPr>
      <w:rFonts w:cs="Arial"/>
      <w:szCs w:val="18"/>
    </w:rPr>
  </w:style>
  <w:style w:type="paragraph" w:customStyle="1" w:styleId="CopyrightText">
    <w:name w:val="Copyright Text"/>
    <w:basedOn w:val="BodyText"/>
    <w:rsid w:val="00A112CB"/>
    <w:rPr>
      <w:sz w:val="18"/>
    </w:rPr>
  </w:style>
  <w:style w:type="paragraph" w:customStyle="1" w:styleId="BodySmallRight">
    <w:name w:val="Body Small Right"/>
    <w:basedOn w:val="BodyTextRight"/>
    <w:rsid w:val="00A112CB"/>
    <w:rPr>
      <w:sz w:val="18"/>
      <w:szCs w:val="18"/>
    </w:rPr>
  </w:style>
  <w:style w:type="paragraph" w:customStyle="1" w:styleId="MarginEdition">
    <w:name w:val="Margin Edition"/>
    <w:basedOn w:val="MarginNote"/>
    <w:rsid w:val="00A112CB"/>
    <w:pPr>
      <w:spacing w:before="0" w:after="0"/>
    </w:pPr>
    <w:rPr>
      <w:rFonts w:ascii="Times New Roman" w:hAnsi="Times New Roman"/>
      <w:color w:val="999999"/>
    </w:rPr>
  </w:style>
  <w:style w:type="paragraph" w:customStyle="1" w:styleId="Spacer">
    <w:name w:val="Spacer"/>
    <w:basedOn w:val="Normal"/>
    <w:rsid w:val="00A112CB"/>
    <w:rPr>
      <w:sz w:val="2"/>
      <w:szCs w:val="2"/>
    </w:rPr>
  </w:style>
  <w:style w:type="character" w:customStyle="1" w:styleId="Small">
    <w:name w:val="Small"/>
    <w:basedOn w:val="DefaultParagraphFont"/>
    <w:rsid w:val="00A112CB"/>
    <w:rPr>
      <w:sz w:val="16"/>
    </w:rPr>
  </w:style>
  <w:style w:type="paragraph" w:customStyle="1" w:styleId="WideTable">
    <w:name w:val="Wide Table"/>
    <w:basedOn w:val="Normal"/>
    <w:rsid w:val="00A112CB"/>
    <w:pPr>
      <w:ind w:left="-1418"/>
    </w:pPr>
    <w:rPr>
      <w:sz w:val="2"/>
      <w:szCs w:val="2"/>
    </w:rPr>
  </w:style>
  <w:style w:type="character" w:styleId="PageNumber">
    <w:name w:val="page number"/>
    <w:basedOn w:val="DefaultParagraphFont"/>
    <w:rsid w:val="00A112CB"/>
  </w:style>
  <w:style w:type="paragraph" w:styleId="Quote">
    <w:name w:val="Quote"/>
    <w:basedOn w:val="Heading1"/>
    <w:link w:val="QuoteChar"/>
    <w:qFormat/>
    <w:rsid w:val="00A112CB"/>
    <w:rPr>
      <w:b w:val="0"/>
      <w:sz w:val="72"/>
      <w:szCs w:val="72"/>
      <w:lang w:val="en-NZ"/>
    </w:rPr>
  </w:style>
  <w:style w:type="character" w:customStyle="1" w:styleId="QuoteChar">
    <w:name w:val="Quote Char"/>
    <w:basedOn w:val="DefaultParagraphFont"/>
    <w:link w:val="Quote"/>
    <w:rsid w:val="00A11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2CB"/>
    <w:pPr>
      <w:pageBreakBefore/>
    </w:pPr>
  </w:style>
  <w:style w:type="paragraph" w:customStyle="1" w:styleId="Border">
    <w:name w:val="Border"/>
    <w:basedOn w:val="Normal"/>
    <w:qFormat/>
    <w:rsid w:val="00A11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2CB"/>
    <w:rPr>
      <w:b/>
      <w:bCs/>
      <w:i/>
      <w:iCs/>
      <w:color w:val="auto"/>
    </w:rPr>
  </w:style>
  <w:style w:type="paragraph" w:styleId="IntenseQuote">
    <w:name w:val="Intense Quote"/>
    <w:basedOn w:val="Normal"/>
    <w:next w:val="Normal"/>
    <w:link w:val="IntenseQuoteChar"/>
    <w:uiPriority w:val="30"/>
    <w:qFormat/>
    <w:rsid w:val="00A11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2CB"/>
    <w:rPr>
      <w:smallCaps/>
      <w:color w:val="auto"/>
      <w:u w:val="single"/>
    </w:rPr>
  </w:style>
  <w:style w:type="character" w:styleId="IntenseReference">
    <w:name w:val="Intense Reference"/>
    <w:basedOn w:val="DefaultParagraphFont"/>
    <w:uiPriority w:val="32"/>
    <w:qFormat/>
    <w:rsid w:val="00A112CB"/>
    <w:rPr>
      <w:b/>
      <w:bCs/>
      <w:smallCaps/>
      <w:color w:val="auto"/>
      <w:spacing w:val="5"/>
      <w:u w:val="single"/>
    </w:rPr>
  </w:style>
  <w:style w:type="paragraph" w:customStyle="1" w:styleId="2ColumnHeading">
    <w:name w:val="2Column Heading"/>
    <w:basedOn w:val="BodyText"/>
    <w:qFormat/>
    <w:rsid w:val="00A112CB"/>
    <w:pPr>
      <w:spacing w:after="60"/>
      <w:ind w:left="-2268"/>
    </w:pPr>
    <w:rPr>
      <w:b/>
    </w:rPr>
  </w:style>
  <w:style w:type="paragraph" w:customStyle="1" w:styleId="Heading1TOC">
    <w:name w:val="Heading1 TOC"/>
    <w:basedOn w:val="Normal"/>
    <w:qFormat/>
    <w:rsid w:val="00A112CB"/>
    <w:pPr>
      <w:spacing w:before="240" w:after="120"/>
    </w:pPr>
    <w:rPr>
      <w:rFonts w:ascii="Times New Roman" w:hAnsi="Times New Roman"/>
      <w:b/>
      <w:sz w:val="32"/>
    </w:rPr>
  </w:style>
  <w:style w:type="paragraph" w:customStyle="1" w:styleId="Heading2TOC">
    <w:name w:val="Heading2 TOC"/>
    <w:basedOn w:val="Normal"/>
    <w:qFormat/>
    <w:rsid w:val="00A112CB"/>
    <w:pPr>
      <w:spacing w:before="240" w:after="60"/>
    </w:pPr>
    <w:rPr>
      <w:rFonts w:ascii="Times New Roman" w:hAnsi="Times New Roman"/>
      <w:b/>
      <w:sz w:val="28"/>
    </w:rPr>
  </w:style>
  <w:style w:type="character" w:customStyle="1" w:styleId="Underline">
    <w:name w:val="Underline"/>
    <w:basedOn w:val="DefaultParagraphFont"/>
    <w:qFormat/>
    <w:rsid w:val="00A112CB"/>
    <w:rPr>
      <w:u w:val="single"/>
    </w:rPr>
  </w:style>
  <w:style w:type="character" w:customStyle="1" w:styleId="BoldandItalics">
    <w:name w:val="Bold and Italics"/>
    <w:qFormat/>
    <w:rsid w:val="00A112CB"/>
    <w:rPr>
      <w:b/>
      <w:i/>
      <w:u w:val="none"/>
    </w:rPr>
  </w:style>
  <w:style w:type="paragraph" w:styleId="BalloonText">
    <w:name w:val="Balloon Text"/>
    <w:basedOn w:val="Normal"/>
    <w:link w:val="BalloonTextChar"/>
    <w:rsid w:val="00A112CB"/>
    <w:rPr>
      <w:rFonts w:ascii="Tahoma" w:hAnsi="Tahoma" w:cs="Tahoma"/>
      <w:sz w:val="16"/>
      <w:szCs w:val="16"/>
    </w:rPr>
  </w:style>
  <w:style w:type="character" w:customStyle="1" w:styleId="BalloonTextChar">
    <w:name w:val="Balloon Text Char"/>
    <w:basedOn w:val="DefaultParagraphFont"/>
    <w:link w:val="BalloonText"/>
    <w:rsid w:val="00A11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2CB"/>
    <w:rPr>
      <w:b/>
      <w:color w:val="660033"/>
      <w:spacing w:val="0"/>
    </w:rPr>
  </w:style>
  <w:style w:type="paragraph" w:customStyle="1" w:styleId="Nameditemlist">
    <w:name w:val="Named item list"/>
    <w:basedOn w:val="BodyText"/>
    <w:qFormat/>
    <w:rsid w:val="00A112CB"/>
    <w:pPr>
      <w:tabs>
        <w:tab w:val="left" w:pos="2835"/>
      </w:tabs>
      <w:ind w:left="2835" w:hanging="2835"/>
    </w:pPr>
  </w:style>
  <w:style w:type="paragraph" w:customStyle="1" w:styleId="BodyTextnopadding">
    <w:name w:val="Body Text no padding"/>
    <w:basedOn w:val="BodyText"/>
    <w:qFormat/>
    <w:rsid w:val="00A112CB"/>
    <w:pPr>
      <w:spacing w:before="0" w:after="0"/>
    </w:pPr>
  </w:style>
  <w:style w:type="paragraph" w:customStyle="1" w:styleId="BodyTextBold">
    <w:name w:val="Body Text Bold"/>
    <w:basedOn w:val="BodyText"/>
    <w:qFormat/>
    <w:rsid w:val="00A112CB"/>
    <w:rPr>
      <w:b/>
    </w:rPr>
  </w:style>
  <w:style w:type="character" w:styleId="Hyperlink">
    <w:name w:val="Hyperlink"/>
    <w:basedOn w:val="DefaultParagraphFont"/>
    <w:uiPriority w:val="99"/>
    <w:unhideWhenUsed/>
    <w:rsid w:val="009A5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10995</Characters>
  <Application>Microsoft Office Word</Application>
  <DocSecurity>0</DocSecurity>
  <Lines>343</Lines>
  <Paragraphs>168</Paragraphs>
  <ScaleCrop>false</ScaleCrop>
  <Company>Author-it Software Corporation Ltd.</Company>
  <LinksUpToDate>false</LinksUpToDate>
  <CharactersWithSpaces>12448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UETTDRTS41 Install and replace complex energy/revenue metering schemes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